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1A52AD">
      <w:pPr>
        <w:ind w:right="-136"/>
        <w:rPr>
          <w:rFonts w:ascii="宋体" w:hAnsi="宋体" w:cs="宋体"/>
          <w:b/>
          <w:color w:val="auto"/>
          <w:spacing w:val="20"/>
          <w:sz w:val="72"/>
          <w:szCs w:val="22"/>
          <w:highlight w:val="none"/>
        </w:rPr>
      </w:pPr>
    </w:p>
    <w:p w14:paraId="6AEC19A0">
      <w:pPr>
        <w:ind w:right="-136"/>
        <w:jc w:val="center"/>
        <w:rPr>
          <w:rFonts w:ascii="宋体" w:hAnsi="宋体" w:cs="宋体"/>
          <w:b/>
          <w:color w:val="auto"/>
          <w:spacing w:val="20"/>
          <w:sz w:val="72"/>
          <w:szCs w:val="22"/>
          <w:highlight w:val="none"/>
        </w:rPr>
      </w:pPr>
      <w:r>
        <w:rPr>
          <w:rFonts w:hint="eastAsia" w:ascii="宋体" w:hAnsi="宋体" w:cs="宋体"/>
          <w:b/>
          <w:color w:val="auto"/>
          <w:spacing w:val="20"/>
          <w:sz w:val="72"/>
          <w:szCs w:val="22"/>
          <w:highlight w:val="none"/>
        </w:rPr>
        <w:t>询 价 文 件</w:t>
      </w:r>
    </w:p>
    <w:p w14:paraId="74D043C4">
      <w:pPr>
        <w:jc w:val="center"/>
        <w:rPr>
          <w:rFonts w:hint="default" w:ascii="宋体" w:hAnsi="宋体" w:cs="宋体"/>
          <w:color w:val="auto"/>
          <w:sz w:val="24"/>
          <w:szCs w:val="24"/>
          <w:highlight w:val="none"/>
          <w:lang w:val="en-US"/>
        </w:rPr>
      </w:pPr>
      <w:r>
        <w:rPr>
          <w:rFonts w:hint="eastAsia" w:ascii="宋体" w:hAnsi="宋体" w:cs="宋体"/>
          <w:color w:val="auto"/>
          <w:sz w:val="24"/>
          <w:szCs w:val="24"/>
          <w:highlight w:val="none"/>
          <w:lang w:eastAsia="zh-CN"/>
        </w:rPr>
        <w:t>项目编号</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 xml:space="preserve"> </w:t>
      </w:r>
      <w:r>
        <w:rPr>
          <w:rFonts w:hint="eastAsia" w:ascii="宋体" w:hAnsi="宋体" w:cs="宋体"/>
          <w:color w:val="auto"/>
          <w:sz w:val="24"/>
          <w:szCs w:val="24"/>
          <w:highlight w:val="none"/>
          <w:lang w:val="en-US" w:eastAsia="zh-CN"/>
        </w:rPr>
        <w:t>GTWY2025-001</w:t>
      </w:r>
    </w:p>
    <w:p w14:paraId="51868C8F">
      <w:pPr>
        <w:rPr>
          <w:rFonts w:ascii="宋体" w:hAnsi="宋体" w:cs="宋体"/>
          <w:color w:val="auto"/>
          <w:highlight w:val="none"/>
        </w:rPr>
      </w:pPr>
    </w:p>
    <w:p w14:paraId="3E92A319">
      <w:pPr>
        <w:rPr>
          <w:rFonts w:ascii="宋体" w:hAnsi="宋体" w:cs="宋体"/>
          <w:color w:val="auto"/>
          <w:highlight w:val="none"/>
        </w:rPr>
      </w:pPr>
    </w:p>
    <w:p w14:paraId="5F141E5C">
      <w:pPr>
        <w:rPr>
          <w:rFonts w:ascii="宋体" w:hAnsi="宋体" w:cs="宋体"/>
          <w:color w:val="auto"/>
          <w:highlight w:val="none"/>
        </w:rPr>
      </w:pPr>
    </w:p>
    <w:p w14:paraId="3DD4E747">
      <w:pPr>
        <w:rPr>
          <w:rFonts w:ascii="宋体" w:hAnsi="宋体" w:cs="宋体"/>
          <w:color w:val="auto"/>
          <w:highlight w:val="none"/>
        </w:rPr>
      </w:pPr>
    </w:p>
    <w:p w14:paraId="0C3989D0">
      <w:pPr>
        <w:rPr>
          <w:rFonts w:ascii="宋体" w:hAnsi="宋体" w:cs="宋体"/>
          <w:color w:val="auto"/>
          <w:sz w:val="30"/>
          <w:szCs w:val="30"/>
          <w:highlight w:val="none"/>
        </w:rPr>
      </w:pPr>
    </w:p>
    <w:p w14:paraId="46AB8503">
      <w:pPr>
        <w:rPr>
          <w:rFonts w:ascii="宋体" w:hAnsi="宋体" w:cs="宋体"/>
          <w:color w:val="auto"/>
          <w:sz w:val="30"/>
          <w:szCs w:val="30"/>
          <w:highlight w:val="none"/>
        </w:rPr>
      </w:pPr>
    </w:p>
    <w:p w14:paraId="561698C3">
      <w:pPr>
        <w:rPr>
          <w:rFonts w:ascii="宋体" w:hAnsi="宋体" w:cs="宋体"/>
          <w:color w:val="auto"/>
          <w:sz w:val="30"/>
          <w:szCs w:val="30"/>
          <w:highlight w:val="none"/>
        </w:rPr>
      </w:pPr>
    </w:p>
    <w:p w14:paraId="58C1FEBC">
      <w:pPr>
        <w:rPr>
          <w:rFonts w:ascii="宋体" w:hAnsi="宋体" w:cs="宋体"/>
          <w:color w:val="auto"/>
          <w:sz w:val="30"/>
          <w:szCs w:val="30"/>
          <w:highlight w:val="none"/>
        </w:rPr>
      </w:pPr>
    </w:p>
    <w:p w14:paraId="0B18629C">
      <w:pPr>
        <w:ind w:firstLine="0" w:firstLineChars="0"/>
        <w:jc w:val="left"/>
        <w:rPr>
          <w:rFonts w:hint="eastAsia" w:ascii="宋体" w:hAnsi="宋体" w:cs="宋体"/>
          <w:color w:val="auto"/>
          <w:spacing w:val="0"/>
          <w:sz w:val="30"/>
          <w:szCs w:val="30"/>
          <w:highlight w:val="none"/>
          <w:u w:val="single"/>
        </w:rPr>
      </w:pPr>
      <w:r>
        <w:rPr>
          <w:rFonts w:hint="eastAsia" w:ascii="宋体" w:hAnsi="宋体" w:cs="宋体"/>
          <w:color w:val="auto"/>
          <w:sz w:val="30"/>
          <w:szCs w:val="30"/>
          <w:highlight w:val="none"/>
        </w:rPr>
        <w:t>项目名称：</w:t>
      </w:r>
      <w:r>
        <w:rPr>
          <w:rFonts w:hint="eastAsia" w:ascii="宋体" w:hAnsi="宋体" w:eastAsia="宋体" w:cs="宋体"/>
          <w:b w:val="0"/>
          <w:bCs w:val="0"/>
          <w:color w:val="auto"/>
          <w:sz w:val="30"/>
          <w:szCs w:val="30"/>
          <w:highlight w:val="none"/>
          <w:u w:val="single"/>
          <w:lang w:val="en-US" w:eastAsia="zh-CN"/>
        </w:rPr>
        <w:t>古地石指挥部及金尚菜市场项目、厦大海韵园二期项目保洁绿化服务</w:t>
      </w:r>
      <w:r>
        <w:rPr>
          <w:rFonts w:hint="eastAsia" w:ascii="宋体" w:hAnsi="宋体" w:cs="宋体"/>
          <w:color w:val="auto"/>
          <w:sz w:val="30"/>
          <w:szCs w:val="30"/>
          <w:highlight w:val="none"/>
          <w:u w:val="single"/>
        </w:rPr>
        <w:t xml:space="preserve"> </w:t>
      </w:r>
    </w:p>
    <w:p w14:paraId="49330780">
      <w:pPr>
        <w:ind w:firstLine="150" w:firstLineChars="50"/>
        <w:jc w:val="left"/>
        <w:rPr>
          <w:rFonts w:ascii="宋体" w:hAnsi="宋体" w:cs="宋体"/>
          <w:color w:val="auto"/>
          <w:sz w:val="30"/>
          <w:szCs w:val="30"/>
          <w:highlight w:val="none"/>
        </w:rPr>
      </w:pPr>
    </w:p>
    <w:p w14:paraId="4CEE2370">
      <w:pPr>
        <w:spacing w:line="600" w:lineRule="exact"/>
        <w:ind w:firstLine="900" w:firstLineChars="300"/>
        <w:jc w:val="left"/>
        <w:rPr>
          <w:rFonts w:hint="eastAsia" w:ascii="宋体" w:hAnsi="宋体" w:cs="宋体"/>
          <w:color w:val="auto"/>
          <w:sz w:val="30"/>
          <w:szCs w:val="30"/>
          <w:highlight w:val="none"/>
        </w:rPr>
      </w:pPr>
    </w:p>
    <w:p w14:paraId="10E4C786">
      <w:pPr>
        <w:spacing w:line="600" w:lineRule="exact"/>
        <w:ind w:firstLine="900" w:firstLineChars="300"/>
        <w:jc w:val="left"/>
        <w:rPr>
          <w:rFonts w:hint="eastAsia" w:ascii="宋体" w:hAnsi="宋体" w:cs="宋体"/>
          <w:color w:val="auto"/>
          <w:sz w:val="30"/>
          <w:szCs w:val="30"/>
          <w:highlight w:val="none"/>
        </w:rPr>
      </w:pPr>
    </w:p>
    <w:p w14:paraId="76368049">
      <w:pPr>
        <w:spacing w:line="600" w:lineRule="exact"/>
        <w:ind w:firstLine="900" w:firstLineChars="300"/>
        <w:jc w:val="left"/>
        <w:rPr>
          <w:rFonts w:hint="eastAsia" w:ascii="宋体" w:hAnsi="宋体" w:cs="宋体"/>
          <w:color w:val="auto"/>
          <w:sz w:val="30"/>
          <w:szCs w:val="30"/>
          <w:highlight w:val="none"/>
        </w:rPr>
      </w:pPr>
    </w:p>
    <w:p w14:paraId="1CB27C96">
      <w:pPr>
        <w:spacing w:line="600" w:lineRule="exact"/>
        <w:ind w:firstLine="900" w:firstLineChars="300"/>
        <w:jc w:val="left"/>
        <w:rPr>
          <w:rFonts w:hint="eastAsia" w:ascii="宋体" w:hAnsi="宋体" w:cs="宋体"/>
          <w:color w:val="auto"/>
          <w:sz w:val="30"/>
          <w:szCs w:val="30"/>
          <w:highlight w:val="none"/>
          <w:u w:val="single"/>
        </w:rPr>
      </w:pPr>
      <w:r>
        <w:rPr>
          <w:rFonts w:hint="eastAsia" w:ascii="宋体" w:hAnsi="宋体" w:cs="宋体"/>
          <w:color w:val="auto"/>
          <w:sz w:val="30"/>
          <w:szCs w:val="30"/>
          <w:highlight w:val="none"/>
        </w:rPr>
        <w:t>采购</w:t>
      </w:r>
      <w:r>
        <w:rPr>
          <w:rFonts w:hint="eastAsia" w:ascii="宋体" w:hAnsi="宋体" w:cs="宋体"/>
          <w:color w:val="auto"/>
          <w:sz w:val="30"/>
          <w:szCs w:val="30"/>
          <w:highlight w:val="none"/>
          <w:lang w:val="en-US" w:eastAsia="zh-CN"/>
        </w:rPr>
        <w:t>人</w:t>
      </w:r>
      <w:r>
        <w:rPr>
          <w:rFonts w:hint="eastAsia" w:ascii="宋体" w:hAnsi="宋体" w:cs="宋体"/>
          <w:color w:val="auto"/>
          <w:sz w:val="30"/>
          <w:szCs w:val="30"/>
          <w:highlight w:val="none"/>
        </w:rPr>
        <w:t>：</w:t>
      </w:r>
      <w:r>
        <w:rPr>
          <w:rFonts w:hint="eastAsia" w:ascii="宋体" w:hAnsi="宋体" w:cs="宋体"/>
          <w:color w:val="auto"/>
          <w:sz w:val="30"/>
          <w:szCs w:val="30"/>
          <w:highlight w:val="none"/>
          <w:u w:val="single"/>
        </w:rPr>
        <w:t xml:space="preserve">  </w:t>
      </w:r>
      <w:r>
        <w:rPr>
          <w:rFonts w:hint="eastAsia" w:ascii="宋体" w:hAnsi="宋体" w:cs="宋体"/>
          <w:b w:val="0"/>
          <w:bCs w:val="0"/>
          <w:color w:val="auto"/>
          <w:kern w:val="2"/>
          <w:sz w:val="30"/>
          <w:szCs w:val="30"/>
          <w:highlight w:val="none"/>
          <w:u w:val="single"/>
        </w:rPr>
        <w:t>厦门湖里国投物业服务有限公司</w:t>
      </w:r>
    </w:p>
    <w:p w14:paraId="0717EB0A">
      <w:pPr>
        <w:spacing w:line="600" w:lineRule="exact"/>
        <w:ind w:firstLine="900" w:firstLineChars="300"/>
        <w:jc w:val="left"/>
        <w:rPr>
          <w:rFonts w:ascii="宋体" w:hAnsi="宋体" w:cs="宋体"/>
          <w:color w:val="auto"/>
          <w:sz w:val="30"/>
          <w:szCs w:val="30"/>
          <w:highlight w:val="none"/>
        </w:rPr>
      </w:pPr>
      <w:r>
        <w:rPr>
          <w:rFonts w:hint="eastAsia" w:ascii="宋体" w:hAnsi="宋体" w:cs="宋体"/>
          <w:color w:val="auto"/>
          <w:sz w:val="30"/>
          <w:szCs w:val="30"/>
          <w:highlight w:val="none"/>
        </w:rPr>
        <w:t>代理单位：</w:t>
      </w:r>
      <w:r>
        <w:rPr>
          <w:rFonts w:hint="eastAsia" w:ascii="宋体" w:hAnsi="宋体" w:cs="宋体"/>
          <w:color w:val="auto"/>
          <w:sz w:val="30"/>
          <w:szCs w:val="30"/>
          <w:highlight w:val="none"/>
          <w:u w:val="single"/>
        </w:rPr>
        <w:t xml:space="preserve">  </w:t>
      </w:r>
      <w:r>
        <w:rPr>
          <w:rFonts w:hint="eastAsia" w:ascii="宋体" w:hAnsi="宋体" w:cs="宋体"/>
          <w:color w:val="auto"/>
          <w:sz w:val="30"/>
          <w:szCs w:val="30"/>
          <w:highlight w:val="none"/>
          <w:u w:val="single"/>
          <w:lang w:eastAsia="zh-CN"/>
        </w:rPr>
        <w:t>厦门</w:t>
      </w:r>
      <w:r>
        <w:rPr>
          <w:rFonts w:hint="eastAsia" w:ascii="宋体" w:hAnsi="宋体" w:cs="宋体"/>
          <w:color w:val="auto"/>
          <w:sz w:val="30"/>
          <w:szCs w:val="30"/>
          <w:highlight w:val="none"/>
          <w:u w:val="single"/>
          <w:lang w:val="en-US" w:eastAsia="zh-CN"/>
        </w:rPr>
        <w:t xml:space="preserve">湖里国投工程建设有限公司 </w:t>
      </w:r>
      <w:r>
        <w:rPr>
          <w:rFonts w:hint="eastAsia" w:ascii="宋体" w:hAnsi="宋体" w:cs="宋体"/>
          <w:color w:val="auto"/>
          <w:sz w:val="30"/>
          <w:szCs w:val="30"/>
          <w:highlight w:val="none"/>
          <w:u w:val="single"/>
        </w:rPr>
        <w:t>（盖章）</w:t>
      </w:r>
    </w:p>
    <w:p w14:paraId="494E6145">
      <w:pPr>
        <w:spacing w:line="600" w:lineRule="exact"/>
        <w:jc w:val="left"/>
        <w:rPr>
          <w:rFonts w:ascii="宋体" w:hAnsi="宋体" w:cs="宋体"/>
          <w:color w:val="auto"/>
          <w:sz w:val="30"/>
          <w:szCs w:val="30"/>
          <w:highlight w:val="none"/>
        </w:rPr>
      </w:pPr>
    </w:p>
    <w:p w14:paraId="269C63A9">
      <w:pPr>
        <w:spacing w:line="600" w:lineRule="exact"/>
        <w:ind w:firstLine="900" w:firstLineChars="300"/>
        <w:jc w:val="left"/>
        <w:rPr>
          <w:rFonts w:ascii="宋体" w:hAnsi="宋体" w:cs="宋体"/>
          <w:b/>
          <w:color w:val="auto"/>
          <w:sz w:val="30"/>
          <w:szCs w:val="30"/>
          <w:highlight w:val="none"/>
        </w:rPr>
      </w:pPr>
      <w:r>
        <w:rPr>
          <w:rFonts w:hint="eastAsia" w:ascii="宋体" w:hAnsi="宋体" w:cs="宋体"/>
          <w:color w:val="auto"/>
          <w:sz w:val="30"/>
          <w:szCs w:val="30"/>
          <w:highlight w:val="none"/>
        </w:rPr>
        <w:t>编 制  日 期：</w:t>
      </w:r>
      <w:r>
        <w:rPr>
          <w:rFonts w:hint="eastAsia" w:ascii="宋体" w:hAnsi="宋体" w:cs="宋体"/>
          <w:color w:val="auto"/>
          <w:sz w:val="30"/>
          <w:szCs w:val="30"/>
          <w:highlight w:val="none"/>
          <w:u w:val="single"/>
        </w:rPr>
        <w:t xml:space="preserve">     2025年</w:t>
      </w:r>
      <w:r>
        <w:rPr>
          <w:rFonts w:hint="eastAsia" w:ascii="宋体" w:hAnsi="宋体" w:cs="宋体"/>
          <w:color w:val="auto"/>
          <w:sz w:val="30"/>
          <w:szCs w:val="30"/>
          <w:highlight w:val="none"/>
          <w:u w:val="single"/>
          <w:lang w:val="en-US" w:eastAsia="zh-CN"/>
        </w:rPr>
        <w:t>12</w:t>
      </w:r>
      <w:r>
        <w:rPr>
          <w:rFonts w:hint="eastAsia" w:ascii="宋体" w:hAnsi="宋体" w:cs="宋体"/>
          <w:color w:val="auto"/>
          <w:sz w:val="30"/>
          <w:szCs w:val="30"/>
          <w:highlight w:val="none"/>
          <w:u w:val="single"/>
        </w:rPr>
        <w:t xml:space="preserve">月             </w:t>
      </w:r>
    </w:p>
    <w:p w14:paraId="7BF3D2B0">
      <w:pPr>
        <w:pageBreakBefore/>
        <w:spacing w:line="480" w:lineRule="exact"/>
        <w:jc w:val="left"/>
        <w:rPr>
          <w:rFonts w:ascii="宋体" w:hAnsi="宋体" w:cs="宋体"/>
          <w:color w:val="auto"/>
          <w:sz w:val="32"/>
          <w:szCs w:val="32"/>
          <w:highlight w:val="none"/>
        </w:rPr>
        <w:sectPr>
          <w:headerReference r:id="rId4" w:type="first"/>
          <w:footerReference r:id="rId6" w:type="first"/>
          <w:headerReference r:id="rId3" w:type="default"/>
          <w:footerReference r:id="rId5" w:type="default"/>
          <w:pgSz w:w="11906" w:h="16838"/>
          <w:pgMar w:top="1418" w:right="1418" w:bottom="1418" w:left="1418" w:header="851" w:footer="992" w:gutter="0"/>
          <w:cols w:space="720" w:num="1"/>
          <w:titlePg/>
          <w:docGrid w:type="lines" w:linePitch="303" w:charSpace="0"/>
        </w:sectPr>
      </w:pPr>
    </w:p>
    <w:p w14:paraId="342A46F9">
      <w:pPr>
        <w:jc w:val="center"/>
        <w:rPr>
          <w:rFonts w:ascii="宋体" w:hAnsi="宋体" w:cs="宋体"/>
          <w:color w:val="auto"/>
          <w:kern w:val="0"/>
          <w:sz w:val="32"/>
          <w:szCs w:val="32"/>
          <w:highlight w:val="none"/>
        </w:rPr>
      </w:pPr>
      <w:r>
        <w:rPr>
          <w:rFonts w:hint="eastAsia" w:ascii="宋体" w:hAnsi="宋体" w:cs="宋体"/>
          <w:color w:val="auto"/>
          <w:kern w:val="0"/>
          <w:sz w:val="32"/>
          <w:szCs w:val="32"/>
          <w:highlight w:val="none"/>
        </w:rPr>
        <w:t>目录</w:t>
      </w:r>
    </w:p>
    <w:p w14:paraId="06316333">
      <w:pPr>
        <w:pStyle w:val="27"/>
        <w:tabs>
          <w:tab w:val="right" w:leader="dot" w:pos="9070"/>
        </w:tabs>
        <w:rPr>
          <w:rFonts w:ascii="宋体" w:hAnsi="宋体" w:cs="宋体"/>
          <w:b w:val="0"/>
          <w:bCs w:val="0"/>
          <w:color w:val="auto"/>
          <w:sz w:val="28"/>
          <w:szCs w:val="28"/>
          <w:highlight w:val="none"/>
        </w:rPr>
      </w:pPr>
      <w:r>
        <w:rPr>
          <w:rFonts w:hint="eastAsia" w:ascii="宋体" w:hAnsi="宋体" w:cs="宋体"/>
          <w:color w:val="auto"/>
          <w:sz w:val="32"/>
          <w:szCs w:val="32"/>
          <w:highlight w:val="none"/>
        </w:rPr>
        <w:fldChar w:fldCharType="begin"/>
      </w:r>
      <w:r>
        <w:rPr>
          <w:rFonts w:hint="eastAsia" w:ascii="宋体" w:hAnsi="宋体" w:cs="宋体"/>
          <w:color w:val="auto"/>
          <w:sz w:val="32"/>
          <w:szCs w:val="32"/>
          <w:highlight w:val="none"/>
        </w:rPr>
        <w:instrText xml:space="preserve">TOC \o "1-1" \h \u </w:instrText>
      </w:r>
      <w:r>
        <w:rPr>
          <w:rFonts w:hint="eastAsia" w:ascii="宋体" w:hAnsi="宋体" w:cs="宋体"/>
          <w:color w:val="auto"/>
          <w:sz w:val="32"/>
          <w:szCs w:val="32"/>
          <w:highlight w:val="none"/>
        </w:rPr>
        <w:fldChar w:fldCharType="separate"/>
      </w:r>
      <w:r>
        <w:rPr>
          <w:color w:val="auto"/>
          <w:highlight w:val="none"/>
        </w:rPr>
        <w:fldChar w:fldCharType="begin"/>
      </w:r>
      <w:r>
        <w:rPr>
          <w:color w:val="auto"/>
          <w:highlight w:val="none"/>
        </w:rPr>
        <w:instrText xml:space="preserve">HYPERLINK  \l "_Toc21272" </w:instrText>
      </w:r>
      <w:r>
        <w:rPr>
          <w:color w:val="auto"/>
          <w:highlight w:val="none"/>
        </w:rPr>
        <w:fldChar w:fldCharType="separate"/>
      </w:r>
      <w:r>
        <w:rPr>
          <w:rFonts w:hint="eastAsia" w:ascii="宋体" w:hAnsi="宋体" w:cs="宋体"/>
          <w:b w:val="0"/>
          <w:bCs w:val="0"/>
          <w:color w:val="auto"/>
          <w:sz w:val="28"/>
          <w:szCs w:val="28"/>
          <w:highlight w:val="none"/>
        </w:rPr>
        <w:t xml:space="preserve">第一章  询 价 </w:t>
      </w:r>
      <w:r>
        <w:rPr>
          <w:rFonts w:hint="eastAsia" w:ascii="宋体" w:hAnsi="宋体" w:cs="宋体"/>
          <w:b w:val="0"/>
          <w:bCs w:val="0"/>
          <w:color w:val="auto"/>
          <w:sz w:val="28"/>
          <w:szCs w:val="28"/>
          <w:highlight w:val="none"/>
          <w:lang w:eastAsia="zh-CN"/>
        </w:rPr>
        <w:t>邀</w:t>
      </w:r>
      <w:r>
        <w:rPr>
          <w:rFonts w:hint="eastAsia" w:ascii="宋体" w:hAnsi="宋体" w:cs="宋体"/>
          <w:b w:val="0"/>
          <w:bCs w:val="0"/>
          <w:color w:val="auto"/>
          <w:sz w:val="28"/>
          <w:szCs w:val="28"/>
          <w:highlight w:val="none"/>
          <w:lang w:val="en-US" w:eastAsia="zh-CN"/>
        </w:rPr>
        <w:t xml:space="preserve"> </w:t>
      </w:r>
      <w:r>
        <w:rPr>
          <w:rFonts w:hint="eastAsia" w:ascii="宋体" w:hAnsi="宋体" w:cs="宋体"/>
          <w:b w:val="0"/>
          <w:bCs w:val="0"/>
          <w:color w:val="auto"/>
          <w:sz w:val="28"/>
          <w:szCs w:val="28"/>
          <w:highlight w:val="none"/>
          <w:lang w:eastAsia="zh-CN"/>
        </w:rPr>
        <w:t>请</w:t>
      </w:r>
      <w:r>
        <w:rPr>
          <w:rFonts w:hint="eastAsia" w:ascii="宋体" w:hAnsi="宋体" w:cs="宋体"/>
          <w:b w:val="0"/>
          <w:bCs w:val="0"/>
          <w:color w:val="auto"/>
          <w:sz w:val="28"/>
          <w:szCs w:val="28"/>
          <w:highlight w:val="none"/>
        </w:rPr>
        <w:tab/>
      </w:r>
      <w:r>
        <w:rPr>
          <w:rFonts w:hint="eastAsia" w:ascii="宋体" w:hAnsi="宋体" w:cs="宋体"/>
          <w:b w:val="0"/>
          <w:bCs w:val="0"/>
          <w:color w:val="auto"/>
          <w:sz w:val="28"/>
          <w:szCs w:val="28"/>
          <w:highlight w:val="none"/>
        </w:rPr>
        <w:fldChar w:fldCharType="begin"/>
      </w:r>
      <w:r>
        <w:rPr>
          <w:rFonts w:hint="eastAsia" w:ascii="宋体" w:hAnsi="宋体" w:cs="宋体"/>
          <w:b w:val="0"/>
          <w:bCs w:val="0"/>
          <w:color w:val="auto"/>
          <w:sz w:val="28"/>
          <w:szCs w:val="28"/>
          <w:highlight w:val="none"/>
        </w:rPr>
        <w:instrText xml:space="preserve"> PAGEREF _Toc21272 \h </w:instrText>
      </w:r>
      <w:r>
        <w:rPr>
          <w:rFonts w:hint="eastAsia" w:ascii="宋体" w:hAnsi="宋体" w:cs="宋体"/>
          <w:b w:val="0"/>
          <w:bCs w:val="0"/>
          <w:color w:val="auto"/>
          <w:sz w:val="28"/>
          <w:szCs w:val="28"/>
          <w:highlight w:val="none"/>
        </w:rPr>
        <w:fldChar w:fldCharType="separate"/>
      </w:r>
      <w:r>
        <w:rPr>
          <w:rFonts w:hint="eastAsia" w:ascii="宋体" w:hAnsi="宋体" w:cs="宋体"/>
          <w:b w:val="0"/>
          <w:bCs w:val="0"/>
          <w:color w:val="auto"/>
          <w:sz w:val="28"/>
          <w:szCs w:val="28"/>
          <w:highlight w:val="none"/>
        </w:rPr>
        <w:t>3</w:t>
      </w:r>
      <w:r>
        <w:rPr>
          <w:rFonts w:hint="eastAsia" w:ascii="宋体" w:hAnsi="宋体" w:cs="宋体"/>
          <w:b w:val="0"/>
          <w:bCs w:val="0"/>
          <w:color w:val="auto"/>
          <w:sz w:val="28"/>
          <w:szCs w:val="28"/>
          <w:highlight w:val="none"/>
        </w:rPr>
        <w:fldChar w:fldCharType="end"/>
      </w:r>
      <w:r>
        <w:rPr>
          <w:color w:val="auto"/>
          <w:highlight w:val="none"/>
        </w:rPr>
        <w:fldChar w:fldCharType="end"/>
      </w:r>
    </w:p>
    <w:p w14:paraId="5CB35BBF">
      <w:pPr>
        <w:pStyle w:val="27"/>
        <w:tabs>
          <w:tab w:val="right" w:leader="dot" w:pos="9070"/>
        </w:tabs>
        <w:rPr>
          <w:rFonts w:hint="eastAsia" w:ascii="宋体" w:hAnsi="宋体" w:eastAsia="宋体" w:cs="宋体"/>
          <w:b w:val="0"/>
          <w:bCs w:val="0"/>
          <w:color w:val="auto"/>
          <w:sz w:val="28"/>
          <w:szCs w:val="28"/>
          <w:highlight w:val="none"/>
          <w:lang w:eastAsia="zh-CN"/>
        </w:rPr>
      </w:pPr>
      <w:r>
        <w:rPr>
          <w:color w:val="auto"/>
          <w:highlight w:val="none"/>
        </w:rPr>
        <w:fldChar w:fldCharType="begin"/>
      </w:r>
      <w:r>
        <w:rPr>
          <w:color w:val="auto"/>
          <w:highlight w:val="none"/>
        </w:rPr>
        <w:instrText xml:space="preserve">HYPERLINK  \l "_Toc23539" </w:instrText>
      </w:r>
      <w:r>
        <w:rPr>
          <w:color w:val="auto"/>
          <w:highlight w:val="none"/>
        </w:rPr>
        <w:fldChar w:fldCharType="separate"/>
      </w:r>
      <w:r>
        <w:rPr>
          <w:rFonts w:hint="eastAsia" w:ascii="宋体" w:hAnsi="宋体" w:cs="宋体"/>
          <w:b w:val="0"/>
          <w:bCs w:val="0"/>
          <w:color w:val="auto"/>
          <w:sz w:val="28"/>
          <w:szCs w:val="28"/>
          <w:highlight w:val="none"/>
        </w:rPr>
        <w:t>第二章  供应商须知</w:t>
      </w:r>
      <w:r>
        <w:rPr>
          <w:rFonts w:hint="eastAsia" w:ascii="宋体" w:hAnsi="宋体" w:cs="宋体"/>
          <w:b w:val="0"/>
          <w:bCs w:val="0"/>
          <w:color w:val="auto"/>
          <w:sz w:val="28"/>
          <w:szCs w:val="28"/>
          <w:highlight w:val="none"/>
        </w:rPr>
        <w:tab/>
      </w:r>
      <w:r>
        <w:rPr>
          <w:color w:val="auto"/>
          <w:highlight w:val="none"/>
        </w:rPr>
        <w:fldChar w:fldCharType="end"/>
      </w:r>
      <w:r>
        <w:rPr>
          <w:rFonts w:hint="eastAsia" w:ascii="宋体" w:hAnsi="宋体" w:cs="宋体"/>
          <w:b w:val="0"/>
          <w:bCs w:val="0"/>
          <w:color w:val="auto"/>
          <w:sz w:val="28"/>
          <w:szCs w:val="28"/>
          <w:highlight w:val="none"/>
          <w:lang w:val="en-US" w:eastAsia="zh-CN"/>
        </w:rPr>
        <w:t>6</w:t>
      </w:r>
    </w:p>
    <w:p w14:paraId="441B421D">
      <w:pPr>
        <w:pStyle w:val="27"/>
        <w:tabs>
          <w:tab w:val="right" w:leader="dot" w:pos="9070"/>
        </w:tabs>
        <w:rPr>
          <w:rFonts w:hint="default" w:ascii="宋体" w:hAnsi="宋体" w:eastAsia="宋体" w:cs="宋体"/>
          <w:b w:val="0"/>
          <w:bCs w:val="0"/>
          <w:color w:val="auto"/>
          <w:sz w:val="28"/>
          <w:szCs w:val="28"/>
          <w:highlight w:val="none"/>
          <w:lang w:val="en-US" w:eastAsia="zh-CN"/>
        </w:rPr>
      </w:pPr>
      <w:r>
        <w:rPr>
          <w:color w:val="auto"/>
          <w:highlight w:val="none"/>
        </w:rPr>
        <w:fldChar w:fldCharType="begin"/>
      </w:r>
      <w:r>
        <w:rPr>
          <w:color w:val="auto"/>
          <w:highlight w:val="none"/>
        </w:rPr>
        <w:instrText xml:space="preserve">HYPERLINK  \l "_Toc32184" </w:instrText>
      </w:r>
      <w:r>
        <w:rPr>
          <w:color w:val="auto"/>
          <w:highlight w:val="none"/>
        </w:rPr>
        <w:fldChar w:fldCharType="separate"/>
      </w:r>
      <w:r>
        <w:rPr>
          <w:rFonts w:hint="eastAsia" w:ascii="宋体" w:hAnsi="宋体" w:cs="宋体"/>
          <w:b w:val="0"/>
          <w:bCs w:val="0"/>
          <w:color w:val="auto"/>
          <w:sz w:val="28"/>
          <w:szCs w:val="28"/>
          <w:highlight w:val="none"/>
        </w:rPr>
        <w:t>第三章  项目内容及要求</w:t>
      </w:r>
      <w:r>
        <w:rPr>
          <w:rFonts w:hint="eastAsia" w:ascii="宋体" w:hAnsi="宋体" w:cs="宋体"/>
          <w:b w:val="0"/>
          <w:bCs w:val="0"/>
          <w:color w:val="auto"/>
          <w:sz w:val="28"/>
          <w:szCs w:val="28"/>
          <w:highlight w:val="none"/>
        </w:rPr>
        <w:tab/>
      </w:r>
      <w:r>
        <w:rPr>
          <w:color w:val="auto"/>
          <w:highlight w:val="none"/>
        </w:rPr>
        <w:fldChar w:fldCharType="end"/>
      </w:r>
      <w:r>
        <w:rPr>
          <w:rFonts w:hint="eastAsia" w:ascii="宋体" w:hAnsi="宋体" w:cs="宋体"/>
          <w:b w:val="0"/>
          <w:bCs w:val="0"/>
          <w:color w:val="auto"/>
          <w:sz w:val="28"/>
          <w:szCs w:val="28"/>
          <w:highlight w:val="none"/>
          <w:lang w:val="en-US" w:eastAsia="zh-CN"/>
        </w:rPr>
        <w:t>19</w:t>
      </w:r>
    </w:p>
    <w:p w14:paraId="3172A497">
      <w:pPr>
        <w:pStyle w:val="27"/>
        <w:tabs>
          <w:tab w:val="right" w:leader="dot" w:pos="9070"/>
        </w:tabs>
        <w:rPr>
          <w:rFonts w:hint="eastAsia" w:ascii="宋体" w:hAnsi="宋体" w:eastAsia="宋体" w:cs="宋体"/>
          <w:b w:val="0"/>
          <w:bCs w:val="0"/>
          <w:color w:val="auto"/>
          <w:sz w:val="28"/>
          <w:szCs w:val="28"/>
          <w:highlight w:val="none"/>
          <w:lang w:eastAsia="zh-CN"/>
        </w:rPr>
      </w:pPr>
      <w:r>
        <w:rPr>
          <w:color w:val="auto"/>
          <w:highlight w:val="none"/>
        </w:rPr>
        <w:fldChar w:fldCharType="begin"/>
      </w:r>
      <w:r>
        <w:rPr>
          <w:color w:val="auto"/>
          <w:highlight w:val="none"/>
        </w:rPr>
        <w:instrText xml:space="preserve">HYPERLINK  \l "_Toc1174" </w:instrText>
      </w:r>
      <w:r>
        <w:rPr>
          <w:color w:val="auto"/>
          <w:highlight w:val="none"/>
        </w:rPr>
        <w:fldChar w:fldCharType="separate"/>
      </w:r>
      <w:r>
        <w:rPr>
          <w:rFonts w:hint="eastAsia" w:ascii="宋体" w:hAnsi="宋体" w:cs="宋体"/>
          <w:b w:val="0"/>
          <w:bCs w:val="0"/>
          <w:color w:val="auto"/>
          <w:sz w:val="28"/>
          <w:szCs w:val="28"/>
          <w:highlight w:val="none"/>
        </w:rPr>
        <w:t>第四章  合同（参考文本）</w:t>
      </w:r>
      <w:r>
        <w:rPr>
          <w:rFonts w:hint="eastAsia" w:ascii="宋体" w:hAnsi="宋体" w:cs="宋体"/>
          <w:b w:val="0"/>
          <w:bCs w:val="0"/>
          <w:color w:val="auto"/>
          <w:sz w:val="28"/>
          <w:szCs w:val="28"/>
          <w:highlight w:val="none"/>
        </w:rPr>
        <w:tab/>
      </w:r>
      <w:r>
        <w:rPr>
          <w:rFonts w:hint="eastAsia" w:ascii="宋体" w:hAnsi="宋体" w:cs="宋体"/>
          <w:b w:val="0"/>
          <w:bCs w:val="0"/>
          <w:color w:val="auto"/>
          <w:sz w:val="28"/>
          <w:szCs w:val="28"/>
          <w:highlight w:val="none"/>
        </w:rPr>
        <w:t>2</w:t>
      </w:r>
      <w:r>
        <w:rPr>
          <w:color w:val="auto"/>
          <w:highlight w:val="none"/>
        </w:rPr>
        <w:fldChar w:fldCharType="end"/>
      </w:r>
      <w:r>
        <w:rPr>
          <w:rFonts w:hint="eastAsia" w:ascii="宋体" w:hAnsi="宋体" w:cs="宋体"/>
          <w:b w:val="0"/>
          <w:bCs w:val="0"/>
          <w:color w:val="auto"/>
          <w:sz w:val="28"/>
          <w:szCs w:val="28"/>
          <w:highlight w:val="none"/>
          <w:lang w:val="en-US" w:eastAsia="zh-CN"/>
        </w:rPr>
        <w:t>3</w:t>
      </w:r>
    </w:p>
    <w:p w14:paraId="1D357946">
      <w:pPr>
        <w:pStyle w:val="27"/>
        <w:tabs>
          <w:tab w:val="right" w:leader="dot" w:pos="9070"/>
        </w:tabs>
        <w:rPr>
          <w:rFonts w:hint="eastAsia" w:ascii="宋体" w:hAnsi="宋体" w:eastAsia="宋体" w:cs="宋体"/>
          <w:b w:val="0"/>
          <w:bCs w:val="0"/>
          <w:color w:val="auto"/>
          <w:sz w:val="28"/>
          <w:szCs w:val="28"/>
          <w:highlight w:val="none"/>
          <w:lang w:eastAsia="zh-CN"/>
        </w:rPr>
      </w:pPr>
      <w:r>
        <w:rPr>
          <w:color w:val="auto"/>
          <w:highlight w:val="none"/>
        </w:rPr>
        <w:fldChar w:fldCharType="begin"/>
      </w:r>
      <w:r>
        <w:rPr>
          <w:color w:val="auto"/>
          <w:highlight w:val="none"/>
        </w:rPr>
        <w:instrText xml:space="preserve">HYPERLINK  \l "_Toc2025" </w:instrText>
      </w:r>
      <w:r>
        <w:rPr>
          <w:color w:val="auto"/>
          <w:highlight w:val="none"/>
        </w:rPr>
        <w:fldChar w:fldCharType="separate"/>
      </w:r>
      <w:r>
        <w:rPr>
          <w:rFonts w:hint="eastAsia" w:ascii="宋体" w:hAnsi="宋体" w:cs="宋体"/>
          <w:b w:val="0"/>
          <w:bCs w:val="0"/>
          <w:color w:val="auto"/>
          <w:sz w:val="28"/>
          <w:szCs w:val="28"/>
          <w:highlight w:val="none"/>
        </w:rPr>
        <w:t>第五章  响应文件格式</w:t>
      </w:r>
      <w:r>
        <w:rPr>
          <w:rFonts w:hint="eastAsia" w:ascii="宋体" w:hAnsi="宋体" w:cs="宋体"/>
          <w:b w:val="0"/>
          <w:bCs w:val="0"/>
          <w:color w:val="auto"/>
          <w:sz w:val="28"/>
          <w:szCs w:val="28"/>
          <w:highlight w:val="none"/>
        </w:rPr>
        <w:tab/>
      </w:r>
      <w:r>
        <w:rPr>
          <w:rFonts w:hint="eastAsia" w:ascii="宋体" w:hAnsi="宋体" w:cs="宋体"/>
          <w:b w:val="0"/>
          <w:bCs w:val="0"/>
          <w:color w:val="auto"/>
          <w:sz w:val="28"/>
          <w:szCs w:val="28"/>
          <w:highlight w:val="none"/>
        </w:rPr>
        <w:fldChar w:fldCharType="begin"/>
      </w:r>
      <w:r>
        <w:rPr>
          <w:rFonts w:hint="eastAsia" w:ascii="宋体" w:hAnsi="宋体" w:cs="宋体"/>
          <w:b w:val="0"/>
          <w:bCs w:val="0"/>
          <w:color w:val="auto"/>
          <w:sz w:val="28"/>
          <w:szCs w:val="28"/>
          <w:highlight w:val="none"/>
        </w:rPr>
        <w:instrText xml:space="preserve"> PAGEREF _Toc2025 \h </w:instrText>
      </w:r>
      <w:r>
        <w:rPr>
          <w:rFonts w:hint="eastAsia" w:ascii="宋体" w:hAnsi="宋体" w:cs="宋体"/>
          <w:b w:val="0"/>
          <w:bCs w:val="0"/>
          <w:color w:val="auto"/>
          <w:sz w:val="28"/>
          <w:szCs w:val="28"/>
          <w:highlight w:val="none"/>
        </w:rPr>
        <w:fldChar w:fldCharType="separate"/>
      </w:r>
      <w:r>
        <w:rPr>
          <w:rFonts w:hint="eastAsia" w:ascii="宋体" w:hAnsi="宋体" w:cs="宋体"/>
          <w:b w:val="0"/>
          <w:bCs w:val="0"/>
          <w:color w:val="auto"/>
          <w:sz w:val="28"/>
          <w:szCs w:val="28"/>
          <w:highlight w:val="none"/>
        </w:rPr>
        <w:t>43</w:t>
      </w:r>
      <w:r>
        <w:rPr>
          <w:rFonts w:hint="eastAsia" w:ascii="宋体" w:hAnsi="宋体" w:cs="宋体"/>
          <w:b w:val="0"/>
          <w:bCs w:val="0"/>
          <w:color w:val="auto"/>
          <w:sz w:val="28"/>
          <w:szCs w:val="28"/>
          <w:highlight w:val="none"/>
        </w:rPr>
        <w:fldChar w:fldCharType="end"/>
      </w:r>
      <w:r>
        <w:rPr>
          <w:color w:val="auto"/>
          <w:highlight w:val="none"/>
        </w:rPr>
        <w:fldChar w:fldCharType="end"/>
      </w:r>
    </w:p>
    <w:p w14:paraId="06B1C10B">
      <w:pPr>
        <w:pStyle w:val="27"/>
        <w:tabs>
          <w:tab w:val="right" w:leader="dot" w:pos="9070"/>
        </w:tabs>
        <w:rPr>
          <w:rFonts w:ascii="宋体" w:hAnsi="宋体" w:cs="宋体"/>
          <w:color w:val="auto"/>
          <w:highlight w:val="none"/>
        </w:rPr>
      </w:pPr>
    </w:p>
    <w:p w14:paraId="47009D36">
      <w:pPr>
        <w:rPr>
          <w:rFonts w:ascii="宋体" w:hAnsi="宋体" w:cs="宋体"/>
          <w:color w:val="auto"/>
          <w:szCs w:val="32"/>
          <w:highlight w:val="none"/>
        </w:rPr>
      </w:pPr>
      <w:r>
        <w:rPr>
          <w:rFonts w:hint="eastAsia" w:ascii="宋体" w:hAnsi="宋体" w:cs="宋体"/>
          <w:color w:val="auto"/>
          <w:szCs w:val="32"/>
          <w:highlight w:val="none"/>
        </w:rPr>
        <w:fldChar w:fldCharType="end"/>
      </w:r>
    </w:p>
    <w:p w14:paraId="31AD2E80">
      <w:pPr>
        <w:widowControl/>
        <w:jc w:val="left"/>
        <w:rPr>
          <w:rFonts w:ascii="宋体" w:hAnsi="宋体" w:cs="宋体"/>
          <w:b/>
          <w:bCs/>
          <w:color w:val="auto"/>
          <w:sz w:val="32"/>
          <w:szCs w:val="32"/>
          <w:highlight w:val="none"/>
        </w:rPr>
      </w:pPr>
      <w:bookmarkStart w:id="0" w:name="_Toc21272"/>
      <w:bookmarkStart w:id="207" w:name="_GoBack"/>
      <w:bookmarkEnd w:id="207"/>
    </w:p>
    <w:p w14:paraId="5B384BCC">
      <w:pPr>
        <w:widowControl/>
        <w:jc w:val="left"/>
        <w:rPr>
          <w:rFonts w:ascii="宋体" w:hAnsi="宋体" w:cs="宋体"/>
          <w:b/>
          <w:bCs/>
          <w:color w:val="auto"/>
          <w:sz w:val="32"/>
          <w:szCs w:val="32"/>
          <w:highlight w:val="none"/>
        </w:rPr>
      </w:pPr>
    </w:p>
    <w:p w14:paraId="0DDDC61A">
      <w:pPr>
        <w:widowControl/>
        <w:jc w:val="left"/>
        <w:rPr>
          <w:rFonts w:ascii="宋体" w:hAnsi="宋体" w:cs="宋体"/>
          <w:b/>
          <w:bCs/>
          <w:color w:val="auto"/>
          <w:sz w:val="32"/>
          <w:szCs w:val="32"/>
          <w:highlight w:val="none"/>
        </w:rPr>
      </w:pPr>
    </w:p>
    <w:p w14:paraId="043D9186">
      <w:pPr>
        <w:widowControl/>
        <w:jc w:val="left"/>
        <w:rPr>
          <w:rFonts w:ascii="宋体" w:hAnsi="宋体" w:cs="宋体"/>
          <w:b/>
          <w:bCs/>
          <w:color w:val="auto"/>
          <w:sz w:val="32"/>
          <w:szCs w:val="32"/>
          <w:highlight w:val="none"/>
        </w:rPr>
      </w:pPr>
    </w:p>
    <w:p w14:paraId="665EB493">
      <w:pPr>
        <w:widowControl/>
        <w:jc w:val="left"/>
        <w:rPr>
          <w:rFonts w:ascii="宋体" w:hAnsi="宋体" w:cs="宋体"/>
          <w:b/>
          <w:bCs/>
          <w:color w:val="auto"/>
          <w:sz w:val="32"/>
          <w:szCs w:val="32"/>
          <w:highlight w:val="none"/>
        </w:rPr>
      </w:pPr>
    </w:p>
    <w:p w14:paraId="6BB957F8">
      <w:pPr>
        <w:widowControl/>
        <w:jc w:val="left"/>
        <w:rPr>
          <w:rFonts w:ascii="宋体" w:hAnsi="宋体" w:cs="宋体"/>
          <w:b/>
          <w:bCs/>
          <w:color w:val="auto"/>
          <w:sz w:val="32"/>
          <w:szCs w:val="32"/>
          <w:highlight w:val="none"/>
        </w:rPr>
      </w:pPr>
    </w:p>
    <w:p w14:paraId="6231371F">
      <w:pPr>
        <w:widowControl/>
        <w:jc w:val="left"/>
        <w:rPr>
          <w:rFonts w:ascii="宋体" w:hAnsi="宋体" w:cs="宋体"/>
          <w:b/>
          <w:bCs/>
          <w:color w:val="auto"/>
          <w:sz w:val="32"/>
          <w:szCs w:val="32"/>
          <w:highlight w:val="none"/>
        </w:rPr>
      </w:pPr>
    </w:p>
    <w:p w14:paraId="34D8984D">
      <w:pPr>
        <w:widowControl/>
        <w:jc w:val="left"/>
        <w:rPr>
          <w:rFonts w:ascii="宋体" w:hAnsi="宋体" w:cs="宋体"/>
          <w:b/>
          <w:bCs/>
          <w:color w:val="auto"/>
          <w:sz w:val="32"/>
          <w:szCs w:val="32"/>
          <w:highlight w:val="none"/>
        </w:rPr>
      </w:pPr>
    </w:p>
    <w:p w14:paraId="328EA5B3">
      <w:pPr>
        <w:widowControl/>
        <w:jc w:val="left"/>
        <w:rPr>
          <w:rFonts w:ascii="宋体" w:hAnsi="宋体" w:cs="宋体"/>
          <w:b/>
          <w:bCs/>
          <w:color w:val="auto"/>
          <w:sz w:val="32"/>
          <w:szCs w:val="32"/>
          <w:highlight w:val="none"/>
        </w:rPr>
      </w:pPr>
    </w:p>
    <w:p w14:paraId="33DE4E45">
      <w:pPr>
        <w:widowControl/>
        <w:jc w:val="left"/>
        <w:rPr>
          <w:rFonts w:ascii="宋体" w:hAnsi="宋体" w:cs="宋体"/>
          <w:b/>
          <w:bCs/>
          <w:color w:val="auto"/>
          <w:sz w:val="32"/>
          <w:szCs w:val="32"/>
          <w:highlight w:val="none"/>
        </w:rPr>
      </w:pPr>
    </w:p>
    <w:p w14:paraId="262DA227">
      <w:pPr>
        <w:widowControl/>
        <w:jc w:val="left"/>
        <w:rPr>
          <w:rFonts w:ascii="宋体" w:hAnsi="宋体" w:cs="宋体"/>
          <w:b/>
          <w:bCs/>
          <w:color w:val="auto"/>
          <w:sz w:val="32"/>
          <w:szCs w:val="32"/>
          <w:highlight w:val="none"/>
        </w:rPr>
      </w:pPr>
    </w:p>
    <w:p w14:paraId="665B31AC">
      <w:pPr>
        <w:widowControl/>
        <w:jc w:val="left"/>
        <w:rPr>
          <w:rFonts w:ascii="宋体" w:hAnsi="宋体" w:cs="宋体"/>
          <w:b/>
          <w:bCs/>
          <w:color w:val="auto"/>
          <w:sz w:val="32"/>
          <w:szCs w:val="32"/>
          <w:highlight w:val="none"/>
        </w:rPr>
      </w:pPr>
    </w:p>
    <w:p w14:paraId="12D142F3">
      <w:pPr>
        <w:widowControl/>
        <w:jc w:val="left"/>
        <w:rPr>
          <w:rFonts w:ascii="宋体" w:hAnsi="宋体" w:cs="宋体"/>
          <w:b/>
          <w:bCs/>
          <w:color w:val="auto"/>
          <w:sz w:val="32"/>
          <w:szCs w:val="32"/>
          <w:highlight w:val="none"/>
        </w:rPr>
      </w:pPr>
    </w:p>
    <w:p w14:paraId="0B83B393">
      <w:pPr>
        <w:widowControl/>
        <w:jc w:val="left"/>
        <w:rPr>
          <w:rFonts w:ascii="宋体" w:hAnsi="宋体" w:cs="宋体"/>
          <w:b/>
          <w:bCs/>
          <w:color w:val="auto"/>
          <w:sz w:val="32"/>
          <w:szCs w:val="32"/>
          <w:highlight w:val="none"/>
        </w:rPr>
      </w:pPr>
    </w:p>
    <w:p w14:paraId="330C233F">
      <w:pPr>
        <w:widowControl/>
        <w:jc w:val="left"/>
        <w:rPr>
          <w:rFonts w:ascii="宋体" w:hAnsi="宋体" w:cs="宋体"/>
          <w:b/>
          <w:bCs/>
          <w:color w:val="auto"/>
          <w:sz w:val="32"/>
          <w:szCs w:val="32"/>
          <w:highlight w:val="none"/>
        </w:rPr>
      </w:pPr>
    </w:p>
    <w:p w14:paraId="3B96B3F7">
      <w:pPr>
        <w:widowControl/>
        <w:jc w:val="left"/>
        <w:rPr>
          <w:rFonts w:ascii="宋体" w:hAnsi="宋体" w:cs="宋体"/>
          <w:b/>
          <w:bCs/>
          <w:color w:val="auto"/>
          <w:sz w:val="32"/>
          <w:szCs w:val="32"/>
          <w:highlight w:val="none"/>
        </w:rPr>
      </w:pPr>
    </w:p>
    <w:p w14:paraId="4E68B075">
      <w:pPr>
        <w:widowControl/>
        <w:jc w:val="left"/>
        <w:rPr>
          <w:rFonts w:ascii="宋体" w:hAnsi="宋体" w:cs="宋体"/>
          <w:b/>
          <w:bCs/>
          <w:color w:val="auto"/>
          <w:sz w:val="32"/>
          <w:szCs w:val="32"/>
          <w:highlight w:val="none"/>
        </w:rPr>
      </w:pPr>
    </w:p>
    <w:p w14:paraId="04759EF1">
      <w:pPr>
        <w:widowControl/>
        <w:jc w:val="left"/>
        <w:rPr>
          <w:rFonts w:ascii="宋体" w:hAnsi="宋体" w:cs="宋体"/>
          <w:b/>
          <w:bCs/>
          <w:color w:val="auto"/>
          <w:sz w:val="32"/>
          <w:szCs w:val="32"/>
          <w:highlight w:val="none"/>
        </w:rPr>
      </w:pPr>
    </w:p>
    <w:p w14:paraId="26B26CFD">
      <w:pPr>
        <w:widowControl/>
        <w:jc w:val="left"/>
        <w:rPr>
          <w:rFonts w:ascii="宋体" w:hAnsi="宋体" w:cs="宋体"/>
          <w:b/>
          <w:bCs/>
          <w:color w:val="auto"/>
          <w:sz w:val="32"/>
          <w:szCs w:val="32"/>
          <w:highlight w:val="none"/>
        </w:rPr>
      </w:pPr>
    </w:p>
    <w:p w14:paraId="185D922A">
      <w:pPr>
        <w:widowControl/>
        <w:jc w:val="left"/>
        <w:rPr>
          <w:rFonts w:ascii="宋体" w:hAnsi="宋体" w:cs="宋体"/>
          <w:b/>
          <w:bCs/>
          <w:color w:val="auto"/>
          <w:sz w:val="32"/>
          <w:szCs w:val="32"/>
          <w:highlight w:val="none"/>
        </w:rPr>
      </w:pPr>
    </w:p>
    <w:p w14:paraId="0FE92598">
      <w:pPr>
        <w:widowControl/>
        <w:jc w:val="left"/>
        <w:rPr>
          <w:rFonts w:ascii="宋体" w:hAnsi="宋体" w:cs="宋体"/>
          <w:b/>
          <w:bCs/>
          <w:color w:val="auto"/>
          <w:sz w:val="32"/>
          <w:szCs w:val="32"/>
          <w:highlight w:val="none"/>
        </w:rPr>
      </w:pPr>
    </w:p>
    <w:p w14:paraId="02BDF60A">
      <w:pPr>
        <w:widowControl/>
        <w:jc w:val="left"/>
        <w:rPr>
          <w:rFonts w:ascii="宋体" w:hAnsi="宋体" w:cs="宋体"/>
          <w:b/>
          <w:bCs/>
          <w:color w:val="auto"/>
          <w:sz w:val="32"/>
          <w:szCs w:val="32"/>
          <w:highlight w:val="none"/>
        </w:rPr>
      </w:pPr>
    </w:p>
    <w:p w14:paraId="53604B56">
      <w:pPr>
        <w:widowControl/>
        <w:jc w:val="left"/>
        <w:rPr>
          <w:rFonts w:ascii="宋体" w:hAnsi="宋体" w:cs="宋体"/>
          <w:b/>
          <w:bCs/>
          <w:color w:val="auto"/>
          <w:sz w:val="32"/>
          <w:szCs w:val="32"/>
          <w:highlight w:val="none"/>
        </w:rPr>
      </w:pPr>
    </w:p>
    <w:p w14:paraId="694C2D3F">
      <w:pPr>
        <w:widowControl/>
        <w:jc w:val="left"/>
        <w:rPr>
          <w:rFonts w:ascii="宋体" w:hAnsi="宋体" w:cs="宋体"/>
          <w:b/>
          <w:bCs/>
          <w:color w:val="auto"/>
          <w:sz w:val="32"/>
          <w:szCs w:val="32"/>
          <w:highlight w:val="none"/>
        </w:rPr>
      </w:pPr>
    </w:p>
    <w:p w14:paraId="79DA619F">
      <w:pPr>
        <w:pStyle w:val="3"/>
        <w:spacing w:before="0" w:after="0" w:line="480" w:lineRule="exact"/>
        <w:jc w:val="center"/>
        <w:rPr>
          <w:rFonts w:hint="eastAsia" w:ascii="宋体" w:hAnsi="宋体" w:eastAsia="宋体" w:cs="宋体"/>
          <w:color w:val="auto"/>
          <w:highlight w:val="none"/>
          <w:lang w:eastAsia="zh-CN"/>
        </w:rPr>
      </w:pPr>
      <w:r>
        <w:rPr>
          <w:rFonts w:hint="eastAsia" w:ascii="宋体" w:hAnsi="宋体" w:cs="宋体"/>
          <w:color w:val="auto"/>
          <w:highlight w:val="none"/>
        </w:rPr>
        <w:t xml:space="preserve">第一章 </w:t>
      </w:r>
      <w:bookmarkEnd w:id="0"/>
      <w:bookmarkStart w:id="1" w:name="_Toc11845124"/>
      <w:bookmarkStart w:id="2" w:name="_Toc185762835"/>
      <w:r>
        <w:rPr>
          <w:rFonts w:hint="eastAsia" w:ascii="宋体" w:hAnsi="宋体" w:cs="宋体"/>
          <w:color w:val="auto"/>
          <w:highlight w:val="none"/>
        </w:rPr>
        <w:t>询价</w:t>
      </w:r>
      <w:bookmarkEnd w:id="1"/>
      <w:bookmarkEnd w:id="2"/>
      <w:r>
        <w:rPr>
          <w:rFonts w:hint="eastAsia" w:ascii="宋体" w:hAnsi="宋体" w:cs="宋体"/>
          <w:color w:val="auto"/>
          <w:highlight w:val="none"/>
          <w:lang w:eastAsia="zh-CN"/>
        </w:rPr>
        <w:t>邀请</w:t>
      </w:r>
    </w:p>
    <w:p w14:paraId="1A8A9A9A">
      <w:pPr>
        <w:spacing w:line="470" w:lineRule="exact"/>
        <w:ind w:firstLine="720" w:firstLineChars="300"/>
        <w:rPr>
          <w:rFonts w:ascii="宋体" w:hAnsi="宋体" w:cs="宋体"/>
          <w:color w:val="auto"/>
          <w:sz w:val="24"/>
          <w:highlight w:val="none"/>
        </w:rPr>
      </w:pPr>
      <w:bookmarkStart w:id="3" w:name="_Toc185762836"/>
      <w:bookmarkStart w:id="4" w:name="_Toc323555866"/>
      <w:bookmarkStart w:id="5" w:name="_Toc11845125"/>
      <w:r>
        <w:rPr>
          <w:rFonts w:hint="eastAsia" w:ascii="宋体" w:hAnsi="宋体" w:cs="宋体"/>
          <w:b w:val="0"/>
          <w:bCs w:val="0"/>
          <w:color w:val="auto"/>
          <w:kern w:val="0"/>
          <w:sz w:val="24"/>
          <w:szCs w:val="24"/>
          <w:highlight w:val="none"/>
          <w:u w:val="single"/>
        </w:rPr>
        <w:t>厦门湖里国投物业服务有限公司</w:t>
      </w:r>
      <w:r>
        <w:rPr>
          <w:rFonts w:hint="eastAsia" w:ascii="宋体" w:hAnsi="宋体" w:cs="宋体"/>
          <w:b/>
          <w:bCs/>
          <w:color w:val="auto"/>
          <w:kern w:val="0"/>
          <w:sz w:val="24"/>
          <w:szCs w:val="24"/>
          <w:highlight w:val="none"/>
          <w:u w:val="single"/>
        </w:rPr>
        <w:t xml:space="preserve"> </w:t>
      </w:r>
      <w:r>
        <w:rPr>
          <w:rFonts w:hint="eastAsia" w:ascii="宋体" w:hAnsi="宋体" w:cs="宋体"/>
          <w:color w:val="auto"/>
          <w:kern w:val="0"/>
          <w:sz w:val="24"/>
          <w:szCs w:val="24"/>
          <w:highlight w:val="none"/>
        </w:rPr>
        <w:t>确定采用</w:t>
      </w:r>
      <w:r>
        <w:rPr>
          <w:rFonts w:hint="eastAsia" w:ascii="宋体" w:hAnsi="宋体" w:cs="宋体"/>
          <w:color w:val="auto"/>
          <w:kern w:val="0"/>
          <w:sz w:val="24"/>
          <w:szCs w:val="24"/>
          <w:highlight w:val="none"/>
          <w:u w:val="single"/>
        </w:rPr>
        <w:t xml:space="preserve">  </w:t>
      </w:r>
      <w:r>
        <w:rPr>
          <w:rFonts w:hint="eastAsia" w:ascii="宋体" w:hAnsi="宋体" w:cs="宋体"/>
          <w:b w:val="0"/>
          <w:color w:val="auto"/>
          <w:kern w:val="0"/>
          <w:sz w:val="24"/>
          <w:szCs w:val="24"/>
          <w:highlight w:val="none"/>
          <w:u w:val="single"/>
        </w:rPr>
        <w:t>询价</w:t>
      </w:r>
      <w:r>
        <w:rPr>
          <w:rFonts w:hint="eastAsia" w:ascii="宋体" w:hAnsi="宋体" w:cs="宋体"/>
          <w:b w:val="0"/>
          <w:color w:val="auto"/>
          <w:kern w:val="0"/>
          <w:sz w:val="24"/>
          <w:szCs w:val="24"/>
          <w:highlight w:val="none"/>
          <w:u w:val="single"/>
          <w:lang w:val="en-US" w:eastAsia="zh-CN"/>
        </w:rPr>
        <w:t>采购</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方式组织</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lang w:val="en-US" w:eastAsia="zh-CN"/>
        </w:rPr>
        <w:t>古地石指挥部及金尚菜市场项目、厦大海韵园二期项目保洁绿化服务</w:t>
      </w:r>
      <w:r>
        <w:rPr>
          <w:rFonts w:hint="eastAsia" w:ascii="宋体" w:hAnsi="宋体" w:cs="宋体"/>
          <w:color w:val="auto"/>
          <w:kern w:val="0"/>
          <w:sz w:val="24"/>
          <w:szCs w:val="24"/>
          <w:highlight w:val="none"/>
          <w:u w:val="single"/>
        </w:rPr>
        <w:t xml:space="preserve"> </w:t>
      </w:r>
      <w:r>
        <w:rPr>
          <w:rFonts w:hint="eastAsia" w:ascii="宋体" w:hAnsi="宋体" w:cs="宋体"/>
          <w:b/>
          <w:bCs/>
          <w:color w:val="auto"/>
          <w:kern w:val="0"/>
          <w:sz w:val="24"/>
          <w:szCs w:val="24"/>
          <w:highlight w:val="none"/>
          <w:u w:val="single"/>
        </w:rPr>
        <w:t xml:space="preserve"> </w:t>
      </w:r>
      <w:r>
        <w:rPr>
          <w:rFonts w:hint="eastAsia" w:ascii="宋体" w:hAnsi="宋体" w:cs="宋体"/>
          <w:color w:val="auto"/>
          <w:kern w:val="0"/>
          <w:sz w:val="24"/>
          <w:szCs w:val="24"/>
          <w:highlight w:val="none"/>
        </w:rPr>
        <w:t>项目（以下简称：“本项目”）的采购活动，现欢迎</w:t>
      </w:r>
      <w:r>
        <w:rPr>
          <w:rFonts w:hint="eastAsia" w:ascii="宋体" w:hAnsi="宋体" w:cs="宋体"/>
          <w:color w:val="auto"/>
          <w:kern w:val="0"/>
          <w:sz w:val="24"/>
          <w:szCs w:val="24"/>
          <w:highlight w:val="none"/>
          <w:lang w:val="en-US" w:eastAsia="zh-CN"/>
        </w:rPr>
        <w:t>国内合格的供应商前来参加</w:t>
      </w:r>
      <w:r>
        <w:rPr>
          <w:rFonts w:hint="eastAsia" w:ascii="宋体" w:hAnsi="宋体" w:cs="宋体"/>
          <w:color w:val="auto"/>
          <w:kern w:val="0"/>
          <w:sz w:val="24"/>
          <w:szCs w:val="24"/>
          <w:highlight w:val="none"/>
        </w:rPr>
        <w:t>。资金来源为：</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lang w:val="en-US" w:eastAsia="zh-CN"/>
        </w:rPr>
        <w:t>国企</w:t>
      </w:r>
      <w:r>
        <w:rPr>
          <w:rFonts w:hint="eastAsia" w:ascii="宋体" w:hAnsi="宋体" w:cs="宋体"/>
          <w:color w:val="auto"/>
          <w:kern w:val="0"/>
          <w:sz w:val="24"/>
          <w:szCs w:val="24"/>
          <w:highlight w:val="none"/>
          <w:u w:val="single"/>
        </w:rPr>
        <w:t xml:space="preserve">资金 </w:t>
      </w:r>
      <w:r>
        <w:rPr>
          <w:rFonts w:hint="eastAsia" w:ascii="宋体" w:hAnsi="宋体" w:cs="宋体"/>
          <w:color w:val="auto"/>
          <w:kern w:val="0"/>
          <w:sz w:val="24"/>
          <w:szCs w:val="24"/>
          <w:highlight w:val="none"/>
        </w:rPr>
        <w:t>。本项目由采购人委托</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lang w:eastAsia="zh-CN"/>
        </w:rPr>
        <w:t>厦门</w:t>
      </w:r>
      <w:r>
        <w:rPr>
          <w:rFonts w:hint="eastAsia" w:ascii="宋体" w:hAnsi="宋体" w:cs="宋体"/>
          <w:color w:val="auto"/>
          <w:kern w:val="0"/>
          <w:sz w:val="24"/>
          <w:szCs w:val="24"/>
          <w:highlight w:val="none"/>
          <w:u w:val="single"/>
          <w:lang w:val="en-US" w:eastAsia="zh-CN"/>
        </w:rPr>
        <w:t>湖里国投工程建设有限公司</w:t>
      </w:r>
      <w:r>
        <w:rPr>
          <w:rFonts w:hint="eastAsia" w:ascii="宋体" w:hAnsi="宋体" w:cs="宋体"/>
          <w:b/>
          <w:bCs/>
          <w:color w:val="auto"/>
          <w:kern w:val="0"/>
          <w:sz w:val="24"/>
          <w:szCs w:val="24"/>
          <w:highlight w:val="none"/>
          <w:u w:val="single"/>
        </w:rPr>
        <w:t xml:space="preserve"> </w:t>
      </w:r>
      <w:r>
        <w:rPr>
          <w:rFonts w:hint="eastAsia" w:ascii="宋体" w:hAnsi="宋体" w:cs="宋体"/>
          <w:color w:val="auto"/>
          <w:kern w:val="0"/>
          <w:sz w:val="24"/>
          <w:szCs w:val="24"/>
          <w:highlight w:val="none"/>
        </w:rPr>
        <w:t>开展采购活动</w:t>
      </w:r>
      <w:r>
        <w:rPr>
          <w:rFonts w:hint="eastAsia" w:ascii="宋体" w:hAnsi="宋体" w:cs="宋体"/>
          <w:color w:val="auto"/>
          <w:sz w:val="24"/>
          <w:highlight w:val="none"/>
        </w:rPr>
        <w:t>。</w:t>
      </w:r>
    </w:p>
    <w:p w14:paraId="2F53DAC1">
      <w:pPr>
        <w:spacing w:line="240" w:lineRule="auto"/>
        <w:ind w:firstLine="241" w:firstLineChars="100"/>
        <w:rPr>
          <w:rFonts w:ascii="宋体" w:hAnsi="宋体" w:cs="宋体"/>
          <w:color w:val="auto"/>
          <w:sz w:val="24"/>
          <w:highlight w:val="none"/>
        </w:rPr>
      </w:pPr>
      <w:r>
        <w:rPr>
          <w:rFonts w:hint="eastAsia" w:ascii="宋体" w:hAnsi="宋体" w:cs="宋体"/>
          <w:b/>
          <w:bCs/>
          <w:color w:val="auto"/>
          <w:sz w:val="24"/>
          <w:highlight w:val="none"/>
        </w:rPr>
        <w:t>1.项目编号</w:t>
      </w:r>
      <w:r>
        <w:rPr>
          <w:rFonts w:hint="eastAsia" w:ascii="宋体" w:hAnsi="宋体" w:cs="宋体"/>
          <w:color w:val="auto"/>
          <w:sz w:val="24"/>
          <w:highlight w:val="none"/>
        </w:rPr>
        <w:t>：</w:t>
      </w:r>
      <w:r>
        <w:rPr>
          <w:rFonts w:hint="eastAsia" w:ascii="宋体" w:hAnsi="宋体" w:cs="宋体"/>
          <w:color w:val="auto"/>
          <w:sz w:val="24"/>
          <w:szCs w:val="24"/>
          <w:highlight w:val="none"/>
          <w:lang w:val="en-US" w:eastAsia="zh-CN"/>
        </w:rPr>
        <w:t>GTWY2025-001</w:t>
      </w:r>
      <w:r>
        <w:rPr>
          <w:rFonts w:hint="eastAsia" w:ascii="宋体" w:hAnsi="宋体" w:cs="宋体"/>
          <w:color w:val="auto"/>
          <w:sz w:val="24"/>
          <w:highlight w:val="none"/>
        </w:rPr>
        <w:t xml:space="preserve">  </w:t>
      </w:r>
    </w:p>
    <w:p w14:paraId="38724A37">
      <w:pPr>
        <w:spacing w:line="470" w:lineRule="exact"/>
        <w:ind w:firstLine="241" w:firstLineChars="100"/>
        <w:rPr>
          <w:rFonts w:ascii="宋体" w:hAnsi="宋体" w:cs="宋体"/>
          <w:color w:val="auto"/>
          <w:sz w:val="24"/>
          <w:highlight w:val="none"/>
        </w:rPr>
      </w:pPr>
      <w:r>
        <w:rPr>
          <w:rFonts w:hint="eastAsia" w:ascii="宋体" w:hAnsi="宋体" w:cs="宋体"/>
          <w:b/>
          <w:bCs/>
          <w:color w:val="auto"/>
          <w:sz w:val="24"/>
          <w:highlight w:val="none"/>
        </w:rPr>
        <w:t>2.</w:t>
      </w:r>
      <w:r>
        <w:rPr>
          <w:rFonts w:hint="eastAsia" w:ascii="宋体" w:hAnsi="宋体" w:cs="宋体"/>
          <w:b/>
          <w:bCs/>
          <w:color w:val="auto"/>
          <w:sz w:val="24"/>
          <w:highlight w:val="none"/>
          <w:lang w:val="en-US" w:eastAsia="zh-CN"/>
        </w:rPr>
        <w:t>询价内容及</w:t>
      </w:r>
      <w:r>
        <w:rPr>
          <w:rFonts w:hint="eastAsia" w:ascii="宋体" w:hAnsi="宋体" w:cs="宋体"/>
          <w:b/>
          <w:bCs/>
          <w:color w:val="auto"/>
          <w:sz w:val="24"/>
          <w:highlight w:val="none"/>
        </w:rPr>
        <w:t>要求</w:t>
      </w:r>
      <w:r>
        <w:rPr>
          <w:rFonts w:hint="eastAsia" w:ascii="宋体" w:hAnsi="宋体" w:cs="宋体"/>
          <w:color w:val="auto"/>
          <w:sz w:val="24"/>
          <w:highlight w:val="none"/>
        </w:rPr>
        <w:t>：</w:t>
      </w:r>
    </w:p>
    <w:tbl>
      <w:tblPr>
        <w:tblStyle w:val="42"/>
        <w:tblpPr w:leftFromText="180" w:rightFromText="180" w:vertAnchor="text" w:horzAnchor="page" w:tblpX="1365" w:tblpY="194"/>
        <w:tblOverlap w:val="never"/>
        <w:tblW w:w="9598"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803"/>
        <w:gridCol w:w="2602"/>
        <w:gridCol w:w="1473"/>
        <w:gridCol w:w="1217"/>
        <w:gridCol w:w="1336"/>
        <w:gridCol w:w="2167"/>
      </w:tblGrid>
      <w:tr w14:paraId="68DCFD2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38" w:hRule="atLeast"/>
          <w:tblHeader/>
        </w:trPr>
        <w:tc>
          <w:tcPr>
            <w:tcW w:w="803" w:type="dxa"/>
            <w:tcBorders>
              <w:top w:val="outset" w:color="auto" w:sz="6" w:space="0"/>
              <w:left w:val="outset" w:color="auto" w:sz="6" w:space="0"/>
              <w:bottom w:val="outset" w:color="auto" w:sz="6" w:space="0"/>
              <w:right w:val="outset" w:color="auto" w:sz="6" w:space="0"/>
            </w:tcBorders>
            <w:vAlign w:val="center"/>
          </w:tcPr>
          <w:p w14:paraId="499D62A0">
            <w:pPr>
              <w:spacing w:line="470" w:lineRule="exact"/>
              <w:jc w:val="center"/>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序号</w:t>
            </w:r>
          </w:p>
        </w:tc>
        <w:tc>
          <w:tcPr>
            <w:tcW w:w="2602" w:type="dxa"/>
            <w:tcBorders>
              <w:top w:val="outset" w:color="auto" w:sz="6" w:space="0"/>
              <w:left w:val="outset" w:color="auto" w:sz="6" w:space="0"/>
              <w:bottom w:val="outset" w:color="auto" w:sz="6" w:space="0"/>
              <w:right w:val="outset" w:color="auto" w:sz="6" w:space="0"/>
            </w:tcBorders>
            <w:vAlign w:val="center"/>
          </w:tcPr>
          <w:p w14:paraId="5AA0616E">
            <w:pPr>
              <w:spacing w:line="470" w:lineRule="exact"/>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标的</w:t>
            </w:r>
            <w:r>
              <w:rPr>
                <w:rFonts w:hint="eastAsia" w:ascii="宋体" w:hAnsi="宋体" w:cs="宋体"/>
                <w:color w:val="auto"/>
                <w:sz w:val="24"/>
                <w:szCs w:val="24"/>
                <w:highlight w:val="none"/>
                <w:lang w:val="en-US" w:eastAsia="zh-CN"/>
              </w:rPr>
              <w:t>名称</w:t>
            </w:r>
          </w:p>
        </w:tc>
        <w:tc>
          <w:tcPr>
            <w:tcW w:w="1473" w:type="dxa"/>
            <w:tcBorders>
              <w:top w:val="outset" w:color="auto" w:sz="6" w:space="0"/>
              <w:left w:val="outset" w:color="auto" w:sz="6" w:space="0"/>
              <w:bottom w:val="outset" w:color="auto" w:sz="6" w:space="0"/>
              <w:right w:val="outset" w:color="auto" w:sz="6" w:space="0"/>
            </w:tcBorders>
            <w:vAlign w:val="center"/>
          </w:tcPr>
          <w:p w14:paraId="2FA8026D">
            <w:pPr>
              <w:spacing w:line="470" w:lineRule="exact"/>
              <w:jc w:val="center"/>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采购预算</w:t>
            </w:r>
            <w:r>
              <w:rPr>
                <w:rFonts w:hint="eastAsia" w:ascii="宋体" w:hAnsi="宋体" w:cs="宋体"/>
                <w:color w:val="auto"/>
                <w:sz w:val="24"/>
                <w:szCs w:val="24"/>
                <w:highlight w:val="none"/>
              </w:rPr>
              <w:t>（元）</w:t>
            </w:r>
          </w:p>
        </w:tc>
        <w:tc>
          <w:tcPr>
            <w:tcW w:w="1217" w:type="dxa"/>
            <w:tcBorders>
              <w:top w:val="outset" w:color="auto" w:sz="6" w:space="0"/>
              <w:left w:val="outset" w:color="auto" w:sz="6" w:space="0"/>
              <w:bottom w:val="outset" w:color="auto" w:sz="6" w:space="0"/>
              <w:right w:val="outset" w:color="auto" w:sz="6" w:space="0"/>
            </w:tcBorders>
            <w:vAlign w:val="center"/>
          </w:tcPr>
          <w:p w14:paraId="4A8A3CE6">
            <w:pPr>
              <w:spacing w:line="47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数量</w:t>
            </w:r>
          </w:p>
        </w:tc>
        <w:tc>
          <w:tcPr>
            <w:tcW w:w="1336" w:type="dxa"/>
            <w:tcBorders>
              <w:top w:val="outset" w:color="auto" w:sz="6" w:space="0"/>
              <w:left w:val="outset" w:color="auto" w:sz="6" w:space="0"/>
              <w:bottom w:val="outset" w:color="auto" w:sz="6" w:space="0"/>
              <w:right w:val="outset" w:color="auto" w:sz="6" w:space="0"/>
            </w:tcBorders>
            <w:vAlign w:val="center"/>
          </w:tcPr>
          <w:p w14:paraId="4651CC4F">
            <w:pPr>
              <w:spacing w:line="47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履约地点</w:t>
            </w:r>
          </w:p>
        </w:tc>
        <w:tc>
          <w:tcPr>
            <w:tcW w:w="2167" w:type="dxa"/>
            <w:tcBorders>
              <w:top w:val="outset" w:color="auto" w:sz="6" w:space="0"/>
              <w:left w:val="outset" w:color="auto" w:sz="6" w:space="0"/>
              <w:bottom w:val="outset" w:color="auto" w:sz="6" w:space="0"/>
              <w:right w:val="outset" w:color="auto" w:sz="6" w:space="0"/>
            </w:tcBorders>
            <w:vAlign w:val="center"/>
          </w:tcPr>
          <w:p w14:paraId="75183403">
            <w:pPr>
              <w:spacing w:line="470" w:lineRule="exact"/>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服务期</w:t>
            </w:r>
          </w:p>
        </w:tc>
      </w:tr>
      <w:tr w14:paraId="3A064A0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05" w:hRule="atLeast"/>
          <w:tblHeader/>
        </w:trPr>
        <w:tc>
          <w:tcPr>
            <w:tcW w:w="803" w:type="dxa"/>
            <w:tcBorders>
              <w:top w:val="outset" w:color="auto" w:sz="6" w:space="0"/>
              <w:left w:val="outset" w:color="auto" w:sz="6" w:space="0"/>
              <w:right w:val="outset" w:color="auto" w:sz="6" w:space="0"/>
            </w:tcBorders>
            <w:vAlign w:val="center"/>
          </w:tcPr>
          <w:p w14:paraId="6824EB91">
            <w:pPr>
              <w:spacing w:line="47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2602" w:type="dxa"/>
            <w:tcBorders>
              <w:top w:val="outset" w:color="auto" w:sz="6" w:space="0"/>
              <w:left w:val="outset" w:color="auto" w:sz="6" w:space="0"/>
              <w:bottom w:val="outset" w:color="auto" w:sz="6" w:space="0"/>
              <w:right w:val="outset" w:color="auto" w:sz="6" w:space="0"/>
            </w:tcBorders>
            <w:vAlign w:val="center"/>
          </w:tcPr>
          <w:p w14:paraId="152FC448">
            <w:pPr>
              <w:spacing w:line="470" w:lineRule="exact"/>
              <w:jc w:val="center"/>
              <w:rPr>
                <w:rFonts w:hint="eastAsia" w:ascii="宋体" w:hAnsi="宋体" w:eastAsia="宋体" w:cs="宋体"/>
                <w:color w:val="auto"/>
                <w:sz w:val="24"/>
                <w:szCs w:val="24"/>
                <w:highlight w:val="none"/>
                <w:lang w:eastAsia="zh-CN"/>
              </w:rPr>
            </w:pPr>
            <w:r>
              <w:rPr>
                <w:rFonts w:hint="eastAsia" w:ascii="宋体" w:hAnsi="宋体" w:cs="宋体"/>
                <w:color w:val="auto"/>
                <w:kern w:val="0"/>
                <w:sz w:val="24"/>
                <w:szCs w:val="24"/>
                <w:highlight w:val="none"/>
                <w:u w:val="none"/>
                <w:lang w:val="en-US" w:eastAsia="zh-CN"/>
              </w:rPr>
              <w:t>古地石指挥部及金尚菜市场项目、厦大海韵园二期项目保洁绿化服务</w:t>
            </w:r>
            <w:r>
              <w:rPr>
                <w:rFonts w:hint="eastAsia" w:ascii="宋体" w:hAnsi="宋体" w:cs="宋体"/>
                <w:color w:val="auto"/>
                <w:kern w:val="0"/>
                <w:sz w:val="24"/>
                <w:szCs w:val="24"/>
                <w:highlight w:val="none"/>
                <w:u w:val="none"/>
              </w:rPr>
              <w:t xml:space="preserve"> </w:t>
            </w:r>
          </w:p>
        </w:tc>
        <w:tc>
          <w:tcPr>
            <w:tcW w:w="1473" w:type="dxa"/>
            <w:tcBorders>
              <w:top w:val="outset" w:color="auto" w:sz="6" w:space="0"/>
              <w:left w:val="outset" w:color="auto" w:sz="6" w:space="0"/>
              <w:bottom w:val="outset" w:color="auto" w:sz="6" w:space="0"/>
              <w:right w:val="outset" w:color="auto" w:sz="6" w:space="0"/>
            </w:tcBorders>
            <w:vAlign w:val="center"/>
          </w:tcPr>
          <w:p w14:paraId="2F3131E8">
            <w:pPr>
              <w:spacing w:line="470" w:lineRule="exact"/>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448999元</w:t>
            </w:r>
          </w:p>
        </w:tc>
        <w:tc>
          <w:tcPr>
            <w:tcW w:w="1217" w:type="dxa"/>
            <w:tcBorders>
              <w:top w:val="outset" w:color="auto" w:sz="6" w:space="0"/>
              <w:left w:val="outset" w:color="auto" w:sz="6" w:space="0"/>
              <w:bottom w:val="outset" w:color="auto" w:sz="6" w:space="0"/>
              <w:right w:val="outset" w:color="auto" w:sz="6" w:space="0"/>
            </w:tcBorders>
            <w:vAlign w:val="center"/>
          </w:tcPr>
          <w:p w14:paraId="2AA56892">
            <w:pPr>
              <w:spacing w:line="470" w:lineRule="exact"/>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1</w:t>
            </w:r>
          </w:p>
        </w:tc>
        <w:tc>
          <w:tcPr>
            <w:tcW w:w="1336" w:type="dxa"/>
            <w:tcBorders>
              <w:top w:val="outset" w:color="auto" w:sz="6" w:space="0"/>
              <w:left w:val="outset" w:color="auto" w:sz="6" w:space="0"/>
              <w:bottom w:val="outset" w:color="auto" w:sz="6" w:space="0"/>
              <w:right w:val="outset" w:color="auto" w:sz="6" w:space="0"/>
            </w:tcBorders>
            <w:vAlign w:val="center"/>
          </w:tcPr>
          <w:p w14:paraId="4EA5383D">
            <w:pPr>
              <w:spacing w:line="47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厦门市湖里区</w:t>
            </w:r>
          </w:p>
        </w:tc>
        <w:tc>
          <w:tcPr>
            <w:tcW w:w="2167" w:type="dxa"/>
            <w:tcBorders>
              <w:top w:val="outset" w:color="auto" w:sz="6" w:space="0"/>
              <w:left w:val="outset" w:color="auto" w:sz="6" w:space="0"/>
              <w:bottom w:val="outset" w:color="auto" w:sz="6" w:space="0"/>
              <w:right w:val="outset" w:color="auto" w:sz="6" w:space="0"/>
            </w:tcBorders>
            <w:vAlign w:val="center"/>
          </w:tcPr>
          <w:p w14:paraId="122ED723">
            <w:pPr>
              <w:spacing w:line="470" w:lineRule="exact"/>
              <w:jc w:val="center"/>
              <w:rPr>
                <w:rFonts w:hint="default" w:ascii="宋体" w:hAnsi="宋体" w:eastAsia="宋体" w:cs="宋体"/>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2026年1月1日至2026年12月31日</w:t>
            </w:r>
          </w:p>
        </w:tc>
      </w:tr>
    </w:tbl>
    <w:p w14:paraId="609A33BF">
      <w:pPr>
        <w:spacing w:line="470" w:lineRule="exact"/>
        <w:ind w:firstLine="241" w:firstLineChars="100"/>
        <w:rPr>
          <w:rFonts w:hint="eastAsia" w:ascii="宋体" w:hAnsi="宋体" w:eastAsia="宋体" w:cs="宋体"/>
          <w:color w:val="auto"/>
          <w:sz w:val="24"/>
          <w:highlight w:val="none"/>
          <w:lang w:val="en-US" w:eastAsia="zh-CN"/>
        </w:rPr>
      </w:pPr>
      <w:r>
        <w:rPr>
          <w:rFonts w:hint="eastAsia" w:ascii="宋体" w:hAnsi="宋体" w:cs="宋体"/>
          <w:b/>
          <w:bCs/>
          <w:color w:val="auto"/>
          <w:sz w:val="24"/>
          <w:highlight w:val="none"/>
        </w:rPr>
        <w:t>3.采购项目需要落实的政府采购政策</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w:t>
      </w:r>
    </w:p>
    <w:p w14:paraId="3CFADE77">
      <w:pPr>
        <w:spacing w:line="470" w:lineRule="exact"/>
        <w:ind w:firstLine="241" w:firstLineChars="100"/>
        <w:rPr>
          <w:rFonts w:ascii="宋体" w:hAnsi="宋体" w:cs="宋体"/>
          <w:b/>
          <w:bCs/>
          <w:color w:val="auto"/>
          <w:sz w:val="24"/>
          <w:highlight w:val="none"/>
        </w:rPr>
      </w:pPr>
      <w:r>
        <w:rPr>
          <w:rFonts w:hint="eastAsia" w:ascii="宋体" w:hAnsi="宋体" w:cs="宋体"/>
          <w:b/>
          <w:bCs/>
          <w:color w:val="auto"/>
          <w:sz w:val="24"/>
          <w:highlight w:val="none"/>
        </w:rPr>
        <w:t>4.供应商资格条件：</w:t>
      </w:r>
    </w:p>
    <w:p w14:paraId="6A790568">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营业执照等证明文件：</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应具有独立承担民事责任的能力，营业执照处于有效期内，并提供营业执照等证明文件的复印件</w:t>
      </w:r>
      <w:r>
        <w:rPr>
          <w:rFonts w:hint="eastAsia" w:ascii="宋体" w:hAnsi="宋体" w:cs="宋体"/>
          <w:color w:val="auto"/>
          <w:sz w:val="24"/>
          <w:szCs w:val="24"/>
          <w:highlight w:val="none"/>
          <w:lang w:eastAsia="zh-CN"/>
        </w:rPr>
        <w:t>。</w:t>
      </w:r>
    </w:p>
    <w:p w14:paraId="291ACE53">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kern w:val="0"/>
          <w:sz w:val="24"/>
          <w:szCs w:val="24"/>
          <w:highlight w:val="none"/>
        </w:rPr>
        <w:t>单位负责人授权书（若有）：若</w:t>
      </w:r>
      <w:r>
        <w:rPr>
          <w:rFonts w:hint="eastAsia" w:ascii="宋体" w:hAnsi="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代表为单位负责人授权的委托代理人，应提供本授权书；若</w:t>
      </w:r>
      <w:r>
        <w:rPr>
          <w:rFonts w:hint="eastAsia" w:ascii="宋体" w:hAnsi="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代表为单位负责人，无需提供本授权书</w:t>
      </w:r>
      <w:r>
        <w:rPr>
          <w:rFonts w:hint="eastAsia" w:ascii="宋体" w:hAnsi="宋体" w:eastAsia="宋体" w:cs="宋体"/>
          <w:color w:val="auto"/>
          <w:sz w:val="24"/>
          <w:szCs w:val="24"/>
          <w:highlight w:val="none"/>
        </w:rPr>
        <w:t>。</w:t>
      </w:r>
    </w:p>
    <w:p w14:paraId="7B6C93DF">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kern w:val="2"/>
          <w:sz w:val="24"/>
          <w:szCs w:val="24"/>
          <w:highlight w:val="none"/>
        </w:rPr>
        <w:t>财务状况报告：</w:t>
      </w:r>
      <w:r>
        <w:rPr>
          <w:rFonts w:hint="eastAsia" w:ascii="宋体" w:hAnsi="宋体" w:cs="宋体"/>
          <w:color w:val="auto"/>
          <w:kern w:val="0"/>
          <w:sz w:val="24"/>
          <w:szCs w:val="24"/>
          <w:highlight w:val="none"/>
          <w:lang w:eastAsia="zh-CN"/>
        </w:rPr>
        <w:t>供应商</w:t>
      </w:r>
      <w:r>
        <w:rPr>
          <w:rFonts w:hint="eastAsia" w:ascii="宋体" w:hAnsi="宋体" w:eastAsia="宋体" w:cs="宋体"/>
          <w:color w:val="auto"/>
          <w:kern w:val="2"/>
          <w:sz w:val="24"/>
          <w:szCs w:val="24"/>
          <w:highlight w:val="none"/>
        </w:rPr>
        <w:t>应提供上一年度（</w:t>
      </w:r>
      <w:r>
        <w:rPr>
          <w:rFonts w:hint="eastAsia" w:ascii="宋体" w:hAnsi="宋体" w:cs="宋体"/>
          <w:color w:val="auto"/>
          <w:kern w:val="0"/>
          <w:sz w:val="24"/>
          <w:szCs w:val="24"/>
          <w:highlight w:val="none"/>
          <w:lang w:eastAsia="zh-CN"/>
        </w:rPr>
        <w:t>响应</w:t>
      </w:r>
      <w:r>
        <w:rPr>
          <w:rFonts w:hint="eastAsia" w:ascii="宋体" w:hAnsi="宋体" w:eastAsia="宋体" w:cs="宋体"/>
          <w:color w:val="auto"/>
          <w:kern w:val="2"/>
          <w:sz w:val="24"/>
          <w:szCs w:val="24"/>
          <w:highlight w:val="none"/>
        </w:rPr>
        <w:t>截止时间为1-6月的也可提供上上年度）财务报告复印件或银行资信证明复印件或</w:t>
      </w:r>
      <w:r>
        <w:rPr>
          <w:rFonts w:hint="eastAsia" w:ascii="宋体" w:hAnsi="宋体" w:cs="宋体"/>
          <w:color w:val="auto"/>
          <w:kern w:val="0"/>
          <w:sz w:val="24"/>
          <w:szCs w:val="24"/>
          <w:highlight w:val="none"/>
          <w:lang w:eastAsia="zh-CN"/>
        </w:rPr>
        <w:t>响应</w:t>
      </w:r>
      <w:r>
        <w:rPr>
          <w:rFonts w:hint="eastAsia" w:ascii="宋体" w:hAnsi="宋体" w:eastAsia="宋体" w:cs="宋体"/>
          <w:color w:val="auto"/>
          <w:kern w:val="2"/>
          <w:sz w:val="24"/>
          <w:szCs w:val="24"/>
          <w:highlight w:val="none"/>
        </w:rPr>
        <w:t>担保函复印件。</w:t>
      </w:r>
    </w:p>
    <w:p w14:paraId="113B8F83">
      <w:pPr>
        <w:spacing w:line="440" w:lineRule="exact"/>
        <w:ind w:firstLineChars="200"/>
        <w:rPr>
          <w:rFonts w:hint="eastAsia" w:ascii="宋体" w:hAnsi="宋体" w:eastAsia="宋体" w:cs="宋体"/>
          <w:color w:val="auto"/>
          <w:kern w:val="2"/>
          <w:sz w:val="24"/>
          <w:szCs w:val="24"/>
          <w:highlight w:val="none"/>
          <w:lang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kern w:val="2"/>
          <w:sz w:val="24"/>
          <w:szCs w:val="24"/>
          <w:highlight w:val="none"/>
        </w:rPr>
        <w:t>依法缴纳税收证明材料：</w:t>
      </w:r>
      <w:r>
        <w:rPr>
          <w:rFonts w:hint="eastAsia" w:ascii="宋体" w:hAnsi="宋体" w:cs="宋体"/>
          <w:color w:val="auto"/>
          <w:kern w:val="0"/>
          <w:sz w:val="24"/>
          <w:szCs w:val="24"/>
          <w:highlight w:val="none"/>
          <w:lang w:eastAsia="zh-CN"/>
        </w:rPr>
        <w:t>供应商</w:t>
      </w:r>
      <w:r>
        <w:rPr>
          <w:rFonts w:hint="eastAsia" w:ascii="宋体" w:hAnsi="宋体" w:eastAsia="宋体" w:cs="宋体"/>
          <w:color w:val="auto"/>
          <w:kern w:val="2"/>
          <w:sz w:val="24"/>
          <w:szCs w:val="24"/>
          <w:highlight w:val="none"/>
        </w:rPr>
        <w:t>应提供</w:t>
      </w:r>
      <w:r>
        <w:rPr>
          <w:rFonts w:hint="eastAsia" w:ascii="宋体" w:hAnsi="宋体" w:cs="宋体"/>
          <w:color w:val="auto"/>
          <w:kern w:val="0"/>
          <w:sz w:val="24"/>
          <w:szCs w:val="24"/>
          <w:highlight w:val="none"/>
          <w:lang w:eastAsia="zh-CN"/>
        </w:rPr>
        <w:t>响应</w:t>
      </w:r>
      <w:r>
        <w:rPr>
          <w:rFonts w:hint="eastAsia" w:ascii="宋体" w:hAnsi="宋体" w:eastAsia="宋体" w:cs="宋体"/>
          <w:color w:val="auto"/>
          <w:kern w:val="2"/>
          <w:sz w:val="24"/>
          <w:szCs w:val="24"/>
          <w:highlight w:val="none"/>
        </w:rPr>
        <w:t>截止时间前六个月（不含</w:t>
      </w:r>
      <w:r>
        <w:rPr>
          <w:rFonts w:hint="eastAsia" w:ascii="宋体" w:hAnsi="宋体" w:cs="宋体"/>
          <w:color w:val="auto"/>
          <w:kern w:val="0"/>
          <w:sz w:val="24"/>
          <w:szCs w:val="24"/>
          <w:highlight w:val="none"/>
          <w:lang w:eastAsia="zh-CN"/>
        </w:rPr>
        <w:t>响应</w:t>
      </w:r>
      <w:r>
        <w:rPr>
          <w:rFonts w:hint="eastAsia" w:ascii="宋体" w:hAnsi="宋体" w:eastAsia="宋体" w:cs="宋体"/>
          <w:color w:val="auto"/>
          <w:kern w:val="2"/>
          <w:sz w:val="24"/>
          <w:szCs w:val="24"/>
          <w:highlight w:val="none"/>
        </w:rPr>
        <w:t>截止时间的当月）中任一月份依法缴纳税收的证明复印件，享受税收减免政策或因疫情影响享受缓缴或免缴税款的企业，提供依法缴纳税收承诺书原件（格式自拟）</w:t>
      </w:r>
      <w:r>
        <w:rPr>
          <w:rFonts w:hint="eastAsia" w:ascii="宋体" w:hAnsi="宋体" w:eastAsia="宋体" w:cs="宋体"/>
          <w:color w:val="auto"/>
          <w:kern w:val="2"/>
          <w:sz w:val="24"/>
          <w:szCs w:val="24"/>
          <w:highlight w:val="none"/>
          <w:lang w:eastAsia="zh-CN"/>
        </w:rPr>
        <w:t>。</w:t>
      </w:r>
    </w:p>
    <w:p w14:paraId="73BB6F4C">
      <w:pPr>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r>
        <w:rPr>
          <w:rFonts w:hint="eastAsia" w:ascii="宋体" w:hAnsi="宋体" w:eastAsia="宋体" w:cs="宋体"/>
          <w:color w:val="auto"/>
          <w:kern w:val="2"/>
          <w:sz w:val="24"/>
          <w:szCs w:val="24"/>
          <w:highlight w:val="none"/>
        </w:rPr>
        <w:t>依法缴纳社会保障资金证明材料：</w:t>
      </w:r>
      <w:r>
        <w:rPr>
          <w:rFonts w:hint="eastAsia" w:ascii="宋体" w:hAnsi="宋体" w:cs="宋体"/>
          <w:color w:val="auto"/>
          <w:kern w:val="0"/>
          <w:sz w:val="24"/>
          <w:szCs w:val="24"/>
          <w:highlight w:val="none"/>
          <w:lang w:eastAsia="zh-CN"/>
        </w:rPr>
        <w:t>供应商</w:t>
      </w:r>
      <w:r>
        <w:rPr>
          <w:rFonts w:hint="eastAsia" w:ascii="宋体" w:hAnsi="宋体" w:eastAsia="宋体" w:cs="宋体"/>
          <w:color w:val="auto"/>
          <w:kern w:val="2"/>
          <w:sz w:val="24"/>
          <w:szCs w:val="24"/>
          <w:highlight w:val="none"/>
        </w:rPr>
        <w:t>应提供</w:t>
      </w:r>
      <w:r>
        <w:rPr>
          <w:rFonts w:hint="eastAsia" w:ascii="宋体" w:hAnsi="宋体" w:cs="宋体"/>
          <w:color w:val="auto"/>
          <w:kern w:val="0"/>
          <w:sz w:val="24"/>
          <w:szCs w:val="24"/>
          <w:highlight w:val="none"/>
          <w:lang w:eastAsia="zh-CN"/>
        </w:rPr>
        <w:t>响应</w:t>
      </w:r>
      <w:r>
        <w:rPr>
          <w:rFonts w:hint="eastAsia" w:ascii="宋体" w:hAnsi="宋体" w:eastAsia="宋体" w:cs="宋体"/>
          <w:color w:val="auto"/>
          <w:kern w:val="2"/>
          <w:sz w:val="24"/>
          <w:szCs w:val="24"/>
          <w:highlight w:val="none"/>
        </w:rPr>
        <w:t>截止时间前六个月（不含</w:t>
      </w:r>
      <w:r>
        <w:rPr>
          <w:rFonts w:hint="eastAsia" w:ascii="宋体" w:hAnsi="宋体" w:cs="宋体"/>
          <w:color w:val="auto"/>
          <w:kern w:val="0"/>
          <w:sz w:val="24"/>
          <w:szCs w:val="24"/>
          <w:highlight w:val="none"/>
          <w:lang w:eastAsia="zh-CN"/>
        </w:rPr>
        <w:t>响应</w:t>
      </w:r>
      <w:r>
        <w:rPr>
          <w:rFonts w:hint="eastAsia" w:ascii="宋体" w:hAnsi="宋体" w:eastAsia="宋体" w:cs="宋体"/>
          <w:color w:val="auto"/>
          <w:kern w:val="2"/>
          <w:sz w:val="24"/>
          <w:szCs w:val="24"/>
          <w:highlight w:val="none"/>
        </w:rPr>
        <w:t>截止时间的当月）中任一月份依法缴纳社会保障资金的证明复印件，享受社保减免政策或因疫情影响享受缓缴或免缴社保的企业，提供依法缴纳社会保障资金承诺书原件（格式自拟）。</w:t>
      </w:r>
    </w:p>
    <w:p w14:paraId="50E6DC5D">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cs="宋体"/>
          <w:color w:val="auto"/>
          <w:kern w:val="0"/>
          <w:sz w:val="24"/>
          <w:szCs w:val="24"/>
          <w:highlight w:val="none"/>
          <w:lang w:eastAsia="zh-CN"/>
        </w:rPr>
        <w:t>供应商</w:t>
      </w:r>
      <w:r>
        <w:rPr>
          <w:rFonts w:hint="eastAsia" w:ascii="宋体" w:hAnsi="宋体" w:eastAsia="宋体" w:cs="宋体"/>
          <w:color w:val="auto"/>
          <w:kern w:val="2"/>
          <w:sz w:val="24"/>
          <w:szCs w:val="24"/>
          <w:highlight w:val="none"/>
        </w:rPr>
        <w:t>应提供具备履行合同所必需设备和专业技术能力的声明函</w:t>
      </w:r>
      <w:r>
        <w:rPr>
          <w:rFonts w:hint="eastAsia" w:ascii="宋体" w:hAnsi="宋体" w:eastAsia="宋体" w:cs="宋体"/>
          <w:color w:val="auto"/>
          <w:sz w:val="24"/>
          <w:szCs w:val="24"/>
          <w:highlight w:val="none"/>
        </w:rPr>
        <w:t>；</w:t>
      </w:r>
    </w:p>
    <w:p w14:paraId="106E7C7F">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（7）</w:t>
      </w:r>
      <w:r>
        <w:rPr>
          <w:rFonts w:hint="eastAsia" w:ascii="宋体" w:hAnsi="宋体" w:cs="宋体"/>
          <w:color w:val="auto"/>
          <w:kern w:val="0"/>
          <w:sz w:val="24"/>
          <w:szCs w:val="24"/>
          <w:highlight w:val="none"/>
          <w:lang w:eastAsia="zh-CN"/>
        </w:rPr>
        <w:t>供应商</w:t>
      </w:r>
      <w:r>
        <w:rPr>
          <w:rFonts w:hint="eastAsia" w:ascii="宋体" w:hAnsi="宋体" w:eastAsia="宋体" w:cs="宋体"/>
          <w:color w:val="auto"/>
          <w:kern w:val="2"/>
          <w:sz w:val="24"/>
          <w:szCs w:val="24"/>
          <w:highlight w:val="none"/>
        </w:rPr>
        <w:t>应提供</w:t>
      </w:r>
      <w:r>
        <w:rPr>
          <w:rFonts w:hint="eastAsia" w:ascii="宋体" w:hAnsi="宋体" w:eastAsia="宋体" w:cs="宋体"/>
          <w:color w:val="auto"/>
          <w:sz w:val="24"/>
          <w:szCs w:val="24"/>
          <w:highlight w:val="none"/>
        </w:rPr>
        <w:t>参加本次采购活动前三年内在经营活动中没有重大违法记录的声明函；</w:t>
      </w:r>
    </w:p>
    <w:p w14:paraId="27DD85FA">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val="en-US" w:eastAsia="zh-CN"/>
        </w:rPr>
        <w:t>注：</w:t>
      </w:r>
      <w:r>
        <w:rPr>
          <w:rFonts w:hint="eastAsia" w:ascii="宋体" w:hAnsi="宋体" w:eastAsia="宋体" w:cs="宋体"/>
          <w:b w:val="0"/>
          <w:bCs w:val="0"/>
          <w:color w:val="auto"/>
          <w:sz w:val="24"/>
          <w:szCs w:val="24"/>
          <w:highlight w:val="none"/>
        </w:rPr>
        <w:t>本项目允许采用“资格承诺制”，根据《福建省财政厅关于印发推行政府采购供应商资格承诺制指导意见的通知》(闽财购(2024)6号)规定，响应供应商在响应文件中提供《福建省政府采购供应商资格承诺函》的，可不提供《中华人民共和国政府采购法实施条例》第</w:t>
      </w:r>
      <w:r>
        <w:rPr>
          <w:rFonts w:hint="eastAsia" w:ascii="宋体" w:hAnsi="宋体" w:cs="宋体"/>
          <w:b w:val="0"/>
          <w:bCs w:val="0"/>
          <w:color w:val="auto"/>
          <w:sz w:val="24"/>
          <w:szCs w:val="24"/>
          <w:highlight w:val="none"/>
          <w:lang w:val="en-US" w:eastAsia="zh-CN"/>
        </w:rPr>
        <w:t>十七</w:t>
      </w:r>
      <w:r>
        <w:rPr>
          <w:rFonts w:hint="eastAsia" w:ascii="宋体" w:hAnsi="宋体" w:eastAsia="宋体" w:cs="宋体"/>
          <w:b w:val="0"/>
          <w:bCs w:val="0"/>
          <w:color w:val="auto"/>
          <w:sz w:val="24"/>
          <w:szCs w:val="24"/>
          <w:highlight w:val="none"/>
        </w:rPr>
        <w:t>条第一款规定的资格条件证明材料，承诺函格式详见第五章响应文件格式。响应供应商应当遵循诚实信用原则，并对其承诺内容的真实性、合法性、有效性负责。响应供应商承诺不实的，属于提供虚假材料谋取中标、成交，依照《中华人民共和国政府采购法》第七十七条和政府采购法律法规有关规定处理。响应供应商可自行选择是否提供资格承诺函，若不提供资格承诺函的，应按</w:t>
      </w:r>
      <w:r>
        <w:rPr>
          <w:rFonts w:hint="eastAsia" w:ascii="宋体" w:hAnsi="宋体" w:cs="宋体"/>
          <w:b w:val="0"/>
          <w:bCs w:val="0"/>
          <w:color w:val="auto"/>
          <w:sz w:val="24"/>
          <w:szCs w:val="24"/>
          <w:highlight w:val="none"/>
          <w:lang w:eastAsia="zh-CN"/>
        </w:rPr>
        <w:t>询价文件</w:t>
      </w:r>
      <w:r>
        <w:rPr>
          <w:rFonts w:hint="eastAsia" w:ascii="宋体" w:hAnsi="宋体" w:eastAsia="宋体" w:cs="宋体"/>
          <w:b w:val="0"/>
          <w:bCs w:val="0"/>
          <w:color w:val="auto"/>
          <w:sz w:val="24"/>
          <w:szCs w:val="24"/>
          <w:highlight w:val="none"/>
        </w:rPr>
        <w:t>要求提供相应的证明材料。</w:t>
      </w:r>
    </w:p>
    <w:p w14:paraId="6217CCFD">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信用信息查询渠道：通过“信用中国”网站（www.creditchina.gov.cn）、中国政府采购网（www.ccgp.gov.cn）、“信用厦门”网站（credit.xm.gov.cn）查询所有供应商的信用信息。 因查询渠道网站原因导致查无供应商信息的，不认定供应商资格审查不合格；评审结束后，通过其他渠道发现供应商存在不良信用记录的，不认定为资格审查错误，将依照有关规定进行调查处理。供应商无需提供信用信息查询结果。若供应商自行提供查询结果的，仍以评审当天查询结果为准。</w:t>
      </w:r>
    </w:p>
    <w:p w14:paraId="0AFD93A5">
      <w:pPr>
        <w:spacing w:line="470" w:lineRule="exact"/>
        <w:ind w:left="368" w:leftChars="175" w:firstLine="240" w:firstLineChars="100"/>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（9）</w:t>
      </w:r>
      <w:r>
        <w:rPr>
          <w:rFonts w:hint="eastAsia" w:ascii="宋体" w:hAnsi="宋体" w:eastAsia="宋体" w:cs="宋体"/>
          <w:b w:val="0"/>
          <w:bCs w:val="0"/>
          <w:color w:val="auto"/>
          <w:sz w:val="24"/>
          <w:szCs w:val="24"/>
          <w:highlight w:val="none"/>
        </w:rPr>
        <w:t>本项目不接受联合体</w:t>
      </w:r>
      <w:r>
        <w:rPr>
          <w:rFonts w:hint="eastAsia" w:ascii="宋体" w:hAnsi="宋体" w:cs="宋体"/>
          <w:b w:val="0"/>
          <w:bCs w:val="0"/>
          <w:color w:val="auto"/>
          <w:sz w:val="24"/>
          <w:szCs w:val="24"/>
          <w:highlight w:val="none"/>
          <w:lang w:eastAsia="zh-CN"/>
        </w:rPr>
        <w:t>响应</w:t>
      </w:r>
      <w:r>
        <w:rPr>
          <w:rFonts w:hint="eastAsia" w:ascii="宋体" w:hAnsi="宋体" w:eastAsia="宋体" w:cs="宋体"/>
          <w:b w:val="0"/>
          <w:bCs w:val="0"/>
          <w:color w:val="auto"/>
          <w:sz w:val="24"/>
          <w:szCs w:val="24"/>
          <w:highlight w:val="none"/>
        </w:rPr>
        <w:t>。</w:t>
      </w:r>
    </w:p>
    <w:p w14:paraId="58FCE77C">
      <w:pPr>
        <w:spacing w:line="470" w:lineRule="exact"/>
        <w:ind w:left="368" w:leftChars="175" w:firstLine="240" w:firstLineChars="1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采购人根据采购项目的要求规定的特定条件</w:t>
      </w:r>
    </w:p>
    <w:p w14:paraId="49621EBB">
      <w:pPr>
        <w:numPr>
          <w:ilvl w:val="-1"/>
          <w:numId w:val="0"/>
        </w:numPr>
        <w:spacing w:line="470" w:lineRule="exact"/>
        <w:ind w:firstLine="0" w:firstLineChars="0"/>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 xml:space="preserve">  </w:t>
      </w:r>
      <w:r>
        <w:rPr>
          <w:rFonts w:hint="eastAsia" w:ascii="宋体" w:hAnsi="宋体" w:cs="宋体"/>
          <w:b/>
          <w:bCs/>
          <w:color w:val="auto"/>
          <w:sz w:val="24"/>
          <w:highlight w:val="none"/>
          <w:lang w:val="en-US" w:eastAsia="zh-CN"/>
        </w:rPr>
        <w:t>5.</w:t>
      </w:r>
      <w:r>
        <w:rPr>
          <w:rFonts w:hint="eastAsia" w:ascii="宋体" w:hAnsi="宋体" w:cs="宋体"/>
          <w:b/>
          <w:bCs/>
          <w:color w:val="auto"/>
          <w:sz w:val="24"/>
          <w:highlight w:val="none"/>
        </w:rPr>
        <w:t>询价文件</w:t>
      </w:r>
      <w:r>
        <w:rPr>
          <w:rFonts w:hint="eastAsia" w:ascii="宋体" w:hAnsi="宋体" w:cs="宋体"/>
          <w:b/>
          <w:bCs/>
          <w:color w:val="auto"/>
          <w:sz w:val="24"/>
          <w:highlight w:val="none"/>
          <w:lang w:val="en-US" w:eastAsia="zh-CN"/>
        </w:rPr>
        <w:t>通知书的获取</w:t>
      </w:r>
      <w:r>
        <w:rPr>
          <w:rFonts w:hint="eastAsia" w:ascii="宋体" w:hAnsi="宋体" w:cs="宋体"/>
          <w:b/>
          <w:bCs/>
          <w:color w:val="auto"/>
          <w:sz w:val="24"/>
          <w:highlight w:val="none"/>
        </w:rPr>
        <w:t>：</w:t>
      </w:r>
    </w:p>
    <w:p w14:paraId="531B7245">
      <w:pPr>
        <w:numPr>
          <w:ilvl w:val="-1"/>
          <w:numId w:val="0"/>
        </w:numPr>
        <w:spacing w:line="470" w:lineRule="exact"/>
        <w:ind w:firstLine="720" w:firstLineChars="3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（1）询价文件获取期限：详见询价公告或更正公告（若有），若不一致，以更正公告（若有）为准，</w:t>
      </w:r>
    </w:p>
    <w:p w14:paraId="5737E57D">
      <w:pPr>
        <w:numPr>
          <w:ilvl w:val="0"/>
          <w:numId w:val="8"/>
        </w:numPr>
        <w:spacing w:line="470" w:lineRule="exact"/>
        <w:ind w:firstLine="720" w:firstLineChars="3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询价文件获取期限内，供应商应通过厦门市湖里区国有资产投资集团有限公司网站招标信息栏目获取询价通知书，否则报价响应应被拒绝。</w:t>
      </w:r>
    </w:p>
    <w:p w14:paraId="32BA1C29">
      <w:pPr>
        <w:numPr>
          <w:ilvl w:val="0"/>
          <w:numId w:val="8"/>
        </w:numPr>
        <w:spacing w:line="470" w:lineRule="exact"/>
        <w:ind w:firstLine="720" w:firstLineChars="3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获取地点及方式：通过厦门市湖里区国有资产投资集团有限公司网站招标信息栏目下载方式获取</w:t>
      </w:r>
    </w:p>
    <w:p w14:paraId="4C64D72B">
      <w:pPr>
        <w:numPr>
          <w:ilvl w:val="0"/>
          <w:numId w:val="8"/>
        </w:numPr>
        <w:spacing w:line="470" w:lineRule="exact"/>
        <w:ind w:firstLine="720" w:firstLineChars="300"/>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询价文件售价：0元。</w:t>
      </w:r>
    </w:p>
    <w:p w14:paraId="31279A1E">
      <w:pPr>
        <w:spacing w:line="470" w:lineRule="exact"/>
        <w:ind w:firstLine="241" w:firstLineChars="100"/>
        <w:rPr>
          <w:rFonts w:ascii="宋体" w:hAnsi="宋体" w:cs="宋体"/>
          <w:color w:val="auto"/>
          <w:sz w:val="24"/>
          <w:highlight w:val="none"/>
        </w:rPr>
      </w:pPr>
      <w:r>
        <w:rPr>
          <w:rFonts w:hint="eastAsia" w:ascii="宋体" w:hAnsi="宋体" w:cs="宋体"/>
          <w:b/>
          <w:bCs/>
          <w:color w:val="auto"/>
          <w:sz w:val="24"/>
          <w:highlight w:val="none"/>
          <w:lang w:val="en-US" w:eastAsia="zh-CN"/>
        </w:rPr>
        <w:t>6.</w:t>
      </w:r>
      <w:r>
        <w:rPr>
          <w:rFonts w:hint="eastAsia" w:ascii="宋体" w:hAnsi="宋体" w:cs="宋体"/>
          <w:b/>
          <w:bCs/>
          <w:color w:val="auto"/>
          <w:sz w:val="24"/>
          <w:highlight w:val="none"/>
          <w:lang w:eastAsia="zh-CN"/>
        </w:rPr>
        <w:t>询价</w:t>
      </w:r>
      <w:r>
        <w:rPr>
          <w:rFonts w:hint="eastAsia" w:ascii="宋体" w:hAnsi="宋体" w:cs="宋体"/>
          <w:b/>
          <w:bCs/>
          <w:color w:val="auto"/>
          <w:sz w:val="24"/>
          <w:highlight w:val="none"/>
        </w:rPr>
        <w:t>保证金</w:t>
      </w:r>
      <w:r>
        <w:rPr>
          <w:rFonts w:hint="eastAsia" w:ascii="宋体" w:hAnsi="宋体" w:cs="宋体"/>
          <w:color w:val="auto"/>
          <w:sz w:val="24"/>
          <w:highlight w:val="none"/>
        </w:rPr>
        <w:t>：</w:t>
      </w:r>
      <w:r>
        <w:rPr>
          <w:rFonts w:hint="eastAsia" w:ascii="宋体" w:hAnsi="宋体" w:cs="宋体"/>
          <w:color w:val="auto"/>
          <w:sz w:val="24"/>
          <w:highlight w:val="none"/>
          <w:lang w:eastAsia="zh-CN"/>
        </w:rPr>
        <w:t>无需提交</w:t>
      </w:r>
      <w:r>
        <w:rPr>
          <w:rFonts w:hint="eastAsia" w:ascii="宋体" w:hAnsi="宋体" w:cs="宋体"/>
          <w:color w:val="auto"/>
          <w:sz w:val="24"/>
          <w:highlight w:val="none"/>
        </w:rPr>
        <w:t>。</w:t>
      </w:r>
    </w:p>
    <w:p w14:paraId="52F7EA00">
      <w:pPr>
        <w:spacing w:line="470" w:lineRule="exact"/>
        <w:ind w:firstLine="241" w:firstLineChars="100"/>
        <w:rPr>
          <w:rFonts w:ascii="宋体" w:hAnsi="宋体" w:cs="宋体"/>
          <w:color w:val="auto"/>
          <w:sz w:val="24"/>
          <w:highlight w:val="none"/>
        </w:rPr>
      </w:pPr>
      <w:r>
        <w:rPr>
          <w:rFonts w:hint="eastAsia" w:ascii="宋体" w:hAnsi="宋体" w:cs="宋体"/>
          <w:b/>
          <w:bCs/>
          <w:color w:val="auto"/>
          <w:sz w:val="24"/>
          <w:highlight w:val="none"/>
          <w:lang w:val="en-US" w:eastAsia="zh-CN"/>
        </w:rPr>
        <w:t>7.</w:t>
      </w:r>
      <w:r>
        <w:rPr>
          <w:rFonts w:hint="eastAsia" w:ascii="宋体" w:hAnsi="宋体" w:cs="宋体"/>
          <w:b/>
          <w:bCs/>
          <w:color w:val="auto"/>
          <w:sz w:val="24"/>
          <w:highlight w:val="none"/>
        </w:rPr>
        <w:t>提交响应文件截止时间</w:t>
      </w:r>
      <w:r>
        <w:rPr>
          <w:rFonts w:hint="eastAsia" w:ascii="宋体" w:hAnsi="宋体" w:cs="宋体"/>
          <w:color w:val="auto"/>
          <w:sz w:val="24"/>
          <w:highlight w:val="none"/>
        </w:rPr>
        <w:t>：2025年</w:t>
      </w:r>
      <w:r>
        <w:rPr>
          <w:rFonts w:hint="eastAsia" w:ascii="宋体" w:hAnsi="宋体" w:cs="宋体"/>
          <w:color w:val="auto"/>
          <w:sz w:val="24"/>
          <w:highlight w:val="none"/>
          <w:lang w:val="en-US" w:eastAsia="zh-CN"/>
        </w:rPr>
        <w:t>12</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 xml:space="preserve">31 </w:t>
      </w:r>
      <w:r>
        <w:rPr>
          <w:rFonts w:hint="eastAsia" w:ascii="宋体" w:hAnsi="宋体" w:cs="宋体"/>
          <w:color w:val="auto"/>
          <w:sz w:val="24"/>
          <w:highlight w:val="none"/>
        </w:rPr>
        <w:t>日</w:t>
      </w:r>
      <w:r>
        <w:rPr>
          <w:rFonts w:hint="eastAsia" w:ascii="宋体" w:hAnsi="宋体" w:cs="宋体"/>
          <w:color w:val="auto"/>
          <w:sz w:val="24"/>
          <w:highlight w:val="none"/>
          <w:lang w:val="en-US" w:eastAsia="zh-CN"/>
        </w:rPr>
        <w:t xml:space="preserve">10 </w:t>
      </w:r>
      <w:r>
        <w:rPr>
          <w:rFonts w:hint="eastAsia" w:ascii="宋体" w:hAnsi="宋体" w:cs="宋体"/>
          <w:color w:val="auto"/>
          <w:sz w:val="24"/>
          <w:highlight w:val="none"/>
        </w:rPr>
        <w:t>时</w:t>
      </w:r>
      <w:r>
        <w:rPr>
          <w:rFonts w:hint="eastAsia" w:ascii="宋体" w:hAnsi="宋体" w:cs="宋体"/>
          <w:color w:val="auto"/>
          <w:sz w:val="24"/>
          <w:highlight w:val="none"/>
          <w:lang w:val="en-US" w:eastAsia="zh-CN"/>
        </w:rPr>
        <w:t>40</w:t>
      </w:r>
      <w:r>
        <w:rPr>
          <w:rFonts w:hint="eastAsia" w:ascii="宋体" w:hAnsi="宋体" w:cs="宋体"/>
          <w:color w:val="auto"/>
          <w:sz w:val="24"/>
          <w:highlight w:val="none"/>
        </w:rPr>
        <w:t>分止。供应商应在</w:t>
      </w:r>
      <w:r>
        <w:rPr>
          <w:rFonts w:hint="eastAsia" w:ascii="宋体" w:hAnsi="宋体" w:cs="宋体"/>
          <w:color w:val="auto"/>
          <w:sz w:val="24"/>
          <w:highlight w:val="none"/>
          <w:lang w:eastAsia="zh-CN"/>
        </w:rPr>
        <w:t>响应文件</w:t>
      </w:r>
      <w:r>
        <w:rPr>
          <w:rFonts w:hint="eastAsia" w:ascii="宋体" w:hAnsi="宋体" w:cs="宋体"/>
          <w:color w:val="auto"/>
          <w:sz w:val="24"/>
          <w:highlight w:val="none"/>
        </w:rPr>
        <w:t>截止时间前将响应文件递交到</w:t>
      </w:r>
      <w:r>
        <w:rPr>
          <w:rFonts w:hint="eastAsia" w:ascii="宋体" w:hAnsi="宋体" w:cs="宋体"/>
          <w:color w:val="auto"/>
          <w:sz w:val="24"/>
          <w:highlight w:val="none"/>
          <w:lang w:val="en-US" w:eastAsia="zh-CN"/>
        </w:rPr>
        <w:t>厦门湖里国投工程建设有限公司8楼会议</w:t>
      </w:r>
      <w:r>
        <w:rPr>
          <w:rFonts w:hint="eastAsia" w:ascii="宋体" w:hAnsi="宋体" w:cs="宋体"/>
          <w:color w:val="auto"/>
          <w:sz w:val="24"/>
          <w:highlight w:val="none"/>
        </w:rPr>
        <w:t>室，逾期收到的或不符合规定的响应文件将被拒绝。</w:t>
      </w:r>
    </w:p>
    <w:p w14:paraId="4974E405">
      <w:pPr>
        <w:spacing w:line="470" w:lineRule="exact"/>
        <w:ind w:firstLine="241" w:firstLineChars="100"/>
        <w:jc w:val="left"/>
        <w:outlineLvl w:val="2"/>
        <w:rPr>
          <w:rFonts w:hint="default" w:ascii="宋体" w:hAnsi="宋体" w:cs="宋体"/>
          <w:b/>
          <w:bCs/>
          <w:color w:val="auto"/>
          <w:sz w:val="24"/>
          <w:highlight w:val="none"/>
        </w:rPr>
      </w:pPr>
      <w:r>
        <w:rPr>
          <w:rFonts w:hint="eastAsia" w:ascii="宋体" w:hAnsi="宋体" w:eastAsia="宋体" w:cs="宋体"/>
          <w:b/>
          <w:bCs/>
          <w:color w:val="auto"/>
          <w:sz w:val="24"/>
          <w:highlight w:val="none"/>
        </w:rPr>
        <w:t>8、询价时间及地点：</w:t>
      </w:r>
      <w:r>
        <w:rPr>
          <w:rFonts w:hint="eastAsia" w:ascii="宋体" w:hAnsi="宋体" w:cs="宋体"/>
          <w:b w:val="0"/>
          <w:bCs w:val="0"/>
          <w:color w:val="auto"/>
          <w:sz w:val="24"/>
          <w:highlight w:val="none"/>
          <w:lang w:val="en-US" w:eastAsia="zh-CN"/>
        </w:rPr>
        <w:t>询价时间2025年12月31日</w:t>
      </w:r>
      <w:r>
        <w:rPr>
          <w:rFonts w:hint="eastAsia" w:ascii="宋体" w:hAnsi="宋体" w:cs="宋体"/>
          <w:color w:val="auto"/>
          <w:sz w:val="24"/>
          <w:highlight w:val="none"/>
          <w:lang w:val="en-US" w:eastAsia="zh-CN"/>
        </w:rPr>
        <w:t xml:space="preserve">10 </w:t>
      </w:r>
      <w:r>
        <w:rPr>
          <w:rFonts w:hint="eastAsia" w:ascii="宋体" w:hAnsi="宋体" w:cs="宋体"/>
          <w:color w:val="auto"/>
          <w:sz w:val="24"/>
          <w:highlight w:val="none"/>
        </w:rPr>
        <w:t>时</w:t>
      </w:r>
      <w:r>
        <w:rPr>
          <w:rFonts w:hint="eastAsia" w:ascii="宋体" w:hAnsi="宋体" w:cs="宋体"/>
          <w:color w:val="auto"/>
          <w:sz w:val="24"/>
          <w:highlight w:val="none"/>
          <w:lang w:val="en-US" w:eastAsia="zh-CN"/>
        </w:rPr>
        <w:t>40</w:t>
      </w:r>
      <w:r>
        <w:rPr>
          <w:rFonts w:hint="eastAsia" w:ascii="宋体" w:hAnsi="宋体" w:cs="宋体"/>
          <w:color w:val="auto"/>
          <w:sz w:val="24"/>
          <w:highlight w:val="none"/>
        </w:rPr>
        <w:t>分止</w:t>
      </w:r>
      <w:r>
        <w:rPr>
          <w:rFonts w:hint="eastAsia" w:ascii="宋体" w:hAnsi="宋体" w:cs="宋体"/>
          <w:b w:val="0"/>
          <w:bCs w:val="0"/>
          <w:color w:val="auto"/>
          <w:sz w:val="24"/>
          <w:highlight w:val="none"/>
          <w:lang w:val="en-US" w:eastAsia="zh-CN"/>
        </w:rPr>
        <w:t>，询价地点：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厦门市</w:t>
      </w:r>
      <w:r>
        <w:rPr>
          <w:rFonts w:hint="eastAsia" w:ascii="宋体" w:hAnsi="宋体" w:cs="宋体"/>
          <w:color w:val="auto"/>
          <w:sz w:val="24"/>
          <w:highlight w:val="none"/>
          <w:u w:val="single"/>
          <w:lang w:val="en-US" w:eastAsia="zh-CN"/>
        </w:rPr>
        <w:t>园山南路798号湖里国投商务中心A座8楼工程公司会议室。</w:t>
      </w:r>
    </w:p>
    <w:p w14:paraId="190B7722">
      <w:pPr>
        <w:spacing w:line="470" w:lineRule="exact"/>
        <w:ind w:firstLine="241" w:firstLineChars="100"/>
        <w:jc w:val="left"/>
        <w:outlineLvl w:val="2"/>
        <w:rPr>
          <w:rFonts w:hint="eastAsia" w:ascii="宋体" w:hAnsi="宋体" w:cs="宋体"/>
          <w:b/>
          <w:bCs/>
          <w:color w:val="auto"/>
          <w:sz w:val="24"/>
          <w:highlight w:val="none"/>
        </w:rPr>
      </w:pPr>
      <w:r>
        <w:rPr>
          <w:rFonts w:hint="eastAsia" w:ascii="宋体" w:hAnsi="宋体" w:eastAsia="宋体" w:cs="宋体"/>
          <w:b/>
          <w:bCs/>
          <w:color w:val="auto"/>
          <w:sz w:val="24"/>
          <w:highlight w:val="none"/>
        </w:rPr>
        <w:t>9、公告期限</w:t>
      </w:r>
    </w:p>
    <w:p w14:paraId="759FA96B">
      <w:pPr>
        <w:numPr>
          <w:ilvl w:val="-1"/>
          <w:numId w:val="0"/>
        </w:numPr>
        <w:spacing w:line="470" w:lineRule="exact"/>
        <w:ind w:firstLine="480" w:firstLineChars="200"/>
        <w:jc w:val="left"/>
        <w:rPr>
          <w:rFonts w:hint="eastAsia" w:ascii="宋体" w:hAnsi="宋体" w:cs="宋体"/>
          <w:color w:val="auto"/>
          <w:sz w:val="24"/>
          <w:highlight w:val="none"/>
        </w:rPr>
      </w:pPr>
      <w:r>
        <w:rPr>
          <w:rFonts w:hint="eastAsia" w:ascii="宋体" w:hAnsi="宋体" w:eastAsia="宋体" w:cs="宋体"/>
          <w:color w:val="auto"/>
          <w:sz w:val="24"/>
          <w:highlight w:val="none"/>
        </w:rPr>
        <w:t>9.1询价公告的公告期限：自发布公告之日起3个工作日。</w:t>
      </w:r>
    </w:p>
    <w:p w14:paraId="5B07C2D4">
      <w:pPr>
        <w:numPr>
          <w:ilvl w:val="-1"/>
          <w:numId w:val="0"/>
        </w:numPr>
        <w:spacing w:line="470" w:lineRule="exact"/>
        <w:ind w:firstLine="480" w:firstLineChars="200"/>
        <w:jc w:val="left"/>
        <w:rPr>
          <w:rFonts w:hint="eastAsia" w:ascii="宋体" w:hAnsi="宋体" w:cs="宋体"/>
          <w:color w:val="auto"/>
          <w:sz w:val="24"/>
          <w:highlight w:val="none"/>
        </w:rPr>
      </w:pPr>
      <w:r>
        <w:rPr>
          <w:rFonts w:hint="eastAsia" w:ascii="宋体" w:hAnsi="宋体" w:eastAsia="宋体" w:cs="宋体"/>
          <w:color w:val="auto"/>
          <w:sz w:val="24"/>
          <w:highlight w:val="none"/>
        </w:rPr>
        <w:t>9.2询价通知书随同询价公告一并发布，其公告期限与询价公告的期限保持一致。</w:t>
      </w:r>
    </w:p>
    <w:p w14:paraId="1592CF21">
      <w:pPr>
        <w:spacing w:line="470" w:lineRule="exact"/>
        <w:ind w:firstLine="241" w:firstLineChars="100"/>
        <w:rPr>
          <w:rFonts w:ascii="宋体" w:hAnsi="宋体" w:cs="宋体"/>
          <w:color w:val="auto"/>
          <w:sz w:val="24"/>
          <w:highlight w:val="none"/>
        </w:rPr>
      </w:pPr>
      <w:r>
        <w:rPr>
          <w:rFonts w:hint="eastAsia" w:ascii="宋体" w:hAnsi="宋体" w:cs="宋体"/>
          <w:b/>
          <w:bCs/>
          <w:color w:val="auto"/>
          <w:sz w:val="24"/>
          <w:highlight w:val="none"/>
        </w:rPr>
        <w:t>1</w:t>
      </w:r>
      <w:r>
        <w:rPr>
          <w:rFonts w:hint="eastAsia" w:ascii="宋体" w:hAnsi="宋体" w:cs="宋体"/>
          <w:b/>
          <w:bCs/>
          <w:color w:val="auto"/>
          <w:sz w:val="24"/>
          <w:highlight w:val="none"/>
          <w:lang w:val="en-US" w:eastAsia="zh-CN"/>
        </w:rPr>
        <w:t>0</w:t>
      </w:r>
      <w:r>
        <w:rPr>
          <w:rFonts w:hint="eastAsia" w:ascii="宋体" w:hAnsi="宋体" w:cs="宋体"/>
          <w:b/>
          <w:bCs/>
          <w:color w:val="auto"/>
          <w:sz w:val="24"/>
          <w:highlight w:val="none"/>
        </w:rPr>
        <w:t>.供应商对本次</w:t>
      </w:r>
      <w:r>
        <w:rPr>
          <w:rFonts w:hint="eastAsia" w:ascii="宋体" w:hAnsi="宋体" w:cs="宋体"/>
          <w:b/>
          <w:bCs/>
          <w:color w:val="auto"/>
          <w:sz w:val="24"/>
          <w:highlight w:val="none"/>
          <w:lang w:eastAsia="zh-CN"/>
        </w:rPr>
        <w:t>采购</w:t>
      </w:r>
      <w:r>
        <w:rPr>
          <w:rFonts w:hint="eastAsia" w:ascii="宋体" w:hAnsi="宋体" w:cs="宋体"/>
          <w:b/>
          <w:bCs/>
          <w:color w:val="auto"/>
          <w:sz w:val="24"/>
          <w:highlight w:val="none"/>
        </w:rPr>
        <w:t>活动事项如有疑问的，在</w:t>
      </w:r>
      <w:r>
        <w:rPr>
          <w:rFonts w:hint="eastAsia" w:ascii="宋体" w:hAnsi="宋体" w:cs="宋体"/>
          <w:b/>
          <w:bCs/>
          <w:color w:val="auto"/>
          <w:sz w:val="24"/>
          <w:highlight w:val="none"/>
          <w:lang w:eastAsia="zh-CN"/>
        </w:rPr>
        <w:t>询价</w:t>
      </w:r>
      <w:r>
        <w:rPr>
          <w:rFonts w:hint="eastAsia" w:ascii="宋体" w:hAnsi="宋体" w:cs="宋体"/>
          <w:b/>
          <w:bCs/>
          <w:color w:val="auto"/>
          <w:sz w:val="24"/>
          <w:highlight w:val="none"/>
        </w:rPr>
        <w:t>文件</w:t>
      </w:r>
      <w:r>
        <w:rPr>
          <w:rFonts w:hint="eastAsia" w:ascii="宋体" w:hAnsi="宋体" w:cs="宋体"/>
          <w:b/>
          <w:bCs/>
          <w:color w:val="auto"/>
          <w:sz w:val="24"/>
          <w:highlight w:val="none"/>
          <w:lang w:eastAsia="zh-CN"/>
        </w:rPr>
        <w:t>邀请</w:t>
      </w:r>
      <w:r>
        <w:rPr>
          <w:rFonts w:hint="eastAsia" w:ascii="宋体" w:hAnsi="宋体" w:cs="宋体"/>
          <w:b/>
          <w:bCs/>
          <w:color w:val="auto"/>
          <w:sz w:val="24"/>
          <w:highlight w:val="none"/>
        </w:rPr>
        <w:t>期限内：</w:t>
      </w:r>
      <w:r>
        <w:rPr>
          <w:rFonts w:hint="eastAsia" w:ascii="宋体" w:hAnsi="宋体" w:cs="宋体"/>
          <w:color w:val="auto"/>
          <w:sz w:val="24"/>
          <w:highlight w:val="none"/>
        </w:rPr>
        <w:t>自询价</w:t>
      </w:r>
      <w:r>
        <w:rPr>
          <w:rFonts w:hint="eastAsia" w:ascii="宋体" w:hAnsi="宋体" w:cs="宋体"/>
          <w:color w:val="auto"/>
          <w:sz w:val="24"/>
          <w:highlight w:val="none"/>
          <w:lang w:eastAsia="zh-CN"/>
        </w:rPr>
        <w:t>邀请发出</w:t>
      </w:r>
      <w:r>
        <w:rPr>
          <w:rFonts w:hint="eastAsia" w:ascii="宋体" w:hAnsi="宋体" w:cs="宋体"/>
          <w:color w:val="auto"/>
          <w:sz w:val="24"/>
          <w:highlight w:val="none"/>
        </w:rPr>
        <w:t>之日起3个工作日内向代理机构提出。</w:t>
      </w:r>
    </w:p>
    <w:p w14:paraId="6A02F76E">
      <w:pPr>
        <w:spacing w:line="470" w:lineRule="exact"/>
        <w:ind w:firstLine="241" w:firstLineChars="100"/>
        <w:rPr>
          <w:rFonts w:ascii="宋体" w:hAnsi="宋体" w:cs="宋体"/>
          <w:color w:val="auto"/>
          <w:sz w:val="24"/>
          <w:highlight w:val="none"/>
        </w:rPr>
      </w:pPr>
      <w:r>
        <w:rPr>
          <w:rFonts w:hint="eastAsia" w:ascii="宋体" w:hAnsi="宋体" w:cs="宋体"/>
          <w:b/>
          <w:bCs/>
          <w:color w:val="auto"/>
          <w:sz w:val="24"/>
          <w:highlight w:val="none"/>
        </w:rPr>
        <w:t>1</w:t>
      </w:r>
      <w:r>
        <w:rPr>
          <w:rFonts w:hint="eastAsia" w:ascii="宋体" w:hAnsi="宋体" w:cs="宋体"/>
          <w:b/>
          <w:bCs/>
          <w:color w:val="auto"/>
          <w:sz w:val="24"/>
          <w:highlight w:val="none"/>
          <w:lang w:val="en-US" w:eastAsia="zh-CN"/>
        </w:rPr>
        <w:t>1</w:t>
      </w:r>
      <w:r>
        <w:rPr>
          <w:rFonts w:hint="eastAsia" w:ascii="宋体" w:hAnsi="宋体" w:cs="宋体"/>
          <w:b/>
          <w:bCs/>
          <w:color w:val="auto"/>
          <w:sz w:val="24"/>
          <w:highlight w:val="none"/>
        </w:rPr>
        <w:t>.如有变更（如：答疑文件、补充通知、延期通知等），</w:t>
      </w:r>
      <w:r>
        <w:rPr>
          <w:rFonts w:hint="eastAsia" w:ascii="宋体" w:hAnsi="宋体" w:cs="宋体"/>
          <w:color w:val="auto"/>
          <w:sz w:val="24"/>
          <w:highlight w:val="none"/>
        </w:rPr>
        <w:t>代理机构将通过</w:t>
      </w:r>
      <w:r>
        <w:rPr>
          <w:rFonts w:hint="eastAsia" w:ascii="宋体" w:hAnsi="宋体" w:cs="宋体"/>
          <w:color w:val="auto"/>
          <w:sz w:val="24"/>
          <w:highlight w:val="none"/>
          <w:lang w:val="en-US" w:eastAsia="zh-CN"/>
        </w:rPr>
        <w:t>厦门市湖里区国有资产投资集团有限公司网站招标信息栏目发布</w:t>
      </w:r>
      <w:r>
        <w:rPr>
          <w:rFonts w:hint="eastAsia" w:ascii="宋体" w:hAnsi="宋体" w:cs="宋体"/>
          <w:color w:val="auto"/>
          <w:sz w:val="24"/>
          <w:highlight w:val="none"/>
        </w:rPr>
        <w:t>，请各供应商在</w:t>
      </w:r>
      <w:r>
        <w:rPr>
          <w:rFonts w:hint="eastAsia" w:ascii="宋体" w:hAnsi="宋体" w:cs="宋体"/>
          <w:color w:val="auto"/>
          <w:sz w:val="24"/>
          <w:highlight w:val="none"/>
          <w:lang w:eastAsia="zh-CN"/>
        </w:rPr>
        <w:t>响应</w:t>
      </w:r>
      <w:r>
        <w:rPr>
          <w:rFonts w:hint="eastAsia" w:ascii="宋体" w:hAnsi="宋体" w:cs="宋体"/>
          <w:color w:val="auto"/>
          <w:sz w:val="24"/>
          <w:highlight w:val="none"/>
        </w:rPr>
        <w:t>截止前随时留意本项目的有关信息。</w:t>
      </w:r>
    </w:p>
    <w:p w14:paraId="4183CCA7">
      <w:pPr>
        <w:spacing w:line="470" w:lineRule="exact"/>
        <w:ind w:firstLine="241" w:firstLineChars="100"/>
        <w:rPr>
          <w:rFonts w:ascii="宋体" w:hAnsi="宋体" w:cs="宋体"/>
          <w:b/>
          <w:bCs/>
          <w:color w:val="auto"/>
          <w:sz w:val="24"/>
          <w:highlight w:val="none"/>
        </w:rPr>
      </w:pPr>
      <w:r>
        <w:rPr>
          <w:rFonts w:hint="eastAsia" w:ascii="宋体" w:hAnsi="宋体" w:cs="宋体"/>
          <w:b/>
          <w:bCs/>
          <w:color w:val="auto"/>
          <w:sz w:val="24"/>
          <w:highlight w:val="none"/>
        </w:rPr>
        <w:t>1</w:t>
      </w:r>
      <w:r>
        <w:rPr>
          <w:rFonts w:hint="eastAsia" w:ascii="宋体" w:hAnsi="宋体" w:cs="宋体"/>
          <w:b/>
          <w:bCs/>
          <w:color w:val="auto"/>
          <w:sz w:val="24"/>
          <w:highlight w:val="none"/>
          <w:lang w:val="en-US" w:eastAsia="zh-CN"/>
        </w:rPr>
        <w:t>2.</w:t>
      </w:r>
      <w:r>
        <w:rPr>
          <w:rFonts w:hint="eastAsia" w:ascii="宋体" w:hAnsi="宋体" w:cs="宋体"/>
          <w:b/>
          <w:bCs/>
          <w:color w:val="auto"/>
          <w:sz w:val="24"/>
          <w:highlight w:val="none"/>
        </w:rPr>
        <w:t>交通拥堵，递交</w:t>
      </w:r>
      <w:r>
        <w:rPr>
          <w:rFonts w:hint="eastAsia" w:ascii="宋体" w:hAnsi="宋体" w:cs="宋体"/>
          <w:b/>
          <w:bCs/>
          <w:color w:val="auto"/>
          <w:sz w:val="24"/>
          <w:highlight w:val="none"/>
          <w:lang w:eastAsia="zh-CN"/>
        </w:rPr>
        <w:t>响应文件</w:t>
      </w:r>
      <w:r>
        <w:rPr>
          <w:rFonts w:hint="eastAsia" w:ascii="宋体" w:hAnsi="宋体" w:cs="宋体"/>
          <w:b/>
          <w:bCs/>
          <w:color w:val="auto"/>
          <w:sz w:val="24"/>
          <w:highlight w:val="none"/>
        </w:rPr>
        <w:t>请提前做好准备。</w:t>
      </w:r>
    </w:p>
    <w:p w14:paraId="6D4D0246">
      <w:pPr>
        <w:spacing w:line="470" w:lineRule="exact"/>
        <w:ind w:firstLine="241" w:firstLineChars="100"/>
        <w:rPr>
          <w:rFonts w:ascii="宋体" w:hAnsi="宋体" w:cs="宋体"/>
          <w:b/>
          <w:bCs/>
          <w:color w:val="auto"/>
          <w:sz w:val="24"/>
          <w:highlight w:val="none"/>
        </w:rPr>
      </w:pPr>
      <w:r>
        <w:rPr>
          <w:rFonts w:hint="eastAsia" w:ascii="宋体" w:hAnsi="宋体" w:cs="宋体"/>
          <w:b/>
          <w:bCs/>
          <w:color w:val="auto"/>
          <w:sz w:val="24"/>
          <w:highlight w:val="none"/>
        </w:rPr>
        <w:t>1</w:t>
      </w:r>
      <w:r>
        <w:rPr>
          <w:rFonts w:hint="eastAsia" w:ascii="宋体" w:hAnsi="宋体" w:cs="宋体"/>
          <w:b/>
          <w:bCs/>
          <w:color w:val="auto"/>
          <w:sz w:val="24"/>
          <w:highlight w:val="none"/>
          <w:lang w:val="en-US" w:eastAsia="zh-CN"/>
        </w:rPr>
        <w:t>3</w:t>
      </w:r>
      <w:r>
        <w:rPr>
          <w:rFonts w:hint="eastAsia" w:ascii="宋体" w:hAnsi="宋体" w:cs="宋体"/>
          <w:b/>
          <w:bCs/>
          <w:color w:val="auto"/>
          <w:sz w:val="24"/>
          <w:highlight w:val="none"/>
        </w:rPr>
        <w:t>.联系方式</w:t>
      </w:r>
    </w:p>
    <w:p w14:paraId="6F94B72D">
      <w:pPr>
        <w:spacing w:line="470" w:lineRule="exact"/>
        <w:ind w:firstLine="480" w:firstLineChars="200"/>
        <w:rPr>
          <w:rFonts w:ascii="宋体" w:hAnsi="宋体" w:cs="宋体"/>
          <w:color w:val="auto"/>
          <w:sz w:val="24"/>
          <w:szCs w:val="24"/>
          <w:highlight w:val="none"/>
        </w:rPr>
      </w:pPr>
      <w:r>
        <w:rPr>
          <w:rFonts w:hint="eastAsia" w:ascii="宋体" w:hAnsi="宋体" w:cs="宋体"/>
          <w:color w:val="auto"/>
          <w:sz w:val="24"/>
          <w:highlight w:val="none"/>
        </w:rPr>
        <w:t>采购代理机构：</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厦门</w:t>
      </w:r>
      <w:r>
        <w:rPr>
          <w:rFonts w:hint="eastAsia" w:ascii="宋体" w:hAnsi="宋体" w:cs="宋体"/>
          <w:color w:val="auto"/>
          <w:sz w:val="24"/>
          <w:szCs w:val="24"/>
          <w:highlight w:val="none"/>
          <w:u w:val="single"/>
          <w:lang w:val="en-US" w:eastAsia="zh-CN"/>
        </w:rPr>
        <w:t>湖里国投工程建设有限公司</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14:paraId="6DEF86C9">
      <w:pPr>
        <w:pStyle w:val="9"/>
        <w:snapToGrid w:val="0"/>
        <w:spacing w:line="47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厦门市</w:t>
      </w:r>
      <w:r>
        <w:rPr>
          <w:rFonts w:hint="eastAsia" w:ascii="宋体" w:hAnsi="宋体" w:cs="宋体"/>
          <w:color w:val="auto"/>
          <w:sz w:val="24"/>
          <w:highlight w:val="none"/>
          <w:u w:val="single"/>
          <w:lang w:val="en-US" w:eastAsia="zh-CN"/>
        </w:rPr>
        <w:t xml:space="preserve">园山南路798号湖里国投商务中心A座8楼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468ADECA">
      <w:pPr>
        <w:pStyle w:val="9"/>
        <w:snapToGrid w:val="0"/>
        <w:spacing w:line="47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邮编：</w:t>
      </w:r>
      <w:r>
        <w:rPr>
          <w:rFonts w:hint="eastAsia" w:ascii="宋体" w:hAnsi="宋体" w:cs="宋体"/>
          <w:color w:val="auto"/>
          <w:sz w:val="24"/>
          <w:highlight w:val="none"/>
          <w:u w:val="single"/>
        </w:rPr>
        <w:t xml:space="preserve">  361</w:t>
      </w:r>
      <w:r>
        <w:rPr>
          <w:rFonts w:hint="eastAsia" w:ascii="宋体" w:hAnsi="宋体" w:cs="宋体"/>
          <w:color w:val="auto"/>
          <w:sz w:val="24"/>
          <w:highlight w:val="none"/>
          <w:u w:val="single"/>
          <w:lang w:val="en-US" w:eastAsia="zh-CN"/>
        </w:rPr>
        <w:t>009</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69E97102">
      <w:pPr>
        <w:pStyle w:val="9"/>
        <w:snapToGrid w:val="0"/>
        <w:spacing w:line="47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电话：</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0592-</w:t>
      </w:r>
      <w:r>
        <w:rPr>
          <w:rFonts w:hint="eastAsia" w:ascii="宋体" w:hAnsi="宋体" w:cs="宋体"/>
          <w:color w:val="auto"/>
          <w:sz w:val="24"/>
          <w:highlight w:val="none"/>
          <w:u w:val="single"/>
          <w:lang w:val="en-US" w:eastAsia="zh-CN"/>
        </w:rPr>
        <w:t>5736955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传真：</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p w14:paraId="3056780D">
      <w:pPr>
        <w:pStyle w:val="9"/>
        <w:snapToGrid w:val="0"/>
        <w:spacing w:line="47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联系人：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林</w:t>
      </w:r>
      <w:r>
        <w:rPr>
          <w:rFonts w:hint="eastAsia" w:ascii="宋体" w:hAnsi="宋体" w:cs="宋体"/>
          <w:color w:val="auto"/>
          <w:sz w:val="24"/>
          <w:highlight w:val="none"/>
          <w:u w:val="single"/>
          <w:lang w:eastAsia="zh-CN"/>
        </w:rPr>
        <w:t>工</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001610FD">
      <w:pPr>
        <w:pStyle w:val="9"/>
        <w:snapToGrid w:val="0"/>
        <w:spacing w:line="470" w:lineRule="exact"/>
        <w:ind w:firstLine="540" w:firstLineChars="225"/>
        <w:rPr>
          <w:rFonts w:ascii="宋体" w:hAnsi="宋体" w:cs="宋体"/>
          <w:color w:val="auto"/>
          <w:sz w:val="24"/>
          <w:highlight w:val="none"/>
        </w:rPr>
      </w:pPr>
      <w:r>
        <w:rPr>
          <w:rFonts w:hint="eastAsia" w:ascii="宋体" w:hAnsi="宋体" w:cs="宋体"/>
          <w:color w:val="auto"/>
          <w:sz w:val="24"/>
          <w:highlight w:val="none"/>
        </w:rPr>
        <w:t>采购人：</w:t>
      </w:r>
      <w:r>
        <w:rPr>
          <w:rFonts w:hint="eastAsia" w:ascii="宋体" w:hAnsi="宋体" w:cs="宋体"/>
          <w:color w:val="auto"/>
          <w:sz w:val="24"/>
          <w:highlight w:val="none"/>
          <w:u w:val="single"/>
        </w:rPr>
        <w:t xml:space="preserve">  厦门湖里国投物业服务有限公司  </w:t>
      </w:r>
      <w:r>
        <w:rPr>
          <w:rFonts w:hint="eastAsia" w:ascii="宋体" w:hAnsi="宋体" w:cs="宋体"/>
          <w:color w:val="auto"/>
          <w:sz w:val="24"/>
          <w:highlight w:val="none"/>
        </w:rPr>
        <w:t xml:space="preserve"> ；</w:t>
      </w:r>
    </w:p>
    <w:p w14:paraId="0FA11D1C">
      <w:pPr>
        <w:pStyle w:val="9"/>
        <w:snapToGrid w:val="0"/>
        <w:spacing w:line="470" w:lineRule="exact"/>
        <w:ind w:firstLine="540" w:firstLineChars="225"/>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single" w:color="000000"/>
        </w:rPr>
        <w:t xml:space="preserve">  </w:t>
      </w:r>
      <w:r>
        <w:rPr>
          <w:rFonts w:hint="eastAsia" w:ascii="宋体" w:hAnsi="宋体" w:cs="宋体"/>
          <w:color w:val="auto"/>
          <w:sz w:val="24"/>
          <w:highlight w:val="none"/>
          <w:u w:val="single"/>
          <w:lang w:eastAsia="zh-CN"/>
        </w:rPr>
        <w:t>厦门市</w:t>
      </w:r>
      <w:r>
        <w:rPr>
          <w:rFonts w:hint="eastAsia" w:ascii="宋体" w:hAnsi="宋体" w:cs="宋体"/>
          <w:color w:val="auto"/>
          <w:sz w:val="24"/>
          <w:highlight w:val="none"/>
          <w:u w:val="single"/>
          <w:lang w:val="en-US" w:eastAsia="zh-CN"/>
        </w:rPr>
        <w:t>园山南路792号湖里国投商务中心B座4楼</w:t>
      </w:r>
      <w:r>
        <w:rPr>
          <w:rFonts w:hint="eastAsia" w:ascii="宋体" w:hAnsi="宋体" w:cs="宋体"/>
          <w:color w:val="auto"/>
          <w:sz w:val="24"/>
          <w:highlight w:val="none"/>
          <w:u w:val="single" w:color="000000"/>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color="000000"/>
        </w:rPr>
        <w:t xml:space="preserve"> </w:t>
      </w:r>
      <w:r>
        <w:rPr>
          <w:rFonts w:hint="eastAsia" w:ascii="宋体" w:hAnsi="宋体" w:cs="宋体"/>
          <w:color w:val="auto"/>
          <w:sz w:val="24"/>
          <w:highlight w:val="none"/>
        </w:rPr>
        <w:t>；</w:t>
      </w:r>
    </w:p>
    <w:p w14:paraId="2CEFE873">
      <w:pPr>
        <w:pStyle w:val="9"/>
        <w:snapToGrid w:val="0"/>
        <w:spacing w:line="470" w:lineRule="exact"/>
        <w:ind w:firstLine="540" w:firstLineChars="225"/>
        <w:rPr>
          <w:rFonts w:ascii="宋体" w:hAnsi="宋体" w:cs="宋体"/>
          <w:color w:val="auto"/>
          <w:sz w:val="24"/>
          <w:highlight w:val="none"/>
          <w:u w:val="single"/>
        </w:rPr>
      </w:pPr>
      <w:r>
        <w:rPr>
          <w:rFonts w:hint="eastAsia" w:ascii="宋体" w:hAnsi="宋体" w:cs="宋体"/>
          <w:color w:val="auto"/>
          <w:sz w:val="24"/>
          <w:highlight w:val="none"/>
        </w:rPr>
        <w:t>邮编：</w:t>
      </w:r>
      <w:r>
        <w:rPr>
          <w:rFonts w:hint="eastAsia" w:ascii="宋体" w:hAnsi="宋体" w:cs="宋体"/>
          <w:color w:val="auto"/>
          <w:sz w:val="24"/>
          <w:highlight w:val="none"/>
          <w:u w:val="single"/>
        </w:rPr>
        <w:t xml:space="preserve"> 361</w:t>
      </w:r>
      <w:r>
        <w:rPr>
          <w:rFonts w:hint="eastAsia" w:ascii="宋体" w:hAnsi="宋体" w:cs="宋体"/>
          <w:color w:val="auto"/>
          <w:sz w:val="24"/>
          <w:highlight w:val="none"/>
          <w:u w:val="single"/>
          <w:lang w:val="en-US" w:eastAsia="zh-CN"/>
        </w:rPr>
        <w:t>0</w:t>
      </w:r>
      <w:r>
        <w:rPr>
          <w:rFonts w:hint="eastAsia" w:ascii="宋体" w:hAnsi="宋体" w:cs="宋体"/>
          <w:color w:val="auto"/>
          <w:sz w:val="24"/>
          <w:highlight w:val="none"/>
          <w:u w:val="single"/>
        </w:rPr>
        <w:t>0</w:t>
      </w:r>
      <w:r>
        <w:rPr>
          <w:rFonts w:hint="eastAsia" w:ascii="宋体" w:hAnsi="宋体" w:cs="宋体"/>
          <w:color w:val="auto"/>
          <w:sz w:val="24"/>
          <w:highlight w:val="none"/>
          <w:u w:val="single"/>
          <w:lang w:val="en-US" w:eastAsia="zh-CN"/>
        </w:rPr>
        <w:t>9</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199CD775">
      <w:pPr>
        <w:pStyle w:val="9"/>
        <w:snapToGrid w:val="0"/>
        <w:spacing w:line="470" w:lineRule="exact"/>
        <w:ind w:firstLine="540" w:firstLineChars="225"/>
        <w:rPr>
          <w:rFonts w:ascii="宋体" w:hAnsi="宋体" w:cs="宋体"/>
          <w:color w:val="auto"/>
          <w:sz w:val="24"/>
          <w:highlight w:val="none"/>
        </w:rPr>
      </w:pPr>
      <w:r>
        <w:rPr>
          <w:rFonts w:hint="eastAsia" w:ascii="宋体" w:hAnsi="宋体" w:cs="宋体"/>
          <w:color w:val="auto"/>
          <w:sz w:val="24"/>
          <w:highlight w:val="none"/>
        </w:rPr>
        <w:t>电话：</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0592-5382895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传真：</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p w14:paraId="00631120">
      <w:pPr>
        <w:pStyle w:val="9"/>
        <w:snapToGrid w:val="0"/>
        <w:spacing w:line="47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联系人：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周工</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bookmarkEnd w:id="3"/>
    <w:bookmarkEnd w:id="4"/>
    <w:bookmarkEnd w:id="5"/>
    <w:p w14:paraId="223C1C5E">
      <w:pPr>
        <w:pStyle w:val="3"/>
        <w:spacing w:before="0" w:after="0" w:line="240" w:lineRule="auto"/>
        <w:jc w:val="both"/>
        <w:rPr>
          <w:rFonts w:hint="eastAsia"/>
          <w:color w:val="auto"/>
          <w:lang w:val="en-US" w:eastAsia="zh-CN"/>
        </w:rPr>
      </w:pPr>
      <w:bookmarkStart w:id="6" w:name="_Toc185762837"/>
      <w:bookmarkStart w:id="7" w:name="_Toc11845126"/>
    </w:p>
    <w:p w14:paraId="2CAA3CDF">
      <w:pPr>
        <w:jc w:val="both"/>
        <w:rPr>
          <w:rFonts w:hint="eastAsia"/>
          <w:color w:val="auto"/>
          <w:lang w:val="en-US" w:eastAsia="zh-CN"/>
        </w:rPr>
      </w:pPr>
    </w:p>
    <w:p w14:paraId="3E152D18">
      <w:pPr>
        <w:jc w:val="both"/>
        <w:rPr>
          <w:rFonts w:hint="eastAsia"/>
          <w:color w:val="auto"/>
          <w:lang w:val="en-US" w:eastAsia="zh-CN"/>
        </w:rPr>
      </w:pPr>
    </w:p>
    <w:p w14:paraId="6BEDA3B4">
      <w:pPr>
        <w:jc w:val="both"/>
        <w:rPr>
          <w:rFonts w:hint="eastAsia"/>
          <w:color w:val="auto"/>
          <w:lang w:val="en-US" w:eastAsia="zh-CN"/>
        </w:rPr>
      </w:pPr>
    </w:p>
    <w:p w14:paraId="102E978F">
      <w:pPr>
        <w:jc w:val="both"/>
        <w:rPr>
          <w:rFonts w:hint="eastAsia"/>
          <w:color w:val="auto"/>
          <w:lang w:val="en-US" w:eastAsia="zh-CN"/>
        </w:rPr>
      </w:pPr>
    </w:p>
    <w:p w14:paraId="3A5E1525">
      <w:pPr>
        <w:jc w:val="both"/>
        <w:rPr>
          <w:rFonts w:hint="eastAsia"/>
          <w:color w:val="auto"/>
          <w:lang w:val="en-US" w:eastAsia="zh-CN"/>
        </w:rPr>
      </w:pPr>
    </w:p>
    <w:p w14:paraId="16FC75A0">
      <w:pPr>
        <w:jc w:val="both"/>
        <w:rPr>
          <w:rFonts w:hint="eastAsia"/>
          <w:color w:val="auto"/>
          <w:lang w:val="en-US" w:eastAsia="zh-CN"/>
        </w:rPr>
      </w:pPr>
    </w:p>
    <w:p w14:paraId="252B3E16">
      <w:pPr>
        <w:jc w:val="both"/>
        <w:rPr>
          <w:rFonts w:hint="eastAsia"/>
          <w:color w:val="auto"/>
          <w:lang w:val="en-US" w:eastAsia="zh-CN"/>
        </w:rPr>
      </w:pPr>
    </w:p>
    <w:p w14:paraId="30DB6425">
      <w:pPr>
        <w:jc w:val="both"/>
        <w:rPr>
          <w:rFonts w:hint="eastAsia"/>
          <w:color w:val="auto"/>
          <w:lang w:val="en-US" w:eastAsia="zh-CN"/>
        </w:rPr>
      </w:pPr>
    </w:p>
    <w:p w14:paraId="21831807">
      <w:pPr>
        <w:jc w:val="both"/>
        <w:rPr>
          <w:rFonts w:hint="eastAsia"/>
          <w:color w:val="auto"/>
          <w:lang w:val="en-US" w:eastAsia="zh-CN"/>
        </w:rPr>
      </w:pPr>
    </w:p>
    <w:p w14:paraId="223DD86F">
      <w:pPr>
        <w:jc w:val="both"/>
        <w:rPr>
          <w:rFonts w:hint="eastAsia"/>
          <w:color w:val="auto"/>
          <w:lang w:val="en-US" w:eastAsia="zh-CN"/>
        </w:rPr>
      </w:pPr>
    </w:p>
    <w:p w14:paraId="6A0E2C9B">
      <w:pPr>
        <w:jc w:val="both"/>
        <w:rPr>
          <w:rFonts w:hint="eastAsia"/>
          <w:color w:val="auto"/>
          <w:lang w:val="en-US" w:eastAsia="zh-CN"/>
        </w:rPr>
      </w:pPr>
    </w:p>
    <w:p w14:paraId="3D66D8F8">
      <w:pPr>
        <w:jc w:val="both"/>
        <w:rPr>
          <w:rFonts w:hint="eastAsia"/>
          <w:color w:val="auto"/>
          <w:lang w:val="en-US" w:eastAsia="zh-CN"/>
        </w:rPr>
      </w:pPr>
    </w:p>
    <w:p w14:paraId="1145B11F">
      <w:pPr>
        <w:jc w:val="both"/>
        <w:rPr>
          <w:rFonts w:hint="eastAsia"/>
          <w:color w:val="auto"/>
          <w:lang w:val="en-US" w:eastAsia="zh-CN"/>
        </w:rPr>
      </w:pPr>
    </w:p>
    <w:p w14:paraId="70BECDB8">
      <w:pPr>
        <w:jc w:val="both"/>
        <w:rPr>
          <w:rFonts w:hint="eastAsia"/>
          <w:color w:val="auto"/>
          <w:lang w:val="en-US" w:eastAsia="zh-CN"/>
        </w:rPr>
      </w:pPr>
    </w:p>
    <w:p w14:paraId="0C97974F">
      <w:pPr>
        <w:jc w:val="both"/>
        <w:rPr>
          <w:rFonts w:hint="eastAsia"/>
          <w:color w:val="auto"/>
          <w:lang w:val="en-US" w:eastAsia="zh-CN"/>
        </w:rPr>
      </w:pPr>
    </w:p>
    <w:p w14:paraId="543F4B85">
      <w:pPr>
        <w:jc w:val="both"/>
        <w:rPr>
          <w:rFonts w:hint="eastAsia"/>
          <w:color w:val="auto"/>
          <w:lang w:val="en-US" w:eastAsia="zh-CN"/>
        </w:rPr>
      </w:pPr>
    </w:p>
    <w:p w14:paraId="667A70EB">
      <w:pPr>
        <w:jc w:val="both"/>
        <w:rPr>
          <w:rFonts w:hint="eastAsia"/>
          <w:color w:val="auto"/>
          <w:lang w:val="en-US" w:eastAsia="zh-CN"/>
        </w:rPr>
      </w:pPr>
    </w:p>
    <w:p w14:paraId="3A07303E">
      <w:pPr>
        <w:jc w:val="both"/>
        <w:rPr>
          <w:rFonts w:hint="eastAsia"/>
          <w:color w:val="auto"/>
          <w:lang w:val="en-US" w:eastAsia="zh-CN"/>
        </w:rPr>
      </w:pPr>
    </w:p>
    <w:p w14:paraId="3368D509">
      <w:pPr>
        <w:jc w:val="both"/>
        <w:rPr>
          <w:rFonts w:hint="eastAsia"/>
          <w:color w:val="auto"/>
          <w:lang w:val="en-US" w:eastAsia="zh-CN"/>
        </w:rPr>
      </w:pPr>
    </w:p>
    <w:p w14:paraId="568E3711">
      <w:pPr>
        <w:jc w:val="both"/>
        <w:rPr>
          <w:rFonts w:hint="eastAsia"/>
          <w:color w:val="auto"/>
          <w:lang w:val="en-US" w:eastAsia="zh-CN"/>
        </w:rPr>
      </w:pPr>
    </w:p>
    <w:p w14:paraId="5BE37408">
      <w:pPr>
        <w:pStyle w:val="3"/>
        <w:spacing w:before="0" w:after="0" w:line="240" w:lineRule="auto"/>
        <w:jc w:val="center"/>
        <w:rPr>
          <w:rFonts w:hint="eastAsia"/>
          <w:color w:val="auto"/>
        </w:rPr>
      </w:pPr>
    </w:p>
    <w:p w14:paraId="14FD0E58">
      <w:pPr>
        <w:pStyle w:val="3"/>
        <w:spacing w:before="0" w:after="0" w:line="240" w:lineRule="auto"/>
        <w:ind w:firstLine="0" w:firstLineChars="0"/>
        <w:jc w:val="center"/>
        <w:rPr>
          <w:rFonts w:hint="eastAsia" w:ascii="宋体" w:hAnsi="宋体" w:cs="宋体"/>
          <w:color w:val="auto"/>
          <w:highlight w:val="none"/>
        </w:rPr>
      </w:pPr>
      <w:r>
        <w:rPr>
          <w:rFonts w:hint="eastAsia"/>
          <w:color w:val="auto"/>
        </w:rPr>
        <w:t>第二章  供应商须知</w:t>
      </w:r>
      <w:bookmarkEnd w:id="6"/>
      <w:bookmarkEnd w:id="7"/>
      <w:bookmarkStart w:id="8" w:name="_Toc11845127"/>
    </w:p>
    <w:p w14:paraId="171F2E22">
      <w:pPr>
        <w:pStyle w:val="3"/>
        <w:spacing w:line="440" w:lineRule="exact"/>
        <w:jc w:val="center"/>
        <w:rPr>
          <w:rFonts w:ascii="宋体" w:hAnsi="宋体" w:cs="宋体"/>
          <w:color w:val="auto"/>
          <w:highlight w:val="none"/>
        </w:rPr>
      </w:pPr>
      <w:r>
        <w:rPr>
          <w:rFonts w:hint="eastAsia" w:ascii="宋体" w:hAnsi="宋体" w:cs="宋体"/>
          <w:color w:val="auto"/>
          <w:highlight w:val="none"/>
        </w:rPr>
        <w:t>供应商须知前附表</w:t>
      </w:r>
      <w:bookmarkEnd w:id="8"/>
      <w:r>
        <w:rPr>
          <w:rFonts w:hint="eastAsia" w:ascii="宋体" w:hAnsi="宋体" w:cs="宋体"/>
          <w:color w:val="auto"/>
          <w:highlight w:val="none"/>
        </w:rPr>
        <w:t>1</w:t>
      </w:r>
    </w:p>
    <w:p w14:paraId="1293FE58">
      <w:pPr>
        <w:spacing w:line="440" w:lineRule="exact"/>
        <w:ind w:firstLine="525"/>
        <w:rPr>
          <w:rFonts w:ascii="宋体" w:hAnsi="宋体" w:cs="宋体"/>
          <w:color w:val="auto"/>
          <w:sz w:val="24"/>
          <w:szCs w:val="24"/>
          <w:highlight w:val="none"/>
        </w:rPr>
      </w:pPr>
      <w:r>
        <w:rPr>
          <w:rFonts w:hint="eastAsia" w:ascii="宋体" w:hAnsi="宋体" w:cs="宋体"/>
          <w:color w:val="auto"/>
          <w:sz w:val="24"/>
          <w:szCs w:val="24"/>
          <w:highlight w:val="none"/>
        </w:rPr>
        <w:t>本须知前附表中的条款是与《供应商须知》中的条款相对应的。如果有矛盾的话，应以本须知前附表为准。</w:t>
      </w:r>
    </w:p>
    <w:tbl>
      <w:tblPr>
        <w:tblStyle w:val="42"/>
        <w:tblW w:w="9628"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0" w:type="dxa"/>
          <w:bottom w:w="0" w:type="dxa"/>
          <w:right w:w="0" w:type="dxa"/>
        </w:tblCellMar>
      </w:tblPr>
      <w:tblGrid>
        <w:gridCol w:w="795"/>
        <w:gridCol w:w="1020"/>
        <w:gridCol w:w="7813"/>
      </w:tblGrid>
      <w:tr w14:paraId="0D4A7F9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507" w:hRule="atLeast"/>
          <w:jc w:val="center"/>
        </w:trPr>
        <w:tc>
          <w:tcPr>
            <w:tcW w:w="795" w:type="dxa"/>
            <w:tcMar>
              <w:top w:w="0" w:type="dxa"/>
              <w:left w:w="108" w:type="dxa"/>
              <w:bottom w:w="0" w:type="dxa"/>
              <w:right w:w="108" w:type="dxa"/>
            </w:tcMar>
            <w:vAlign w:val="center"/>
          </w:tcPr>
          <w:p w14:paraId="3A6B4828">
            <w:pPr>
              <w:spacing w:line="440" w:lineRule="exact"/>
              <w:jc w:val="center"/>
              <w:rPr>
                <w:rFonts w:ascii="宋体" w:hAnsi="宋体" w:cs="宋体"/>
                <w:b/>
                <w:color w:val="auto"/>
                <w:sz w:val="24"/>
                <w:szCs w:val="24"/>
                <w:highlight w:val="none"/>
              </w:rPr>
            </w:pPr>
            <w:r>
              <w:rPr>
                <w:rFonts w:hint="eastAsia" w:ascii="宋体" w:hAnsi="宋体" w:cs="宋体"/>
                <w:b/>
                <w:color w:val="auto"/>
                <w:sz w:val="24"/>
                <w:szCs w:val="24"/>
                <w:highlight w:val="none"/>
              </w:rPr>
              <w:t>项号</w:t>
            </w:r>
          </w:p>
        </w:tc>
        <w:tc>
          <w:tcPr>
            <w:tcW w:w="1020" w:type="dxa"/>
            <w:tcMar>
              <w:top w:w="0" w:type="dxa"/>
              <w:left w:w="108" w:type="dxa"/>
              <w:bottom w:w="0" w:type="dxa"/>
              <w:right w:w="108" w:type="dxa"/>
            </w:tcMar>
            <w:vAlign w:val="center"/>
          </w:tcPr>
          <w:p w14:paraId="58C123AC">
            <w:pPr>
              <w:spacing w:line="440" w:lineRule="exact"/>
              <w:jc w:val="center"/>
              <w:rPr>
                <w:rFonts w:ascii="宋体" w:hAnsi="宋体" w:cs="宋体"/>
                <w:b/>
                <w:color w:val="auto"/>
                <w:sz w:val="24"/>
                <w:szCs w:val="24"/>
                <w:highlight w:val="none"/>
              </w:rPr>
            </w:pPr>
            <w:r>
              <w:rPr>
                <w:rFonts w:hint="eastAsia" w:ascii="宋体" w:hAnsi="宋体" w:cs="宋体"/>
                <w:b/>
                <w:color w:val="auto"/>
                <w:sz w:val="24"/>
                <w:szCs w:val="24"/>
                <w:highlight w:val="none"/>
              </w:rPr>
              <w:t>条款号</w:t>
            </w:r>
          </w:p>
        </w:tc>
        <w:tc>
          <w:tcPr>
            <w:tcW w:w="7813" w:type="dxa"/>
            <w:tcMar>
              <w:top w:w="0" w:type="dxa"/>
              <w:left w:w="108" w:type="dxa"/>
              <w:bottom w:w="0" w:type="dxa"/>
              <w:right w:w="108" w:type="dxa"/>
            </w:tcMar>
            <w:vAlign w:val="center"/>
          </w:tcPr>
          <w:p w14:paraId="47B2A3B0">
            <w:pPr>
              <w:spacing w:line="440" w:lineRule="exact"/>
              <w:jc w:val="center"/>
              <w:rPr>
                <w:rFonts w:ascii="宋体" w:hAnsi="宋体" w:cs="宋体"/>
                <w:b/>
                <w:color w:val="auto"/>
                <w:sz w:val="24"/>
                <w:szCs w:val="24"/>
                <w:highlight w:val="none"/>
              </w:rPr>
            </w:pPr>
            <w:r>
              <w:rPr>
                <w:rFonts w:hint="eastAsia" w:ascii="宋体" w:hAnsi="宋体" w:cs="宋体"/>
                <w:b/>
                <w:color w:val="auto"/>
                <w:sz w:val="24"/>
                <w:szCs w:val="24"/>
                <w:highlight w:val="none"/>
              </w:rPr>
              <w:t>编   列   内    容</w:t>
            </w:r>
          </w:p>
        </w:tc>
      </w:tr>
      <w:tr w14:paraId="215C7D6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20" w:hRule="atLeast"/>
          <w:jc w:val="center"/>
        </w:trPr>
        <w:tc>
          <w:tcPr>
            <w:tcW w:w="795" w:type="dxa"/>
            <w:tcMar>
              <w:top w:w="0" w:type="dxa"/>
              <w:left w:w="108" w:type="dxa"/>
              <w:bottom w:w="0" w:type="dxa"/>
              <w:right w:w="108" w:type="dxa"/>
            </w:tcMar>
            <w:vAlign w:val="center"/>
          </w:tcPr>
          <w:p w14:paraId="08C6B3F3">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1020" w:type="dxa"/>
            <w:tcMar>
              <w:top w:w="0" w:type="dxa"/>
              <w:left w:w="108" w:type="dxa"/>
              <w:bottom w:w="0" w:type="dxa"/>
              <w:right w:w="108" w:type="dxa"/>
            </w:tcMar>
            <w:vAlign w:val="center"/>
          </w:tcPr>
          <w:p w14:paraId="1755C2FA">
            <w:pPr>
              <w:spacing w:line="440" w:lineRule="exact"/>
              <w:jc w:val="center"/>
              <w:rPr>
                <w:rFonts w:ascii="宋体" w:hAnsi="宋体" w:cs="宋体"/>
                <w:color w:val="auto"/>
                <w:sz w:val="24"/>
                <w:szCs w:val="24"/>
                <w:highlight w:val="none"/>
              </w:rPr>
            </w:pPr>
          </w:p>
        </w:tc>
        <w:tc>
          <w:tcPr>
            <w:tcW w:w="7813" w:type="dxa"/>
            <w:tcMar>
              <w:top w:w="0" w:type="dxa"/>
              <w:left w:w="108" w:type="dxa"/>
              <w:bottom w:w="0" w:type="dxa"/>
              <w:right w:w="108" w:type="dxa"/>
            </w:tcMar>
            <w:vAlign w:val="center"/>
          </w:tcPr>
          <w:p w14:paraId="2AD71387">
            <w:pPr>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lang w:eastAsia="zh-CN"/>
              </w:rPr>
              <w:t>项目</w:t>
            </w:r>
            <w:r>
              <w:rPr>
                <w:rFonts w:hint="eastAsia" w:ascii="宋体" w:hAnsi="宋体" w:cs="宋体"/>
                <w:color w:val="auto"/>
                <w:sz w:val="24"/>
                <w:szCs w:val="24"/>
                <w:highlight w:val="none"/>
              </w:rPr>
              <w:t>编号：</w:t>
            </w:r>
            <w:r>
              <w:rPr>
                <w:rFonts w:hint="eastAsia" w:ascii="宋体" w:hAnsi="宋体" w:cs="宋体"/>
                <w:color w:val="auto"/>
                <w:sz w:val="24"/>
                <w:szCs w:val="24"/>
                <w:highlight w:val="none"/>
                <w:lang w:eastAsia="zh-CN"/>
              </w:rPr>
              <w:t xml:space="preserve">  </w:t>
            </w:r>
            <w:r>
              <w:rPr>
                <w:rFonts w:hint="eastAsia" w:ascii="宋体" w:hAnsi="宋体" w:cs="宋体"/>
                <w:color w:val="auto"/>
                <w:sz w:val="24"/>
                <w:szCs w:val="24"/>
                <w:highlight w:val="none"/>
                <w:lang w:val="en-US" w:eastAsia="zh-CN"/>
              </w:rPr>
              <w:t>GTWY2025-001</w:t>
            </w:r>
          </w:p>
          <w:p w14:paraId="08B30B2E">
            <w:pPr>
              <w:spacing w:line="440" w:lineRule="exac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项目名称：</w:t>
            </w:r>
            <w:r>
              <w:rPr>
                <w:rFonts w:hint="eastAsia" w:ascii="宋体" w:hAnsi="宋体" w:cs="宋体"/>
                <w:color w:val="auto"/>
                <w:kern w:val="0"/>
                <w:sz w:val="24"/>
                <w:szCs w:val="24"/>
                <w:highlight w:val="none"/>
                <w:u w:val="single"/>
                <w:lang w:val="en-US" w:eastAsia="zh-CN"/>
              </w:rPr>
              <w:t>古地石指挥部及金尚菜市场项目、厦大海韵园二期项目保洁绿化服务</w:t>
            </w:r>
            <w:r>
              <w:rPr>
                <w:rFonts w:hint="eastAsia" w:ascii="宋体" w:hAnsi="宋体" w:cs="宋体"/>
                <w:color w:val="auto"/>
                <w:kern w:val="0"/>
                <w:sz w:val="24"/>
                <w:szCs w:val="24"/>
                <w:highlight w:val="none"/>
                <w:u w:val="single"/>
              </w:rPr>
              <w:t xml:space="preserve"> </w:t>
            </w:r>
          </w:p>
        </w:tc>
      </w:tr>
      <w:tr w14:paraId="515470A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20" w:hRule="atLeast"/>
          <w:jc w:val="center"/>
        </w:trPr>
        <w:tc>
          <w:tcPr>
            <w:tcW w:w="795" w:type="dxa"/>
            <w:tcMar>
              <w:top w:w="0" w:type="dxa"/>
              <w:left w:w="108" w:type="dxa"/>
              <w:bottom w:w="0" w:type="dxa"/>
              <w:right w:w="108" w:type="dxa"/>
            </w:tcMar>
            <w:vAlign w:val="center"/>
          </w:tcPr>
          <w:p w14:paraId="1AB64154">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2</w:t>
            </w:r>
          </w:p>
        </w:tc>
        <w:tc>
          <w:tcPr>
            <w:tcW w:w="1020" w:type="dxa"/>
            <w:tcMar>
              <w:top w:w="0" w:type="dxa"/>
              <w:left w:w="108" w:type="dxa"/>
              <w:bottom w:w="0" w:type="dxa"/>
              <w:right w:w="108" w:type="dxa"/>
            </w:tcMar>
            <w:vAlign w:val="center"/>
          </w:tcPr>
          <w:p w14:paraId="59DECC01">
            <w:pPr>
              <w:spacing w:line="440" w:lineRule="exact"/>
              <w:jc w:val="center"/>
              <w:rPr>
                <w:rFonts w:ascii="宋体" w:hAnsi="宋体" w:cs="宋体"/>
                <w:color w:val="auto"/>
                <w:sz w:val="24"/>
                <w:szCs w:val="24"/>
                <w:highlight w:val="none"/>
              </w:rPr>
            </w:pPr>
          </w:p>
        </w:tc>
        <w:tc>
          <w:tcPr>
            <w:tcW w:w="7813" w:type="dxa"/>
            <w:tcMar>
              <w:top w:w="0" w:type="dxa"/>
              <w:left w:w="108" w:type="dxa"/>
              <w:bottom w:w="0" w:type="dxa"/>
              <w:right w:w="108" w:type="dxa"/>
            </w:tcMar>
            <w:vAlign w:val="center"/>
          </w:tcPr>
          <w:p w14:paraId="376691DC">
            <w:pPr>
              <w:spacing w:line="440" w:lineRule="exac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采购人名称</w:t>
            </w:r>
            <w:r>
              <w:rPr>
                <w:rFonts w:hint="eastAsia" w:ascii="宋体" w:hAnsi="宋体" w:cs="宋体"/>
                <w:color w:val="auto"/>
                <w:sz w:val="24"/>
                <w:szCs w:val="24"/>
                <w:highlight w:val="none"/>
                <w:lang w:eastAsia="zh-CN"/>
              </w:rPr>
              <w:t>：</w:t>
            </w:r>
            <w:r>
              <w:rPr>
                <w:rFonts w:hint="eastAsia" w:ascii="宋体" w:hAnsi="宋体" w:cs="宋体"/>
                <w:color w:val="auto"/>
                <w:sz w:val="24"/>
                <w:highlight w:val="none"/>
                <w:u w:val="single"/>
              </w:rPr>
              <w:t>厦门湖里国投物业服务有限公司</w:t>
            </w:r>
          </w:p>
          <w:p w14:paraId="169DCD43">
            <w:pPr>
              <w:spacing w:line="440" w:lineRule="exac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采购人地址：</w:t>
            </w:r>
            <w:r>
              <w:rPr>
                <w:rFonts w:hint="eastAsia" w:ascii="宋体" w:hAnsi="宋体" w:cs="宋体"/>
                <w:color w:val="auto"/>
                <w:sz w:val="24"/>
                <w:highlight w:val="none"/>
                <w:u w:val="single" w:color="000000"/>
              </w:rPr>
              <w:t xml:space="preserve"> </w:t>
            </w:r>
            <w:r>
              <w:rPr>
                <w:rFonts w:hint="eastAsia" w:ascii="宋体" w:hAnsi="宋体" w:cs="宋体"/>
                <w:color w:val="auto"/>
                <w:sz w:val="24"/>
                <w:highlight w:val="none"/>
                <w:u w:val="single"/>
                <w:lang w:eastAsia="zh-CN"/>
              </w:rPr>
              <w:t>厦门市</w:t>
            </w:r>
            <w:r>
              <w:rPr>
                <w:rFonts w:hint="eastAsia" w:ascii="宋体" w:hAnsi="宋体" w:cs="宋体"/>
                <w:color w:val="auto"/>
                <w:sz w:val="24"/>
                <w:highlight w:val="none"/>
                <w:u w:val="single"/>
                <w:lang w:val="en-US" w:eastAsia="zh-CN"/>
              </w:rPr>
              <w:t>园山南路792号湖里国投商务中心B座4楼</w:t>
            </w:r>
            <w:r>
              <w:rPr>
                <w:rFonts w:hint="eastAsia" w:ascii="宋体" w:hAnsi="宋体" w:cs="宋体"/>
                <w:color w:val="auto"/>
                <w:sz w:val="24"/>
                <w:highlight w:val="none"/>
                <w:u w:val="single" w:color="000000"/>
              </w:rPr>
              <w:t xml:space="preserve"> </w:t>
            </w:r>
          </w:p>
        </w:tc>
      </w:tr>
      <w:tr w14:paraId="6A27CC5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20" w:hRule="atLeast"/>
          <w:jc w:val="center"/>
        </w:trPr>
        <w:tc>
          <w:tcPr>
            <w:tcW w:w="795" w:type="dxa"/>
            <w:tcMar>
              <w:top w:w="0" w:type="dxa"/>
              <w:left w:w="108" w:type="dxa"/>
              <w:bottom w:w="0" w:type="dxa"/>
              <w:right w:w="108" w:type="dxa"/>
            </w:tcMar>
            <w:vAlign w:val="center"/>
          </w:tcPr>
          <w:p w14:paraId="02C260C4">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3</w:t>
            </w:r>
          </w:p>
        </w:tc>
        <w:tc>
          <w:tcPr>
            <w:tcW w:w="1020" w:type="dxa"/>
            <w:tcMar>
              <w:top w:w="0" w:type="dxa"/>
              <w:left w:w="108" w:type="dxa"/>
              <w:bottom w:w="0" w:type="dxa"/>
              <w:right w:w="108" w:type="dxa"/>
            </w:tcMar>
            <w:vAlign w:val="center"/>
          </w:tcPr>
          <w:p w14:paraId="64BAB6A0">
            <w:pPr>
              <w:spacing w:line="440" w:lineRule="exact"/>
              <w:jc w:val="center"/>
              <w:rPr>
                <w:rFonts w:ascii="宋体" w:hAnsi="宋体" w:cs="宋体"/>
                <w:color w:val="auto"/>
                <w:sz w:val="24"/>
                <w:szCs w:val="24"/>
                <w:highlight w:val="none"/>
              </w:rPr>
            </w:pPr>
          </w:p>
        </w:tc>
        <w:tc>
          <w:tcPr>
            <w:tcW w:w="7813" w:type="dxa"/>
            <w:tcMar>
              <w:top w:w="0" w:type="dxa"/>
              <w:left w:w="108" w:type="dxa"/>
              <w:bottom w:w="0" w:type="dxa"/>
              <w:right w:w="108" w:type="dxa"/>
            </w:tcMar>
            <w:vAlign w:val="center"/>
          </w:tcPr>
          <w:p w14:paraId="637B3B22">
            <w:pPr>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rPr>
              <w:t>本项目的预算金额：</w:t>
            </w:r>
            <w:r>
              <w:rPr>
                <w:rFonts w:hint="eastAsia" w:ascii="宋体" w:hAnsi="宋体" w:cs="宋体"/>
                <w:color w:val="auto"/>
                <w:sz w:val="24"/>
                <w:szCs w:val="24"/>
                <w:highlight w:val="none"/>
                <w:lang w:val="en-US" w:eastAsia="zh-CN"/>
              </w:rPr>
              <w:t>448999</w:t>
            </w:r>
            <w:r>
              <w:rPr>
                <w:rFonts w:hint="eastAsia" w:ascii="宋体" w:hAnsi="宋体" w:cs="宋体"/>
                <w:color w:val="auto"/>
                <w:sz w:val="24"/>
                <w:szCs w:val="24"/>
                <w:highlight w:val="none"/>
              </w:rPr>
              <w:t>元。</w:t>
            </w:r>
          </w:p>
        </w:tc>
      </w:tr>
      <w:tr w14:paraId="5C491C5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53" w:hRule="atLeast"/>
          <w:jc w:val="center"/>
        </w:trPr>
        <w:tc>
          <w:tcPr>
            <w:tcW w:w="795" w:type="dxa"/>
            <w:tcMar>
              <w:top w:w="0" w:type="dxa"/>
              <w:left w:w="108" w:type="dxa"/>
              <w:bottom w:w="0" w:type="dxa"/>
              <w:right w:w="108" w:type="dxa"/>
            </w:tcMar>
            <w:vAlign w:val="center"/>
          </w:tcPr>
          <w:p w14:paraId="3776CFA3">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4</w:t>
            </w:r>
          </w:p>
        </w:tc>
        <w:tc>
          <w:tcPr>
            <w:tcW w:w="1020" w:type="dxa"/>
            <w:tcMar>
              <w:top w:w="0" w:type="dxa"/>
              <w:left w:w="108" w:type="dxa"/>
              <w:bottom w:w="0" w:type="dxa"/>
              <w:right w:w="108" w:type="dxa"/>
            </w:tcMar>
            <w:vAlign w:val="center"/>
          </w:tcPr>
          <w:p w14:paraId="537E3269">
            <w:pPr>
              <w:spacing w:line="440" w:lineRule="exact"/>
              <w:jc w:val="center"/>
              <w:rPr>
                <w:rFonts w:ascii="宋体" w:hAnsi="宋体" w:cs="宋体"/>
                <w:color w:val="auto"/>
                <w:sz w:val="24"/>
                <w:szCs w:val="24"/>
                <w:highlight w:val="none"/>
              </w:rPr>
            </w:pPr>
          </w:p>
        </w:tc>
        <w:tc>
          <w:tcPr>
            <w:tcW w:w="7813" w:type="dxa"/>
            <w:tcMar>
              <w:top w:w="0" w:type="dxa"/>
              <w:left w:w="108" w:type="dxa"/>
              <w:bottom w:w="0" w:type="dxa"/>
              <w:right w:w="108" w:type="dxa"/>
            </w:tcMar>
            <w:vAlign w:val="center"/>
          </w:tcPr>
          <w:p w14:paraId="20F2D5A3">
            <w:pPr>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rPr>
              <w:t>不组织</w:t>
            </w:r>
            <w:r>
              <w:rPr>
                <w:rFonts w:hint="eastAsia" w:ascii="宋体" w:hAnsi="宋体" w:eastAsia="宋体" w:cs="宋体"/>
                <w:color w:val="auto"/>
                <w:sz w:val="24"/>
                <w:szCs w:val="24"/>
                <w:highlight w:val="none"/>
              </w:rPr>
              <w:t>现场考察或召开开标前答疑会</w:t>
            </w:r>
          </w:p>
        </w:tc>
      </w:tr>
      <w:tr w14:paraId="60A2A29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53" w:hRule="atLeast"/>
          <w:jc w:val="center"/>
        </w:trPr>
        <w:tc>
          <w:tcPr>
            <w:tcW w:w="795" w:type="dxa"/>
            <w:tcMar>
              <w:top w:w="0" w:type="dxa"/>
              <w:left w:w="108" w:type="dxa"/>
              <w:bottom w:w="0" w:type="dxa"/>
              <w:right w:w="108" w:type="dxa"/>
            </w:tcMar>
            <w:vAlign w:val="center"/>
          </w:tcPr>
          <w:p w14:paraId="624FB540">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5</w:t>
            </w:r>
          </w:p>
        </w:tc>
        <w:tc>
          <w:tcPr>
            <w:tcW w:w="1020" w:type="dxa"/>
            <w:tcMar>
              <w:top w:w="0" w:type="dxa"/>
              <w:left w:w="108" w:type="dxa"/>
              <w:bottom w:w="0" w:type="dxa"/>
              <w:right w:w="108" w:type="dxa"/>
            </w:tcMar>
            <w:vAlign w:val="center"/>
          </w:tcPr>
          <w:p w14:paraId="13CD35B8">
            <w:pPr>
              <w:spacing w:line="440" w:lineRule="exact"/>
              <w:jc w:val="center"/>
              <w:rPr>
                <w:rFonts w:ascii="宋体" w:hAnsi="宋体" w:cs="宋体"/>
                <w:color w:val="auto"/>
                <w:sz w:val="24"/>
                <w:szCs w:val="24"/>
                <w:highlight w:val="none"/>
              </w:rPr>
            </w:pPr>
          </w:p>
        </w:tc>
        <w:tc>
          <w:tcPr>
            <w:tcW w:w="7813" w:type="dxa"/>
            <w:tcMar>
              <w:top w:w="0" w:type="dxa"/>
              <w:left w:w="108" w:type="dxa"/>
              <w:bottom w:w="0" w:type="dxa"/>
              <w:right w:w="108" w:type="dxa"/>
            </w:tcMar>
            <w:vAlign w:val="center"/>
          </w:tcPr>
          <w:p w14:paraId="60836526">
            <w:pPr>
              <w:widowControl/>
              <w:spacing w:line="440" w:lineRule="exact"/>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（1）纸质</w:t>
            </w:r>
            <w:r>
              <w:rPr>
                <w:rFonts w:hint="eastAsia" w:ascii="宋体" w:hAnsi="宋体" w:cs="宋体"/>
                <w:color w:val="auto"/>
                <w:kern w:val="0"/>
                <w:sz w:val="24"/>
                <w:szCs w:val="24"/>
                <w:highlight w:val="none"/>
                <w:lang w:eastAsia="zh-CN"/>
              </w:rPr>
              <w:t>响应文件</w:t>
            </w:r>
            <w:r>
              <w:rPr>
                <w:rFonts w:hint="eastAsia" w:ascii="宋体" w:hAnsi="宋体" w:cs="宋体"/>
                <w:color w:val="auto"/>
                <w:kern w:val="0"/>
                <w:sz w:val="24"/>
                <w:szCs w:val="24"/>
                <w:highlight w:val="none"/>
              </w:rPr>
              <w:t>：</w:t>
            </w:r>
          </w:p>
          <w:p w14:paraId="6EC653B3">
            <w:pPr>
              <w:widowControl/>
              <w:spacing w:line="440" w:lineRule="exact"/>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①</w:t>
            </w:r>
            <w:r>
              <w:rPr>
                <w:rFonts w:hint="eastAsia" w:ascii="宋体" w:hAnsi="宋体" w:cs="宋体"/>
                <w:color w:val="auto"/>
                <w:kern w:val="0"/>
                <w:sz w:val="24"/>
                <w:szCs w:val="24"/>
                <w:highlight w:val="none"/>
                <w:lang w:eastAsia="zh-CN"/>
              </w:rPr>
              <w:t>响应文件</w:t>
            </w:r>
            <w:r>
              <w:rPr>
                <w:rFonts w:hint="eastAsia" w:ascii="宋体" w:hAnsi="宋体" w:cs="宋体"/>
                <w:color w:val="auto"/>
                <w:kern w:val="0"/>
                <w:sz w:val="24"/>
                <w:szCs w:val="24"/>
                <w:highlight w:val="none"/>
              </w:rPr>
              <w:t>正本1份、副本2份。</w:t>
            </w:r>
          </w:p>
          <w:p w14:paraId="305A4C79">
            <w:pPr>
              <w:widowControl/>
              <w:spacing w:line="440" w:lineRule="exact"/>
              <w:jc w:val="left"/>
              <w:rPr>
                <w:rFonts w:ascii="宋体" w:hAnsi="宋体" w:cs="宋体"/>
                <w:color w:val="auto"/>
                <w:sz w:val="24"/>
                <w:szCs w:val="24"/>
                <w:highlight w:val="none"/>
              </w:rPr>
            </w:pPr>
            <w:r>
              <w:rPr>
                <w:rFonts w:hint="eastAsia" w:ascii="宋体" w:hAnsi="宋体" w:cs="宋体"/>
                <w:color w:val="auto"/>
                <w:kern w:val="0"/>
                <w:sz w:val="24"/>
                <w:szCs w:val="24"/>
                <w:highlight w:val="none"/>
              </w:rPr>
              <w:t>②可读介质（光盘或U盘，为盖章扫描件）1份：</w:t>
            </w:r>
          </w:p>
        </w:tc>
      </w:tr>
      <w:tr w14:paraId="40F7FF4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53" w:hRule="atLeast"/>
          <w:jc w:val="center"/>
        </w:trPr>
        <w:tc>
          <w:tcPr>
            <w:tcW w:w="795" w:type="dxa"/>
            <w:tcMar>
              <w:top w:w="0" w:type="dxa"/>
              <w:left w:w="108" w:type="dxa"/>
              <w:bottom w:w="0" w:type="dxa"/>
              <w:right w:w="108" w:type="dxa"/>
            </w:tcMar>
            <w:vAlign w:val="center"/>
          </w:tcPr>
          <w:p w14:paraId="7DAB6836">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6</w:t>
            </w:r>
          </w:p>
        </w:tc>
        <w:tc>
          <w:tcPr>
            <w:tcW w:w="1020" w:type="dxa"/>
            <w:tcMar>
              <w:top w:w="0" w:type="dxa"/>
              <w:left w:w="108" w:type="dxa"/>
              <w:bottom w:w="0" w:type="dxa"/>
              <w:right w:w="108" w:type="dxa"/>
            </w:tcMar>
            <w:vAlign w:val="center"/>
          </w:tcPr>
          <w:p w14:paraId="6EB96FA8">
            <w:pPr>
              <w:spacing w:line="440" w:lineRule="exact"/>
              <w:jc w:val="center"/>
              <w:rPr>
                <w:rFonts w:ascii="宋体" w:hAnsi="宋体" w:cs="宋体"/>
                <w:color w:val="auto"/>
                <w:sz w:val="24"/>
                <w:szCs w:val="24"/>
                <w:highlight w:val="none"/>
              </w:rPr>
            </w:pPr>
          </w:p>
        </w:tc>
        <w:tc>
          <w:tcPr>
            <w:tcW w:w="7813" w:type="dxa"/>
            <w:tcMar>
              <w:top w:w="0" w:type="dxa"/>
              <w:left w:w="108" w:type="dxa"/>
              <w:bottom w:w="0" w:type="dxa"/>
              <w:right w:w="108" w:type="dxa"/>
            </w:tcMar>
            <w:vAlign w:val="center"/>
          </w:tcPr>
          <w:p w14:paraId="772B3357">
            <w:pPr>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rPr>
              <w:t xml:space="preserve">响应文件递交地址：详见《第一章 </w:t>
            </w:r>
            <w:r>
              <w:rPr>
                <w:rFonts w:hint="eastAsia" w:ascii="宋体" w:hAnsi="宋体" w:cs="宋体"/>
                <w:color w:val="auto"/>
                <w:sz w:val="24"/>
                <w:szCs w:val="24"/>
                <w:highlight w:val="none"/>
                <w:lang w:eastAsia="zh-CN"/>
              </w:rPr>
              <w:t>询价邀请</w:t>
            </w:r>
            <w:r>
              <w:rPr>
                <w:rFonts w:hint="eastAsia" w:ascii="宋体" w:hAnsi="宋体" w:cs="宋体"/>
                <w:color w:val="auto"/>
                <w:sz w:val="24"/>
                <w:szCs w:val="24"/>
                <w:highlight w:val="none"/>
              </w:rPr>
              <w:t>》</w:t>
            </w:r>
          </w:p>
          <w:p w14:paraId="78A13ED2">
            <w:pPr>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rPr>
              <w:t xml:space="preserve">响应文件递交截止时间：详见《第一章 </w:t>
            </w:r>
            <w:r>
              <w:rPr>
                <w:rFonts w:hint="eastAsia" w:ascii="宋体" w:hAnsi="宋体" w:cs="宋体"/>
                <w:color w:val="auto"/>
                <w:sz w:val="24"/>
                <w:szCs w:val="24"/>
                <w:highlight w:val="none"/>
                <w:lang w:eastAsia="zh-CN"/>
              </w:rPr>
              <w:t>询价邀请</w:t>
            </w:r>
            <w:r>
              <w:rPr>
                <w:rFonts w:hint="eastAsia" w:ascii="宋体" w:hAnsi="宋体" w:cs="宋体"/>
                <w:color w:val="auto"/>
                <w:sz w:val="24"/>
                <w:szCs w:val="24"/>
                <w:highlight w:val="none"/>
              </w:rPr>
              <w:t>》</w:t>
            </w:r>
          </w:p>
          <w:p w14:paraId="592FBD7A">
            <w:pPr>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rPr>
              <w:t>在响应文件递交截止时间后递交的响应文件，采购代理机构将不予接收。</w:t>
            </w:r>
          </w:p>
        </w:tc>
      </w:tr>
      <w:tr w14:paraId="1C21277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60" w:hRule="atLeast"/>
          <w:jc w:val="center"/>
        </w:trPr>
        <w:tc>
          <w:tcPr>
            <w:tcW w:w="795" w:type="dxa"/>
            <w:tcMar>
              <w:top w:w="0" w:type="dxa"/>
              <w:left w:w="108" w:type="dxa"/>
              <w:bottom w:w="0" w:type="dxa"/>
              <w:right w:w="108" w:type="dxa"/>
            </w:tcMar>
            <w:vAlign w:val="center"/>
          </w:tcPr>
          <w:p w14:paraId="5F59AB67">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7</w:t>
            </w:r>
          </w:p>
        </w:tc>
        <w:tc>
          <w:tcPr>
            <w:tcW w:w="1020" w:type="dxa"/>
            <w:tcMar>
              <w:top w:w="0" w:type="dxa"/>
              <w:left w:w="108" w:type="dxa"/>
              <w:bottom w:w="0" w:type="dxa"/>
              <w:right w:w="108" w:type="dxa"/>
            </w:tcMar>
            <w:vAlign w:val="center"/>
          </w:tcPr>
          <w:p w14:paraId="27A2CB3C">
            <w:pPr>
              <w:spacing w:line="440" w:lineRule="exact"/>
              <w:jc w:val="center"/>
              <w:rPr>
                <w:rFonts w:ascii="宋体" w:hAnsi="宋体" w:cs="宋体"/>
                <w:color w:val="auto"/>
                <w:sz w:val="24"/>
                <w:szCs w:val="24"/>
                <w:highlight w:val="none"/>
              </w:rPr>
            </w:pPr>
          </w:p>
        </w:tc>
        <w:tc>
          <w:tcPr>
            <w:tcW w:w="7813" w:type="dxa"/>
            <w:tcMar>
              <w:top w:w="0" w:type="dxa"/>
              <w:left w:w="108" w:type="dxa"/>
              <w:bottom w:w="0" w:type="dxa"/>
              <w:right w:w="108" w:type="dxa"/>
            </w:tcMar>
            <w:vAlign w:val="top"/>
          </w:tcPr>
          <w:p w14:paraId="535B0247">
            <w:pPr>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规则、评审标准及确定成交供应商原则：详见《供应商须知前附表3》。</w:t>
            </w:r>
          </w:p>
        </w:tc>
      </w:tr>
      <w:tr w14:paraId="3A4C370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60" w:hRule="atLeast"/>
          <w:jc w:val="center"/>
        </w:trPr>
        <w:tc>
          <w:tcPr>
            <w:tcW w:w="795" w:type="dxa"/>
            <w:tcMar>
              <w:top w:w="0" w:type="dxa"/>
              <w:left w:w="108" w:type="dxa"/>
              <w:bottom w:w="0" w:type="dxa"/>
              <w:right w:w="108" w:type="dxa"/>
            </w:tcMar>
            <w:vAlign w:val="center"/>
          </w:tcPr>
          <w:p w14:paraId="20966078">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8</w:t>
            </w:r>
          </w:p>
        </w:tc>
        <w:tc>
          <w:tcPr>
            <w:tcW w:w="1020" w:type="dxa"/>
            <w:tcMar>
              <w:top w:w="0" w:type="dxa"/>
              <w:left w:w="108" w:type="dxa"/>
              <w:bottom w:w="0" w:type="dxa"/>
              <w:right w:w="108" w:type="dxa"/>
            </w:tcMar>
            <w:vAlign w:val="center"/>
          </w:tcPr>
          <w:p w14:paraId="46391AFC">
            <w:pPr>
              <w:spacing w:line="440" w:lineRule="exact"/>
              <w:jc w:val="center"/>
              <w:rPr>
                <w:rFonts w:ascii="宋体" w:hAnsi="宋体" w:cs="宋体"/>
                <w:color w:val="auto"/>
                <w:sz w:val="24"/>
                <w:szCs w:val="24"/>
                <w:highlight w:val="none"/>
              </w:rPr>
            </w:pPr>
          </w:p>
        </w:tc>
        <w:tc>
          <w:tcPr>
            <w:tcW w:w="7813" w:type="dxa"/>
            <w:tcMar>
              <w:top w:w="0" w:type="dxa"/>
              <w:left w:w="108" w:type="dxa"/>
              <w:bottom w:w="0" w:type="dxa"/>
              <w:right w:w="108" w:type="dxa"/>
            </w:tcMar>
            <w:vAlign w:val="top"/>
          </w:tcPr>
          <w:p w14:paraId="731C322C">
            <w:pPr>
              <w:spacing w:line="440" w:lineRule="exact"/>
              <w:rPr>
                <w:rFonts w:ascii="宋体" w:hAnsi="宋体" w:cs="宋体"/>
                <w:color w:val="auto"/>
                <w:sz w:val="24"/>
                <w:szCs w:val="24"/>
                <w:highlight w:val="none"/>
              </w:rPr>
            </w:pPr>
            <w:r>
              <w:rPr>
                <w:rFonts w:hint="eastAsia" w:ascii="宋体" w:hAnsi="宋体" w:cs="宋体"/>
                <w:b/>
                <w:bCs/>
                <w:color w:val="auto"/>
                <w:kern w:val="0"/>
                <w:sz w:val="24"/>
                <w:szCs w:val="24"/>
                <w:highlight w:val="none"/>
                <w:lang w:eastAsia="zh-CN"/>
              </w:rPr>
              <w:t>响应文件有效期</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eastAsia="zh-CN"/>
              </w:rPr>
              <w:t>响应</w:t>
            </w:r>
            <w:r>
              <w:rPr>
                <w:rFonts w:hint="eastAsia" w:ascii="宋体" w:hAnsi="宋体" w:cs="宋体"/>
                <w:color w:val="auto"/>
                <w:kern w:val="0"/>
                <w:sz w:val="24"/>
                <w:szCs w:val="24"/>
                <w:highlight w:val="none"/>
              </w:rPr>
              <w:t>截止时间起90个日历日。</w:t>
            </w:r>
          </w:p>
        </w:tc>
      </w:tr>
      <w:tr w14:paraId="603E1FE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444" w:hRule="atLeast"/>
          <w:jc w:val="center"/>
        </w:trPr>
        <w:tc>
          <w:tcPr>
            <w:tcW w:w="795" w:type="dxa"/>
            <w:tcMar>
              <w:top w:w="0" w:type="dxa"/>
              <w:left w:w="108" w:type="dxa"/>
              <w:bottom w:w="0" w:type="dxa"/>
              <w:right w:w="108" w:type="dxa"/>
            </w:tcMar>
            <w:vAlign w:val="center"/>
          </w:tcPr>
          <w:p w14:paraId="4B2F04A0">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9</w:t>
            </w:r>
          </w:p>
        </w:tc>
        <w:tc>
          <w:tcPr>
            <w:tcW w:w="1020" w:type="dxa"/>
            <w:tcMar>
              <w:top w:w="0" w:type="dxa"/>
              <w:left w:w="108" w:type="dxa"/>
              <w:bottom w:w="0" w:type="dxa"/>
              <w:right w:w="108" w:type="dxa"/>
            </w:tcMar>
            <w:vAlign w:val="center"/>
          </w:tcPr>
          <w:p w14:paraId="220B519F">
            <w:pPr>
              <w:spacing w:line="440" w:lineRule="exact"/>
              <w:jc w:val="center"/>
              <w:rPr>
                <w:rFonts w:ascii="宋体" w:hAnsi="宋体" w:cs="宋体"/>
                <w:color w:val="auto"/>
                <w:sz w:val="24"/>
                <w:szCs w:val="24"/>
                <w:highlight w:val="none"/>
              </w:rPr>
            </w:pPr>
          </w:p>
        </w:tc>
        <w:tc>
          <w:tcPr>
            <w:tcW w:w="7813" w:type="dxa"/>
            <w:tcMar>
              <w:top w:w="0" w:type="dxa"/>
              <w:left w:w="108" w:type="dxa"/>
              <w:bottom w:w="0" w:type="dxa"/>
              <w:right w:w="108" w:type="dxa"/>
            </w:tcMar>
            <w:vAlign w:val="top"/>
          </w:tcPr>
          <w:p w14:paraId="16850474">
            <w:pPr>
              <w:spacing w:line="440" w:lineRule="exact"/>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eastAsia="zh-CN"/>
              </w:rPr>
              <w:t>询价</w:t>
            </w:r>
            <w:r>
              <w:rPr>
                <w:rFonts w:hint="eastAsia" w:ascii="宋体" w:hAnsi="宋体" w:cs="宋体"/>
                <w:color w:val="auto"/>
                <w:kern w:val="0"/>
                <w:sz w:val="24"/>
                <w:szCs w:val="24"/>
                <w:highlight w:val="none"/>
              </w:rPr>
              <w:t>保证金：</w:t>
            </w:r>
            <w:r>
              <w:rPr>
                <w:rFonts w:hint="eastAsia" w:ascii="宋体" w:hAnsi="宋体" w:cs="宋体"/>
                <w:color w:val="auto"/>
                <w:kern w:val="0"/>
                <w:sz w:val="24"/>
                <w:szCs w:val="24"/>
                <w:highlight w:val="none"/>
                <w:lang w:eastAsia="zh-CN"/>
              </w:rPr>
              <w:t>无需提交</w:t>
            </w:r>
          </w:p>
        </w:tc>
      </w:tr>
      <w:tr w14:paraId="4F6E48D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291" w:hRule="atLeast"/>
          <w:jc w:val="center"/>
        </w:trPr>
        <w:tc>
          <w:tcPr>
            <w:tcW w:w="795" w:type="dxa"/>
            <w:tcMar>
              <w:top w:w="0" w:type="dxa"/>
              <w:left w:w="108" w:type="dxa"/>
              <w:bottom w:w="0" w:type="dxa"/>
              <w:right w:w="108" w:type="dxa"/>
            </w:tcMar>
            <w:vAlign w:val="center"/>
          </w:tcPr>
          <w:p w14:paraId="33567808">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10</w:t>
            </w:r>
          </w:p>
        </w:tc>
        <w:tc>
          <w:tcPr>
            <w:tcW w:w="1020" w:type="dxa"/>
            <w:tcMar>
              <w:top w:w="0" w:type="dxa"/>
              <w:left w:w="108" w:type="dxa"/>
              <w:bottom w:w="0" w:type="dxa"/>
              <w:right w:w="108" w:type="dxa"/>
            </w:tcMar>
            <w:vAlign w:val="center"/>
          </w:tcPr>
          <w:p w14:paraId="30FDADE3">
            <w:pPr>
              <w:spacing w:line="440" w:lineRule="exact"/>
              <w:jc w:val="center"/>
              <w:rPr>
                <w:rFonts w:ascii="宋体" w:hAnsi="宋体" w:cs="宋体"/>
                <w:color w:val="auto"/>
                <w:sz w:val="24"/>
                <w:szCs w:val="24"/>
                <w:highlight w:val="none"/>
              </w:rPr>
            </w:pPr>
          </w:p>
        </w:tc>
        <w:tc>
          <w:tcPr>
            <w:tcW w:w="7813" w:type="dxa"/>
            <w:tcMar>
              <w:top w:w="0" w:type="dxa"/>
              <w:left w:w="108" w:type="dxa"/>
              <w:bottom w:w="0" w:type="dxa"/>
              <w:right w:w="108" w:type="dxa"/>
            </w:tcMar>
            <w:vAlign w:val="center"/>
          </w:tcPr>
          <w:p w14:paraId="2E8E0869">
            <w:pPr>
              <w:spacing w:line="440" w:lineRule="exact"/>
              <w:ind w:firstLine="0" w:firstLineChars="0"/>
              <w:rPr>
                <w:rFonts w:ascii="宋体" w:hAnsi="宋体" w:cs="宋体"/>
                <w:color w:val="auto"/>
                <w:kern w:val="0"/>
                <w:sz w:val="24"/>
                <w:szCs w:val="24"/>
                <w:highlight w:val="none"/>
              </w:rPr>
            </w:pPr>
            <w:r>
              <w:rPr>
                <w:rFonts w:hint="eastAsia" w:ascii="宋体" w:hAnsi="宋体" w:cs="宋体"/>
                <w:color w:val="auto"/>
                <w:sz w:val="24"/>
                <w:szCs w:val="24"/>
                <w:highlight w:val="none"/>
              </w:rPr>
              <w:t>采购代理服务费标准及缴纳方式：</w:t>
            </w:r>
            <w:r>
              <w:rPr>
                <w:rFonts w:hint="eastAsia" w:ascii="宋体" w:hAnsi="宋体" w:cs="宋体"/>
                <w:color w:val="auto"/>
                <w:sz w:val="24"/>
                <w:szCs w:val="24"/>
                <w:highlight w:val="none"/>
                <w:lang w:val="en-US" w:eastAsia="zh-CN"/>
              </w:rPr>
              <w:t>具体费用由采购人支付。</w:t>
            </w:r>
          </w:p>
        </w:tc>
      </w:tr>
      <w:tr w14:paraId="52AC711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291" w:hRule="atLeast"/>
          <w:jc w:val="center"/>
        </w:trPr>
        <w:tc>
          <w:tcPr>
            <w:tcW w:w="795" w:type="dxa"/>
            <w:shd w:val="clear" w:color="auto" w:fill="auto"/>
            <w:tcMar>
              <w:top w:w="0" w:type="dxa"/>
              <w:left w:w="108" w:type="dxa"/>
              <w:bottom w:w="0" w:type="dxa"/>
              <w:right w:w="108" w:type="dxa"/>
            </w:tcMar>
            <w:vAlign w:val="center"/>
          </w:tcPr>
          <w:p w14:paraId="53282A99">
            <w:pPr>
              <w:spacing w:line="440" w:lineRule="exact"/>
              <w:jc w:val="center"/>
              <w:rPr>
                <w:rFonts w:hint="eastAsia" w:ascii="宋体" w:hAnsi="宋体" w:eastAsia="宋体" w:cs="宋体"/>
                <w:color w:val="auto"/>
                <w:kern w:val="2"/>
                <w:sz w:val="24"/>
                <w:szCs w:val="24"/>
                <w:highlight w:val="none"/>
                <w:lang w:val="en-US" w:eastAsia="zh-CN" w:bidi="ar-SA"/>
              </w:rPr>
            </w:pPr>
            <w:bookmarkStart w:id="9" w:name="_Toc398504591"/>
            <w:bookmarkStart w:id="10" w:name="_Toc431190639"/>
            <w:bookmarkStart w:id="11" w:name="_Toc526873902"/>
            <w:bookmarkStart w:id="12" w:name="_Toc398284535"/>
            <w:r>
              <w:rPr>
                <w:rFonts w:hint="eastAsia" w:ascii="宋体" w:hAnsi="宋体" w:cs="宋体"/>
                <w:color w:val="auto"/>
                <w:sz w:val="24"/>
                <w:szCs w:val="24"/>
                <w:highlight w:val="none"/>
              </w:rPr>
              <w:t>11</w:t>
            </w:r>
          </w:p>
        </w:tc>
        <w:tc>
          <w:tcPr>
            <w:tcW w:w="1020" w:type="dxa"/>
            <w:shd w:val="clear" w:color="auto" w:fill="auto"/>
            <w:tcMar>
              <w:top w:w="0" w:type="dxa"/>
              <w:left w:w="108" w:type="dxa"/>
              <w:bottom w:w="0" w:type="dxa"/>
              <w:right w:w="108" w:type="dxa"/>
            </w:tcMar>
            <w:vAlign w:val="center"/>
          </w:tcPr>
          <w:p w14:paraId="26A29D79">
            <w:pPr>
              <w:spacing w:line="440" w:lineRule="exact"/>
              <w:jc w:val="center"/>
              <w:rPr>
                <w:rFonts w:ascii="宋体" w:hAnsi="宋体" w:eastAsia="宋体" w:cs="宋体"/>
                <w:color w:val="auto"/>
                <w:kern w:val="2"/>
                <w:sz w:val="24"/>
                <w:szCs w:val="24"/>
                <w:highlight w:val="none"/>
                <w:lang w:val="en-US" w:eastAsia="zh-CN" w:bidi="ar-SA"/>
              </w:rPr>
            </w:pPr>
          </w:p>
        </w:tc>
        <w:tc>
          <w:tcPr>
            <w:tcW w:w="7813" w:type="dxa"/>
            <w:shd w:val="clear" w:color="auto" w:fill="auto"/>
            <w:tcMar>
              <w:top w:w="0" w:type="dxa"/>
              <w:left w:w="108" w:type="dxa"/>
              <w:bottom w:w="0" w:type="dxa"/>
              <w:right w:w="108" w:type="dxa"/>
            </w:tcMar>
            <w:vAlign w:val="center"/>
          </w:tcPr>
          <w:p w14:paraId="77F748F8">
            <w:pPr>
              <w:pStyle w:val="23"/>
              <w:adjustRightInd w:val="0"/>
              <w:snapToGrid w:val="0"/>
              <w:spacing w:line="360" w:lineRule="auto"/>
              <w:ind w:right="-42" w:firstLine="480"/>
              <w:rPr>
                <w:rFonts w:ascii="宋体" w:hAnsi="宋体" w:cs="宋体"/>
                <w:color w:val="auto"/>
                <w:kern w:val="0"/>
                <w:sz w:val="24"/>
                <w:highlight w:val="none"/>
              </w:rPr>
            </w:pPr>
            <w:r>
              <w:rPr>
                <w:rFonts w:hint="eastAsia" w:ascii="宋体" w:hAnsi="宋体" w:cs="宋体"/>
                <w:color w:val="auto"/>
                <w:kern w:val="0"/>
                <w:sz w:val="24"/>
                <w:highlight w:val="none"/>
              </w:rPr>
              <w:t>询价文件的质疑</w:t>
            </w:r>
          </w:p>
          <w:p w14:paraId="7BFCFC54">
            <w:pPr>
              <w:pStyle w:val="23"/>
              <w:adjustRightInd w:val="0"/>
              <w:snapToGrid w:val="0"/>
              <w:spacing w:line="360" w:lineRule="auto"/>
              <w:ind w:right="-42" w:firstLine="480"/>
              <w:rPr>
                <w:rFonts w:ascii="宋体" w:hAnsi="宋体" w:cs="宋体"/>
                <w:color w:val="auto"/>
                <w:kern w:val="0"/>
                <w:sz w:val="24"/>
                <w:highlight w:val="none"/>
              </w:rPr>
            </w:pPr>
            <w:r>
              <w:rPr>
                <w:rFonts w:hint="eastAsia" w:ascii="宋体" w:hAnsi="宋体" w:cs="宋体"/>
                <w:color w:val="auto"/>
                <w:kern w:val="0"/>
                <w:sz w:val="24"/>
                <w:highlight w:val="none"/>
              </w:rPr>
              <w:t>1.潜在供应商可在质疑时效期间内对询价文件以书面形式提出质疑。</w:t>
            </w:r>
          </w:p>
          <w:p w14:paraId="60229E35">
            <w:pPr>
              <w:pStyle w:val="23"/>
              <w:adjustRightInd w:val="0"/>
              <w:snapToGrid w:val="0"/>
              <w:spacing w:line="360" w:lineRule="auto"/>
              <w:ind w:right="-42" w:firstLine="480"/>
              <w:rPr>
                <w:rFonts w:ascii="宋体" w:hAnsi="宋体" w:cs="宋体"/>
                <w:color w:val="auto"/>
                <w:kern w:val="0"/>
                <w:sz w:val="24"/>
                <w:highlight w:val="none"/>
              </w:rPr>
            </w:pPr>
            <w:r>
              <w:rPr>
                <w:rFonts w:hint="eastAsia" w:ascii="宋体" w:hAnsi="宋体" w:cs="宋体"/>
                <w:color w:val="auto"/>
                <w:kern w:val="0"/>
                <w:sz w:val="24"/>
                <w:highlight w:val="none"/>
              </w:rPr>
              <w:t>2.质疑时效期间：自</w:t>
            </w:r>
            <w:r>
              <w:rPr>
                <w:rFonts w:hint="eastAsia" w:ascii="宋体" w:hAnsi="宋体" w:cs="宋体"/>
                <w:color w:val="auto"/>
                <w:kern w:val="0"/>
                <w:sz w:val="24"/>
                <w:highlight w:val="none"/>
                <w:lang w:eastAsia="zh-CN"/>
              </w:rPr>
              <w:t>询价邀请发出</w:t>
            </w:r>
            <w:r>
              <w:rPr>
                <w:rFonts w:hint="eastAsia" w:ascii="宋体" w:hAnsi="宋体" w:cs="宋体"/>
                <w:color w:val="auto"/>
                <w:kern w:val="0"/>
                <w:sz w:val="24"/>
                <w:highlight w:val="none"/>
              </w:rPr>
              <w:t>之日起3个工作日内向采购代理机构提出。</w:t>
            </w:r>
          </w:p>
          <w:p w14:paraId="7D4E9B94">
            <w:pPr>
              <w:pStyle w:val="23"/>
              <w:adjustRightInd w:val="0"/>
              <w:snapToGrid w:val="0"/>
              <w:spacing w:line="360" w:lineRule="auto"/>
              <w:ind w:right="-42" w:firstLine="480"/>
              <w:rPr>
                <w:rFonts w:ascii="宋体" w:hAnsi="宋体" w:cs="宋体"/>
                <w:color w:val="auto"/>
                <w:kern w:val="0"/>
                <w:sz w:val="24"/>
                <w:highlight w:val="none"/>
              </w:rPr>
            </w:pPr>
            <w:r>
              <w:rPr>
                <w:rFonts w:hint="eastAsia" w:ascii="宋体" w:hAnsi="宋体" w:cs="宋体"/>
                <w:color w:val="auto"/>
                <w:kern w:val="0"/>
                <w:sz w:val="24"/>
                <w:highlight w:val="none"/>
              </w:rPr>
              <w:t>3.质疑函应采用下列方式之一提交：</w:t>
            </w:r>
          </w:p>
          <w:p w14:paraId="5E403404">
            <w:pPr>
              <w:pStyle w:val="23"/>
              <w:adjustRightInd w:val="0"/>
              <w:snapToGrid w:val="0"/>
              <w:spacing w:line="360" w:lineRule="auto"/>
              <w:ind w:right="-42" w:firstLine="480"/>
              <w:rPr>
                <w:rFonts w:ascii="宋体" w:hAnsi="宋体" w:cs="宋体"/>
                <w:color w:val="auto"/>
                <w:kern w:val="0"/>
                <w:sz w:val="24"/>
                <w:highlight w:val="none"/>
              </w:rPr>
            </w:pPr>
            <w:r>
              <w:rPr>
                <w:rFonts w:hint="eastAsia" w:ascii="宋体" w:hAnsi="宋体" w:cs="宋体"/>
                <w:color w:val="auto"/>
                <w:kern w:val="0"/>
                <w:sz w:val="24"/>
                <w:highlight w:val="none"/>
              </w:rPr>
              <w:t>（1）邮件形式：将异议函原件扫描发送至邮箱：</w:t>
            </w:r>
            <w:r>
              <w:rPr>
                <w:rFonts w:hint="eastAsia" w:ascii="宋体" w:hAnsi="宋体" w:cs="宋体"/>
                <w:color w:val="auto"/>
                <w:kern w:val="0"/>
                <w:sz w:val="24"/>
                <w:highlight w:val="none"/>
                <w:lang w:val="en-US" w:eastAsia="zh-CN"/>
              </w:rPr>
              <w:t>2722054837@qq.com</w:t>
            </w:r>
            <w:r>
              <w:rPr>
                <w:rFonts w:hint="eastAsia" w:ascii="宋体" w:hAnsi="宋体" w:cs="宋体"/>
                <w:color w:val="auto"/>
                <w:kern w:val="0"/>
                <w:sz w:val="24"/>
                <w:highlight w:val="none"/>
              </w:rPr>
              <w:t>。收到异议函的时间以邮箱显示的收到时间为准。异议答复过程中需要核对原件的，异议人应提供原件核查，否则相关资料可能不被认可。</w:t>
            </w:r>
          </w:p>
          <w:p w14:paraId="40E41765">
            <w:pPr>
              <w:pStyle w:val="23"/>
              <w:adjustRightInd w:val="0"/>
              <w:snapToGrid w:val="0"/>
              <w:spacing w:line="360" w:lineRule="auto"/>
              <w:ind w:right="-42" w:firstLine="480"/>
              <w:rPr>
                <w:rFonts w:ascii="宋体" w:hAnsi="宋体" w:cs="宋体"/>
                <w:color w:val="auto"/>
                <w:kern w:val="0"/>
                <w:sz w:val="24"/>
                <w:highlight w:val="none"/>
              </w:rPr>
            </w:pPr>
            <w:r>
              <w:rPr>
                <w:rFonts w:hint="eastAsia" w:ascii="宋体" w:hAnsi="宋体" w:cs="宋体"/>
                <w:color w:val="auto"/>
                <w:kern w:val="0"/>
                <w:sz w:val="24"/>
                <w:highlight w:val="none"/>
              </w:rPr>
              <w:t>（2）快递形式：将质疑函原件快递至</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厦门市</w:t>
            </w:r>
            <w:r>
              <w:rPr>
                <w:rFonts w:hint="eastAsia" w:ascii="宋体" w:hAnsi="宋体" w:cs="宋体"/>
                <w:color w:val="auto"/>
                <w:sz w:val="24"/>
                <w:highlight w:val="none"/>
                <w:u w:val="single"/>
                <w:lang w:val="en-US" w:eastAsia="zh-CN"/>
              </w:rPr>
              <w:t>园山南路798号湖里国投商务中心A座8楼</w:t>
            </w:r>
            <w:r>
              <w:rPr>
                <w:rFonts w:hint="eastAsia" w:ascii="宋体" w:hAnsi="宋体" w:cs="宋体"/>
                <w:color w:val="auto"/>
                <w:kern w:val="0"/>
                <w:sz w:val="24"/>
                <w:highlight w:val="none"/>
              </w:rPr>
              <w:t>，收件人：</w:t>
            </w:r>
            <w:r>
              <w:rPr>
                <w:rFonts w:hint="eastAsia" w:ascii="宋体" w:hAnsi="宋体" w:cs="宋体"/>
                <w:color w:val="auto"/>
                <w:kern w:val="0"/>
                <w:sz w:val="24"/>
                <w:highlight w:val="none"/>
                <w:lang w:val="en-US" w:eastAsia="zh-CN"/>
              </w:rPr>
              <w:t>林</w:t>
            </w:r>
            <w:r>
              <w:rPr>
                <w:rFonts w:hint="eastAsia" w:ascii="宋体" w:hAnsi="宋体" w:cs="宋体"/>
                <w:color w:val="auto"/>
                <w:kern w:val="0"/>
                <w:sz w:val="24"/>
                <w:highlight w:val="none"/>
                <w:lang w:eastAsia="zh-CN"/>
              </w:rPr>
              <w:t>工</w:t>
            </w:r>
            <w:r>
              <w:rPr>
                <w:rFonts w:hint="eastAsia" w:ascii="宋体" w:hAnsi="宋体" w:cs="宋体"/>
                <w:color w:val="auto"/>
                <w:kern w:val="0"/>
                <w:sz w:val="24"/>
                <w:highlight w:val="none"/>
              </w:rPr>
              <w:t>，电话：</w:t>
            </w:r>
            <w:r>
              <w:rPr>
                <w:rFonts w:hint="eastAsia" w:ascii="宋体" w:hAnsi="宋体" w:cs="宋体"/>
                <w:color w:val="auto"/>
                <w:kern w:val="0"/>
                <w:sz w:val="24"/>
                <w:highlight w:val="none"/>
                <w:lang w:eastAsia="zh-CN"/>
              </w:rPr>
              <w:t>0592-</w:t>
            </w:r>
            <w:r>
              <w:rPr>
                <w:rFonts w:hint="eastAsia" w:ascii="宋体" w:hAnsi="宋体" w:cs="宋体"/>
                <w:color w:val="auto"/>
                <w:kern w:val="0"/>
                <w:sz w:val="24"/>
                <w:highlight w:val="none"/>
                <w:lang w:val="en-US" w:eastAsia="zh-CN"/>
              </w:rPr>
              <w:t>5736955</w:t>
            </w:r>
            <w:r>
              <w:rPr>
                <w:rFonts w:hint="eastAsia" w:ascii="宋体" w:hAnsi="宋体" w:cs="宋体"/>
                <w:color w:val="auto"/>
                <w:kern w:val="0"/>
                <w:sz w:val="24"/>
                <w:highlight w:val="none"/>
              </w:rPr>
              <w:t>。收到质疑函的时间以快递签收时间为准。</w:t>
            </w:r>
          </w:p>
          <w:p w14:paraId="4A009C0F">
            <w:pPr>
              <w:pStyle w:val="23"/>
              <w:adjustRightInd w:val="0"/>
              <w:snapToGrid w:val="0"/>
              <w:spacing w:line="360" w:lineRule="auto"/>
              <w:ind w:right="-42" w:firstLine="480"/>
              <w:rPr>
                <w:rFonts w:ascii="宋体" w:hAnsi="宋体" w:cs="宋体"/>
                <w:color w:val="auto"/>
                <w:kern w:val="0"/>
                <w:sz w:val="24"/>
                <w:highlight w:val="none"/>
              </w:rPr>
            </w:pPr>
            <w:r>
              <w:rPr>
                <w:rFonts w:hint="eastAsia" w:ascii="宋体" w:hAnsi="宋体" w:cs="宋体"/>
                <w:color w:val="auto"/>
                <w:kern w:val="0"/>
                <w:sz w:val="24"/>
                <w:highlight w:val="none"/>
              </w:rPr>
              <w:t>（3）现场送达：将质疑函原件现场送至</w:t>
            </w:r>
            <w:r>
              <w:rPr>
                <w:rFonts w:hint="eastAsia" w:ascii="宋体" w:hAnsi="宋体" w:cs="宋体"/>
                <w:color w:val="auto"/>
                <w:sz w:val="24"/>
                <w:highlight w:val="none"/>
                <w:u w:val="single"/>
                <w:lang w:eastAsia="zh-CN"/>
              </w:rPr>
              <w:t>厦门市</w:t>
            </w:r>
            <w:r>
              <w:rPr>
                <w:rFonts w:hint="eastAsia" w:ascii="宋体" w:hAnsi="宋体" w:cs="宋体"/>
                <w:color w:val="auto"/>
                <w:sz w:val="24"/>
                <w:highlight w:val="none"/>
                <w:u w:val="single"/>
                <w:lang w:val="en-US" w:eastAsia="zh-CN"/>
              </w:rPr>
              <w:t>园山南路798号湖里国投商务中心A座8楼</w:t>
            </w:r>
            <w:r>
              <w:rPr>
                <w:rFonts w:hint="eastAsia" w:ascii="宋体" w:hAnsi="宋体" w:cs="宋体"/>
                <w:color w:val="auto"/>
                <w:kern w:val="0"/>
                <w:sz w:val="24"/>
                <w:highlight w:val="none"/>
              </w:rPr>
              <w:t>。收到质疑函的时间以前台签收时间为准。</w:t>
            </w:r>
          </w:p>
          <w:p w14:paraId="5570EDAB">
            <w:pPr>
              <w:pStyle w:val="23"/>
              <w:adjustRightInd w:val="0"/>
              <w:snapToGrid w:val="0"/>
              <w:spacing w:line="360" w:lineRule="auto"/>
              <w:ind w:right="-42" w:firstLine="480" w:firstLineChars="0"/>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注：不管何种方式提交，均需与代理电话联系，以便及时确认避免错漏。</w:t>
            </w:r>
          </w:p>
          <w:p w14:paraId="13AB5164">
            <w:pPr>
              <w:pStyle w:val="23"/>
              <w:adjustRightInd w:val="0"/>
              <w:snapToGrid w:val="0"/>
              <w:spacing w:line="360" w:lineRule="auto"/>
              <w:ind w:right="-42" w:rightChars="0" w:firstLine="480" w:firstLineChars="0"/>
              <w:rPr>
                <w:rFonts w:hint="eastAsia" w:ascii="宋体" w:hAnsi="宋体" w:eastAsia="宋体" w:cs="宋体"/>
                <w:b/>
                <w:bCs/>
                <w:color w:val="auto"/>
                <w:kern w:val="0"/>
                <w:sz w:val="24"/>
                <w:szCs w:val="24"/>
                <w:highlight w:val="none"/>
                <w:lang w:val="en-US" w:eastAsia="zh-CN" w:bidi="ar-SA"/>
              </w:rPr>
            </w:pPr>
          </w:p>
        </w:tc>
      </w:tr>
      <w:tr w14:paraId="7AAA50F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291" w:hRule="atLeast"/>
          <w:jc w:val="center"/>
        </w:trPr>
        <w:tc>
          <w:tcPr>
            <w:tcW w:w="795" w:type="dxa"/>
            <w:tcMar>
              <w:top w:w="0" w:type="dxa"/>
              <w:left w:w="108" w:type="dxa"/>
              <w:bottom w:w="0" w:type="dxa"/>
              <w:right w:w="108" w:type="dxa"/>
            </w:tcMar>
            <w:vAlign w:val="center"/>
          </w:tcPr>
          <w:p w14:paraId="1F81CAF4">
            <w:pPr>
              <w:spacing w:line="440" w:lineRule="exact"/>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12</w:t>
            </w:r>
          </w:p>
        </w:tc>
        <w:tc>
          <w:tcPr>
            <w:tcW w:w="1020" w:type="dxa"/>
            <w:tcMar>
              <w:top w:w="0" w:type="dxa"/>
              <w:left w:w="108" w:type="dxa"/>
              <w:bottom w:w="0" w:type="dxa"/>
              <w:right w:w="108" w:type="dxa"/>
            </w:tcMar>
            <w:vAlign w:val="center"/>
          </w:tcPr>
          <w:p w14:paraId="240E88E9">
            <w:pPr>
              <w:spacing w:line="440" w:lineRule="exact"/>
              <w:jc w:val="center"/>
              <w:rPr>
                <w:rFonts w:ascii="宋体" w:hAnsi="宋体" w:cs="宋体"/>
                <w:color w:val="auto"/>
                <w:sz w:val="24"/>
                <w:szCs w:val="24"/>
                <w:highlight w:val="none"/>
              </w:rPr>
            </w:pPr>
          </w:p>
        </w:tc>
        <w:tc>
          <w:tcPr>
            <w:tcW w:w="7813" w:type="dxa"/>
            <w:tcMar>
              <w:top w:w="0" w:type="dxa"/>
              <w:left w:w="108" w:type="dxa"/>
              <w:bottom w:w="0" w:type="dxa"/>
              <w:right w:w="108" w:type="dxa"/>
            </w:tcMar>
            <w:vAlign w:val="center"/>
          </w:tcPr>
          <w:p w14:paraId="1B84CDEB">
            <w:pPr>
              <w:pStyle w:val="23"/>
              <w:adjustRightInd w:val="0"/>
              <w:snapToGrid w:val="0"/>
              <w:spacing w:line="360" w:lineRule="auto"/>
              <w:ind w:right="-42" w:firstLine="0" w:firstLineChars="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本</w:t>
            </w:r>
            <w:r>
              <w:rPr>
                <w:rFonts w:hint="eastAsia" w:ascii="宋体" w:hAnsi="宋体" w:cs="宋体"/>
                <w:color w:val="auto"/>
                <w:kern w:val="0"/>
                <w:sz w:val="24"/>
                <w:highlight w:val="none"/>
                <w:lang w:val="en-US" w:eastAsia="zh-CN"/>
              </w:rPr>
              <w:t>项目</w:t>
            </w:r>
            <w:r>
              <w:rPr>
                <w:rFonts w:hint="eastAsia" w:ascii="宋体" w:hAnsi="宋体" w:cs="宋体"/>
                <w:color w:val="auto"/>
                <w:kern w:val="0"/>
                <w:sz w:val="24"/>
                <w:highlight w:val="none"/>
              </w:rPr>
              <w:t>履约保证金为合同金额的5%</w:t>
            </w:r>
          </w:p>
          <w:p w14:paraId="6F6A61B4">
            <w:pPr>
              <w:pStyle w:val="23"/>
              <w:adjustRightInd w:val="0"/>
              <w:snapToGrid w:val="0"/>
              <w:spacing w:line="360" w:lineRule="auto"/>
              <w:ind w:right="-42" w:firstLine="0" w:firstLineChars="0"/>
              <w:jc w:val="left"/>
              <w:rPr>
                <w:rFonts w:hint="eastAsia" w:ascii="宋体" w:hAnsi="宋体" w:cs="宋体"/>
                <w:color w:val="auto"/>
                <w:kern w:val="0"/>
                <w:sz w:val="24"/>
                <w:highlight w:val="none"/>
              </w:rPr>
            </w:pPr>
            <w:r>
              <w:rPr>
                <w:rFonts w:hint="eastAsia" w:ascii="宋体" w:hAnsi="宋体" w:cs="宋体"/>
                <w:color w:val="auto"/>
                <w:kern w:val="0"/>
                <w:sz w:val="24"/>
                <w:highlight w:val="none"/>
              </w:rPr>
              <w:t>缴纳方式：银行转账，支票/汇票/本票，保函/保险</w:t>
            </w:r>
          </w:p>
          <w:p w14:paraId="64ADF0C0">
            <w:pPr>
              <w:pStyle w:val="23"/>
              <w:adjustRightInd w:val="0"/>
              <w:snapToGrid w:val="0"/>
              <w:spacing w:line="360" w:lineRule="auto"/>
              <w:ind w:right="-42" w:firstLineChars="0"/>
              <w:jc w:val="left"/>
              <w:rPr>
                <w:rFonts w:hint="eastAsia" w:ascii="宋体" w:hAnsi="宋体" w:cs="宋体"/>
                <w:color w:val="auto"/>
                <w:sz w:val="24"/>
                <w:szCs w:val="24"/>
                <w:highlight w:val="none"/>
              </w:rPr>
            </w:pPr>
            <w:r>
              <w:rPr>
                <w:rFonts w:hint="eastAsia" w:ascii="宋体" w:hAnsi="宋体" w:cs="宋体"/>
                <w:b/>
                <w:bCs/>
                <w:color w:val="auto"/>
                <w:kern w:val="0"/>
                <w:sz w:val="24"/>
                <w:highlight w:val="none"/>
              </w:rPr>
              <w:t>说明：</w:t>
            </w:r>
            <w:r>
              <w:rPr>
                <w:rFonts w:hint="eastAsia" w:ascii="宋体" w:hAnsi="宋体" w:cs="宋体"/>
                <w:color w:val="auto"/>
                <w:kern w:val="0"/>
                <w:sz w:val="24"/>
                <w:highlight w:val="none"/>
              </w:rPr>
              <w:t>履约保证金在合同签订后5个工作日之内，以银行保函等形式提交给采购人（缴交方式不限，具体按双方合同约定），服务期满无合同履约相关问题后</w:t>
            </w:r>
            <w:r>
              <w:rPr>
                <w:rFonts w:hint="eastAsia" w:ascii="宋体" w:hAnsi="宋体" w:cs="宋体"/>
                <w:color w:val="auto"/>
                <w:kern w:val="0"/>
                <w:sz w:val="24"/>
                <w:highlight w:val="none"/>
                <w:lang w:val="en-US" w:eastAsia="zh-CN"/>
              </w:rPr>
              <w:t>15</w:t>
            </w:r>
            <w:r>
              <w:rPr>
                <w:rFonts w:hint="eastAsia" w:ascii="宋体" w:hAnsi="宋体" w:cs="宋体"/>
                <w:color w:val="auto"/>
                <w:kern w:val="0"/>
                <w:sz w:val="24"/>
                <w:highlight w:val="none"/>
              </w:rPr>
              <w:t>个工作日内无息退还。</w:t>
            </w:r>
          </w:p>
        </w:tc>
      </w:tr>
      <w:tr w14:paraId="1DA3CD8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291" w:hRule="atLeast"/>
          <w:jc w:val="center"/>
        </w:trPr>
        <w:tc>
          <w:tcPr>
            <w:tcW w:w="795" w:type="dxa"/>
            <w:tcMar>
              <w:top w:w="0" w:type="dxa"/>
              <w:left w:w="108" w:type="dxa"/>
              <w:bottom w:w="0" w:type="dxa"/>
              <w:right w:w="108" w:type="dxa"/>
            </w:tcMar>
            <w:vAlign w:val="center"/>
          </w:tcPr>
          <w:p w14:paraId="4C067048">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3</w:t>
            </w:r>
          </w:p>
        </w:tc>
        <w:tc>
          <w:tcPr>
            <w:tcW w:w="1020" w:type="dxa"/>
            <w:tcMar>
              <w:top w:w="0" w:type="dxa"/>
              <w:left w:w="108" w:type="dxa"/>
              <w:bottom w:w="0" w:type="dxa"/>
              <w:right w:w="108" w:type="dxa"/>
            </w:tcMar>
            <w:vAlign w:val="center"/>
          </w:tcPr>
          <w:p w14:paraId="62E13E96">
            <w:pPr>
              <w:spacing w:line="440" w:lineRule="exact"/>
              <w:jc w:val="center"/>
              <w:rPr>
                <w:rFonts w:ascii="宋体" w:hAnsi="宋体" w:cs="宋体"/>
                <w:color w:val="auto"/>
                <w:sz w:val="24"/>
                <w:szCs w:val="24"/>
                <w:highlight w:val="none"/>
              </w:rPr>
            </w:pPr>
          </w:p>
        </w:tc>
        <w:tc>
          <w:tcPr>
            <w:tcW w:w="7813" w:type="dxa"/>
            <w:tcMar>
              <w:top w:w="0" w:type="dxa"/>
              <w:left w:w="108" w:type="dxa"/>
              <w:bottom w:w="0" w:type="dxa"/>
              <w:right w:w="108" w:type="dxa"/>
            </w:tcMar>
            <w:vAlign w:val="center"/>
          </w:tcPr>
          <w:p w14:paraId="70658EFF">
            <w:pPr>
              <w:pStyle w:val="23"/>
              <w:adjustRightInd w:val="0"/>
              <w:snapToGrid w:val="0"/>
              <w:spacing w:line="360" w:lineRule="auto"/>
              <w:ind w:right="-42" w:firstLine="0" w:firstLineChars="0"/>
              <w:jc w:val="left"/>
              <w:rPr>
                <w:rFonts w:hint="eastAsia" w:ascii="宋体" w:hAnsi="宋体" w:cs="宋体"/>
                <w:b/>
                <w:bCs/>
                <w:color w:val="auto"/>
                <w:kern w:val="0"/>
                <w:sz w:val="24"/>
                <w:highlight w:val="none"/>
              </w:rPr>
            </w:pPr>
            <w:r>
              <w:rPr>
                <w:rFonts w:hint="eastAsia" w:ascii="宋体" w:hAnsi="宋体" w:cs="宋体"/>
                <w:b w:val="0"/>
                <w:bCs w:val="0"/>
                <w:color w:val="auto"/>
                <w:kern w:val="0"/>
                <w:sz w:val="24"/>
                <w:highlight w:val="none"/>
                <w:lang w:val="en-US" w:eastAsia="zh-CN"/>
              </w:rPr>
              <w:t>其他：</w:t>
            </w:r>
            <w:r>
              <w:rPr>
                <w:rFonts w:hint="eastAsia" w:ascii="宋体" w:hAnsi="宋体" w:cs="宋体"/>
                <w:b w:val="0"/>
                <w:bCs w:val="0"/>
                <w:color w:val="auto"/>
                <w:kern w:val="0"/>
                <w:sz w:val="24"/>
                <w:highlight w:val="none"/>
              </w:rPr>
              <w:t>对于出现中标后无故放弃、提供虚假材料谋取成交、严重偏离合同约定影响项目目标、或因供应商责任导致重大安全事故等严重违约行为的供应商，自违约行为发生之日起两年内</w:t>
            </w:r>
            <w:r>
              <w:rPr>
                <w:rFonts w:hint="eastAsia" w:ascii="宋体" w:hAnsi="宋体" w:cs="宋体"/>
                <w:b w:val="0"/>
                <w:bCs w:val="0"/>
                <w:color w:val="auto"/>
                <w:kern w:val="0"/>
                <w:sz w:val="24"/>
                <w:highlight w:val="none"/>
                <w:lang w:eastAsia="zh-CN"/>
              </w:rPr>
              <w:t>，</w:t>
            </w:r>
            <w:r>
              <w:rPr>
                <w:rFonts w:hint="eastAsia" w:ascii="宋体" w:hAnsi="宋体" w:cs="宋体"/>
                <w:b w:val="0"/>
                <w:bCs w:val="0"/>
                <w:color w:val="auto"/>
                <w:kern w:val="0"/>
                <w:sz w:val="24"/>
                <w:highlight w:val="none"/>
              </w:rPr>
              <w:t>我司及下属子公司所有采购活动</w:t>
            </w:r>
            <w:r>
              <w:rPr>
                <w:rFonts w:hint="eastAsia" w:ascii="宋体" w:hAnsi="宋体" w:cs="宋体"/>
                <w:b w:val="0"/>
                <w:bCs w:val="0"/>
                <w:color w:val="auto"/>
                <w:kern w:val="0"/>
                <w:sz w:val="24"/>
                <w:highlight w:val="none"/>
                <w:lang w:val="en-US" w:eastAsia="zh-CN"/>
              </w:rPr>
              <w:t>时将重点评估上述问题造成的不良影响，并在招标时予以运用。</w:t>
            </w:r>
          </w:p>
        </w:tc>
      </w:tr>
    </w:tbl>
    <w:p w14:paraId="2E5448F2">
      <w:pPr>
        <w:keepNext/>
        <w:keepLines/>
        <w:pageBreakBefore/>
        <w:spacing w:before="260" w:after="260" w:line="400" w:lineRule="exact"/>
        <w:jc w:val="center"/>
        <w:outlineLvl w:val="1"/>
        <w:rPr>
          <w:rFonts w:ascii="宋体" w:hAnsi="宋体" w:cs="宋体"/>
          <w:b/>
          <w:bCs/>
          <w:color w:val="auto"/>
          <w:sz w:val="30"/>
          <w:szCs w:val="32"/>
          <w:highlight w:val="none"/>
        </w:rPr>
      </w:pPr>
      <w:r>
        <w:rPr>
          <w:rFonts w:hint="eastAsia" w:ascii="宋体" w:hAnsi="宋体" w:cs="宋体"/>
          <w:b/>
          <w:bCs/>
          <w:color w:val="auto"/>
          <w:sz w:val="30"/>
          <w:szCs w:val="32"/>
          <w:highlight w:val="none"/>
        </w:rPr>
        <w:t>供应商须知前附表2：资格性、符合性检查表</w:t>
      </w:r>
      <w:bookmarkEnd w:id="9"/>
      <w:bookmarkEnd w:id="10"/>
      <w:bookmarkEnd w:id="11"/>
      <w:bookmarkEnd w:id="12"/>
    </w:p>
    <w:p w14:paraId="531CA90E">
      <w:pPr>
        <w:tabs>
          <w:tab w:val="left" w:pos="1080"/>
        </w:tabs>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本须知前附表2集中列示了资格性、符合性检查的所有条款，其内容是</w:t>
      </w:r>
      <w:r>
        <w:rPr>
          <w:rFonts w:hint="eastAsia" w:ascii="宋体" w:hAnsi="宋体" w:cs="宋体"/>
          <w:color w:val="auto"/>
          <w:sz w:val="24"/>
          <w:highlight w:val="none"/>
          <w:lang w:eastAsia="zh-CN"/>
        </w:rPr>
        <w:t>询价小组</w:t>
      </w:r>
      <w:r>
        <w:rPr>
          <w:rFonts w:hint="eastAsia" w:ascii="宋体" w:hAnsi="宋体" w:cs="宋体"/>
          <w:color w:val="auto"/>
          <w:sz w:val="24"/>
          <w:highlight w:val="none"/>
        </w:rPr>
        <w:t>判断供应商的报价是否有效的重要依据。 </w:t>
      </w:r>
    </w:p>
    <w:tbl>
      <w:tblPr>
        <w:tblStyle w:val="42"/>
        <w:tblW w:w="9957" w:type="dxa"/>
        <w:tblInd w:w="-33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0" w:type="dxa"/>
          <w:bottom w:w="0" w:type="dxa"/>
          <w:right w:w="0" w:type="dxa"/>
        </w:tblCellMar>
      </w:tblPr>
      <w:tblGrid>
        <w:gridCol w:w="704"/>
        <w:gridCol w:w="415"/>
        <w:gridCol w:w="1027"/>
        <w:gridCol w:w="7811"/>
      </w:tblGrid>
      <w:tr w14:paraId="01DE6B6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319" w:hRule="atLeast"/>
        </w:trPr>
        <w:tc>
          <w:tcPr>
            <w:tcW w:w="9957" w:type="dxa"/>
            <w:gridSpan w:val="4"/>
            <w:tcMar>
              <w:top w:w="0" w:type="dxa"/>
              <w:left w:w="108" w:type="dxa"/>
              <w:bottom w:w="0" w:type="dxa"/>
              <w:right w:w="108" w:type="dxa"/>
            </w:tcMar>
            <w:vAlign w:val="center"/>
          </w:tcPr>
          <w:p w14:paraId="215F167D">
            <w:pPr>
              <w:widowControl/>
              <w:spacing w:line="440" w:lineRule="exact"/>
              <w:jc w:val="center"/>
              <w:rPr>
                <w:rFonts w:ascii="宋体" w:hAnsi="宋体" w:cs="宋体"/>
                <w:color w:val="auto"/>
                <w:kern w:val="0"/>
                <w:sz w:val="24"/>
                <w:szCs w:val="24"/>
                <w:highlight w:val="none"/>
              </w:rPr>
            </w:pPr>
            <w:bookmarkStart w:id="13" w:name="_Toc398284536"/>
            <w:bookmarkStart w:id="14" w:name="_Toc431190640"/>
            <w:bookmarkStart w:id="15" w:name="_Toc398504592"/>
            <w:bookmarkStart w:id="16" w:name="_Toc526873903"/>
            <w:r>
              <w:rPr>
                <w:rFonts w:hint="eastAsia" w:ascii="宋体" w:hAnsi="宋体" w:cs="宋体"/>
                <w:b/>
                <w:bCs/>
                <w:color w:val="auto"/>
                <w:kern w:val="0"/>
                <w:sz w:val="24"/>
                <w:szCs w:val="24"/>
                <w:highlight w:val="none"/>
              </w:rPr>
              <w:t>资格性要求</w:t>
            </w:r>
          </w:p>
        </w:tc>
      </w:tr>
      <w:tr w14:paraId="578B0B1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90" w:hRule="atLeast"/>
        </w:trPr>
        <w:tc>
          <w:tcPr>
            <w:tcW w:w="704" w:type="dxa"/>
            <w:tcMar>
              <w:top w:w="0" w:type="dxa"/>
              <w:left w:w="108" w:type="dxa"/>
              <w:bottom w:w="0" w:type="dxa"/>
              <w:right w:w="108" w:type="dxa"/>
            </w:tcMar>
            <w:vAlign w:val="center"/>
          </w:tcPr>
          <w:p w14:paraId="0F7C2518">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项号</w:t>
            </w:r>
          </w:p>
        </w:tc>
        <w:tc>
          <w:tcPr>
            <w:tcW w:w="415" w:type="dxa"/>
            <w:tcMar>
              <w:top w:w="0" w:type="dxa"/>
              <w:left w:w="108" w:type="dxa"/>
              <w:bottom w:w="0" w:type="dxa"/>
              <w:right w:w="108" w:type="dxa"/>
            </w:tcMar>
            <w:vAlign w:val="center"/>
          </w:tcPr>
          <w:p w14:paraId="2A405E54">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章</w:t>
            </w:r>
          </w:p>
        </w:tc>
        <w:tc>
          <w:tcPr>
            <w:tcW w:w="1027" w:type="dxa"/>
            <w:tcMar>
              <w:top w:w="0" w:type="dxa"/>
              <w:left w:w="108" w:type="dxa"/>
              <w:bottom w:w="0" w:type="dxa"/>
              <w:right w:w="108" w:type="dxa"/>
            </w:tcMar>
            <w:vAlign w:val="center"/>
          </w:tcPr>
          <w:p w14:paraId="5BC29C3B">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条款号</w:t>
            </w:r>
          </w:p>
        </w:tc>
        <w:tc>
          <w:tcPr>
            <w:tcW w:w="7811" w:type="dxa"/>
            <w:tcMar>
              <w:top w:w="0" w:type="dxa"/>
              <w:left w:w="108" w:type="dxa"/>
              <w:bottom w:w="0" w:type="dxa"/>
              <w:right w:w="108" w:type="dxa"/>
            </w:tcMar>
            <w:vAlign w:val="center"/>
          </w:tcPr>
          <w:p w14:paraId="3DB71E15">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具体内容</w:t>
            </w:r>
          </w:p>
        </w:tc>
      </w:tr>
      <w:tr w14:paraId="69D7006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321" w:hRule="atLeast"/>
        </w:trPr>
        <w:tc>
          <w:tcPr>
            <w:tcW w:w="704" w:type="dxa"/>
            <w:tcMar>
              <w:top w:w="0" w:type="dxa"/>
              <w:left w:w="108" w:type="dxa"/>
              <w:bottom w:w="0" w:type="dxa"/>
              <w:right w:w="108" w:type="dxa"/>
            </w:tcMar>
            <w:vAlign w:val="center"/>
          </w:tcPr>
          <w:p w14:paraId="75CB8B5A">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415" w:type="dxa"/>
            <w:tcMar>
              <w:top w:w="0" w:type="dxa"/>
              <w:left w:w="108" w:type="dxa"/>
              <w:bottom w:w="0" w:type="dxa"/>
              <w:right w:w="108" w:type="dxa"/>
            </w:tcMar>
            <w:vAlign w:val="center"/>
          </w:tcPr>
          <w:p w14:paraId="3E9E7EA7">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二</w:t>
            </w:r>
          </w:p>
        </w:tc>
        <w:tc>
          <w:tcPr>
            <w:tcW w:w="1027" w:type="dxa"/>
            <w:tcMar>
              <w:top w:w="0" w:type="dxa"/>
              <w:left w:w="108" w:type="dxa"/>
              <w:bottom w:w="0" w:type="dxa"/>
              <w:right w:w="108" w:type="dxa"/>
            </w:tcMar>
            <w:vAlign w:val="center"/>
          </w:tcPr>
          <w:p w14:paraId="7F826FB1">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p>
        </w:tc>
        <w:tc>
          <w:tcPr>
            <w:tcW w:w="7811" w:type="dxa"/>
            <w:tcMar>
              <w:top w:w="0" w:type="dxa"/>
              <w:left w:w="108" w:type="dxa"/>
              <w:bottom w:w="0" w:type="dxa"/>
              <w:right w:w="108" w:type="dxa"/>
            </w:tcMar>
            <w:vAlign w:val="top"/>
          </w:tcPr>
          <w:p w14:paraId="24E80C5D">
            <w:pPr>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rPr>
              <w:t>合格的供应商：具体内容详见第二章第 3 条“合格的供应商 ”</w:t>
            </w:r>
          </w:p>
        </w:tc>
      </w:tr>
      <w:tr w14:paraId="3FBC7FD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310" w:hRule="atLeast"/>
        </w:trPr>
        <w:tc>
          <w:tcPr>
            <w:tcW w:w="704" w:type="dxa"/>
            <w:tcMar>
              <w:top w:w="0" w:type="dxa"/>
              <w:left w:w="108" w:type="dxa"/>
              <w:bottom w:w="0" w:type="dxa"/>
              <w:right w:w="108" w:type="dxa"/>
            </w:tcMar>
            <w:vAlign w:val="center"/>
          </w:tcPr>
          <w:p w14:paraId="5D59B14C">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p>
        </w:tc>
        <w:tc>
          <w:tcPr>
            <w:tcW w:w="415" w:type="dxa"/>
            <w:tcMar>
              <w:top w:w="0" w:type="dxa"/>
              <w:left w:w="108" w:type="dxa"/>
              <w:bottom w:w="0" w:type="dxa"/>
              <w:right w:w="108" w:type="dxa"/>
            </w:tcMar>
            <w:vAlign w:val="center"/>
          </w:tcPr>
          <w:p w14:paraId="0B25144E">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二</w:t>
            </w:r>
          </w:p>
        </w:tc>
        <w:tc>
          <w:tcPr>
            <w:tcW w:w="1027" w:type="dxa"/>
            <w:tcMar>
              <w:top w:w="0" w:type="dxa"/>
              <w:left w:w="108" w:type="dxa"/>
              <w:bottom w:w="0" w:type="dxa"/>
              <w:right w:w="108" w:type="dxa"/>
            </w:tcMar>
            <w:vAlign w:val="center"/>
          </w:tcPr>
          <w:p w14:paraId="589AA2AE">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3.1</w:t>
            </w:r>
          </w:p>
        </w:tc>
        <w:tc>
          <w:tcPr>
            <w:tcW w:w="7811" w:type="dxa"/>
            <w:tcMar>
              <w:top w:w="0" w:type="dxa"/>
              <w:left w:w="108" w:type="dxa"/>
              <w:bottom w:w="0" w:type="dxa"/>
              <w:right w:w="108" w:type="dxa"/>
            </w:tcMar>
            <w:vAlign w:val="top"/>
          </w:tcPr>
          <w:p w14:paraId="71DE9764">
            <w:pPr>
              <w:pStyle w:val="95"/>
              <w:spacing w:before="154" w:line="440" w:lineRule="exact"/>
              <w:ind w:right="23" w:firstLine="510" w:firstLineChars="200"/>
              <w:rPr>
                <w:color w:val="auto"/>
                <w:spacing w:val="7"/>
                <w:highlight w:val="none"/>
                <w:lang w:eastAsia="zh-CN"/>
              </w:rPr>
            </w:pPr>
            <w:r>
              <w:rPr>
                <w:rFonts w:hint="eastAsia"/>
                <w:b/>
                <w:bCs/>
                <w:color w:val="auto"/>
                <w:spacing w:val="7"/>
                <w:highlight w:val="none"/>
                <w:lang w:eastAsia="zh-CN"/>
              </w:rPr>
              <w:t>参加政府采购活动的询价供应商应当具备《中华人民共和国政府采购法》第</w:t>
            </w:r>
            <w:r>
              <w:rPr>
                <w:rFonts w:hint="eastAsia"/>
                <w:b/>
                <w:bCs/>
                <w:color w:val="auto"/>
                <w:spacing w:val="7"/>
                <w:highlight w:val="none"/>
                <w:lang w:val="en-US" w:eastAsia="zh-CN"/>
              </w:rPr>
              <w:t>十七</w:t>
            </w:r>
            <w:r>
              <w:rPr>
                <w:rFonts w:hint="eastAsia"/>
                <w:b/>
                <w:bCs/>
                <w:color w:val="auto"/>
                <w:spacing w:val="7"/>
                <w:highlight w:val="none"/>
                <w:lang w:eastAsia="zh-CN"/>
              </w:rPr>
              <w:t>条第一款规定的条件，提供下列材料：</w:t>
            </w:r>
          </w:p>
          <w:p w14:paraId="7378782C">
            <w:pPr>
              <w:numPr>
                <w:ilvl w:val="0"/>
                <w:numId w:val="9"/>
              </w:num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营业执照等证明文件：</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应具有独立承担民事责任的能力，营业执照处于有效期内，并提供营业执照等证明文件的复印件</w:t>
            </w:r>
            <w:r>
              <w:rPr>
                <w:rFonts w:hint="eastAsia" w:ascii="宋体" w:hAnsi="宋体" w:cs="宋体"/>
                <w:color w:val="auto"/>
                <w:sz w:val="24"/>
                <w:szCs w:val="24"/>
                <w:highlight w:val="none"/>
                <w:lang w:eastAsia="zh-CN"/>
              </w:rPr>
              <w:t>。</w:t>
            </w:r>
          </w:p>
          <w:p w14:paraId="7513F362">
            <w:pPr>
              <w:numPr>
                <w:ilvl w:val="0"/>
                <w:numId w:val="9"/>
              </w:numPr>
              <w:spacing w:line="440" w:lineRule="exact"/>
              <w:ind w:firstLine="480" w:firstLineChars="200"/>
              <w:rPr>
                <w:rFonts w:ascii="宋体" w:hAnsi="宋体" w:cs="宋体"/>
                <w:color w:val="auto"/>
                <w:sz w:val="24"/>
                <w:szCs w:val="24"/>
                <w:highlight w:val="none"/>
              </w:rPr>
            </w:pPr>
            <w:r>
              <w:rPr>
                <w:rFonts w:hint="eastAsia" w:ascii="宋体" w:hAnsi="宋体" w:cs="宋体"/>
                <w:color w:val="auto"/>
                <w:kern w:val="0"/>
                <w:sz w:val="24"/>
                <w:szCs w:val="24"/>
                <w:highlight w:val="none"/>
              </w:rPr>
              <w:t>单位负责人授权书（若有）：若</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代表为单位负责人授权的委托代理人，应提供本授权书；若</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代表为单位负责人，无需提供本授权书</w:t>
            </w:r>
            <w:r>
              <w:rPr>
                <w:rFonts w:hint="eastAsia" w:ascii="宋体" w:hAnsi="宋体" w:cs="宋体"/>
                <w:color w:val="auto"/>
                <w:sz w:val="24"/>
                <w:szCs w:val="24"/>
                <w:highlight w:val="none"/>
              </w:rPr>
              <w:t>。</w:t>
            </w:r>
          </w:p>
          <w:p w14:paraId="6065388E">
            <w:pPr>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3、财务状况报告：</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应提供上一年度（</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截止时间为1-6月的也可提供上上年度）财务报告复印件或银行资信证明复印件或</w:t>
            </w:r>
            <w:r>
              <w:rPr>
                <w:rFonts w:hint="eastAsia" w:ascii="宋体" w:hAnsi="宋体" w:cs="宋体"/>
                <w:color w:val="auto"/>
                <w:sz w:val="24"/>
                <w:szCs w:val="24"/>
                <w:highlight w:val="none"/>
                <w:lang w:eastAsia="zh-CN"/>
              </w:rPr>
              <w:t>询价</w:t>
            </w:r>
            <w:r>
              <w:rPr>
                <w:rFonts w:hint="eastAsia" w:ascii="宋体" w:hAnsi="宋体" w:cs="宋体"/>
                <w:color w:val="auto"/>
                <w:sz w:val="24"/>
                <w:szCs w:val="24"/>
                <w:highlight w:val="none"/>
              </w:rPr>
              <w:t>担保函复印件。</w:t>
            </w:r>
          </w:p>
          <w:p w14:paraId="6E986F91">
            <w:pPr>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4、依法缴纳税收证明材料：</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应提供</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截止时间前六个月（不含</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截止时间的当月）中任一月份依法缴纳税收的证明复印件，享受税收减免政策或因疫情影响享受缓缴或免缴税款的企业，提供依法缴纳税收承诺书原件（格式自拟）。</w:t>
            </w:r>
          </w:p>
          <w:p w14:paraId="727EB91B">
            <w:pPr>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5、依法缴纳社会保障资金证明材料：</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应提供</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截止时间前六个月（不含</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截止时间的当月）中任一月份依法缴纳社会保障资金的证明复印件，享受社保减免政策或因疫情影响享受缓缴或免缴社保的企业，提供依法缴纳社会保障资金承诺书原件（格式自拟）。</w:t>
            </w:r>
          </w:p>
          <w:p w14:paraId="344522B6">
            <w:pPr>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应提供具备履行合同所必需设备和专业技术能力的声明函；</w:t>
            </w:r>
          </w:p>
          <w:p w14:paraId="34EF3444">
            <w:pPr>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7、</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应提供参加本次采购活动前三年内在经营活动中没有重大违法记录的声明函；</w:t>
            </w:r>
          </w:p>
          <w:p w14:paraId="2FE30B24">
            <w:pPr>
              <w:spacing w:line="440" w:lineRule="exact"/>
              <w:ind w:firstLine="482" w:firstLineChars="200"/>
              <w:rPr>
                <w:rFonts w:ascii="宋体" w:hAnsi="宋体" w:cs="宋体"/>
                <w:color w:val="auto"/>
                <w:sz w:val="24"/>
                <w:szCs w:val="24"/>
                <w:highlight w:val="none"/>
              </w:rPr>
            </w:pPr>
            <w:r>
              <w:rPr>
                <w:rFonts w:hint="eastAsia" w:ascii="宋体" w:hAnsi="宋体" w:cs="宋体"/>
                <w:b/>
                <w:bCs/>
                <w:color w:val="auto"/>
                <w:sz w:val="24"/>
                <w:szCs w:val="24"/>
                <w:highlight w:val="none"/>
              </w:rPr>
              <w:t>注：本项目允许采用“资格承诺制”，根据《福建省财政厅关于印发推行政府采购供应商资格承诺制指导意见的通知》(闽财购(2024)6号)规定，响应供应商在响应文件中提供《福建省政府采购供应商资格承诺函》的，可不提供《中华人民共和国政府采购法实施条例》第</w:t>
            </w:r>
            <w:r>
              <w:rPr>
                <w:rFonts w:hint="eastAsia" w:ascii="宋体" w:hAnsi="宋体" w:cs="宋体"/>
                <w:b/>
                <w:bCs/>
                <w:color w:val="auto"/>
                <w:sz w:val="24"/>
                <w:szCs w:val="24"/>
                <w:highlight w:val="none"/>
                <w:lang w:val="en-US" w:eastAsia="zh-CN"/>
              </w:rPr>
              <w:t>十七</w:t>
            </w:r>
            <w:r>
              <w:rPr>
                <w:rFonts w:hint="eastAsia" w:ascii="宋体" w:hAnsi="宋体" w:cs="宋体"/>
                <w:b/>
                <w:bCs/>
                <w:color w:val="auto"/>
                <w:sz w:val="24"/>
                <w:szCs w:val="24"/>
                <w:highlight w:val="none"/>
              </w:rPr>
              <w:t>条第一款规定的资格条件证明材料，承诺函格式详见第五章响应文件格式。响应供应商应当遵循诚实信用原则，并对其承诺内容的真实性、合法性、有效性负责。响应供应商承诺不实的，属于提供虚假材料谋取中标、成交，依照《中华人民共和国政府采购法》第七十七条和政府采购法律法规有关规定处理。响应供应商可自行选择是否提供资格承诺函，若不提供资格承诺函的，应按</w:t>
            </w:r>
            <w:r>
              <w:rPr>
                <w:rFonts w:hint="eastAsia" w:ascii="宋体" w:hAnsi="宋体" w:cs="宋体"/>
                <w:b/>
                <w:bCs/>
                <w:color w:val="auto"/>
                <w:sz w:val="24"/>
                <w:szCs w:val="24"/>
                <w:highlight w:val="none"/>
                <w:lang w:eastAsia="zh-CN"/>
              </w:rPr>
              <w:t>询价文件</w:t>
            </w:r>
            <w:r>
              <w:rPr>
                <w:rFonts w:hint="eastAsia" w:ascii="宋体" w:hAnsi="宋体" w:cs="宋体"/>
                <w:b/>
                <w:bCs/>
                <w:color w:val="auto"/>
                <w:sz w:val="24"/>
                <w:szCs w:val="24"/>
                <w:highlight w:val="none"/>
              </w:rPr>
              <w:t>要求提供相应的证明材料。</w:t>
            </w:r>
          </w:p>
          <w:p w14:paraId="487FCAD2">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8、信用信息查询渠道：通过“信用中国”网站（www.creditchina.gov.cn）、中国政府采购网（www.ccgp.gov.cn）、“信用厦门”网站（credit.xm.gov.cn）查询所有供应商的信用信息。 因查询渠道网站原因导致查无供应商信息的，不认定供应商资格审查不合格；评审结束后，通过其他渠道发现供应商存在不良信用记录的，不认定为资格审查错误，将依照有关规定进行调查处理。供应商无需提供信用信息查询结果。若供应商自行提供查询结果的，仍以评审当天查询结果为准。</w:t>
            </w:r>
          </w:p>
          <w:p w14:paraId="49461F0B">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9、本项目不接受联合体</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w:t>
            </w:r>
          </w:p>
          <w:p w14:paraId="313675EA">
            <w:pPr>
              <w:spacing w:line="440" w:lineRule="exact"/>
              <w:ind w:firstLine="480" w:firstLineChars="200"/>
              <w:rPr>
                <w:rFonts w:ascii="宋体" w:hAnsi="宋体" w:cs="宋体"/>
                <w:b/>
                <w:color w:val="auto"/>
                <w:sz w:val="24"/>
                <w:szCs w:val="24"/>
                <w:highlight w:val="none"/>
              </w:rPr>
            </w:pPr>
            <w:r>
              <w:rPr>
                <w:rFonts w:hint="eastAsia" w:ascii="宋体" w:hAnsi="宋体" w:cs="宋体"/>
                <w:color w:val="auto"/>
                <w:sz w:val="24"/>
                <w:szCs w:val="24"/>
                <w:highlight w:val="none"/>
              </w:rPr>
              <w:t>说明：供应商的资格条件在评审时进行检查。供应商应在响应文件中 按询价文件的规定和要求附上所有的资格证明文件，提供的复印件必须加盖供应商公章，并在必要时提供原件备查。若供应商提供的资格证明文件不全或不实，其响应文件将按无效响应或成交资格被取消处理。</w:t>
            </w:r>
          </w:p>
        </w:tc>
      </w:tr>
      <w:tr w14:paraId="1CF2F6E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275" w:hRule="atLeast"/>
        </w:trPr>
        <w:tc>
          <w:tcPr>
            <w:tcW w:w="9957" w:type="dxa"/>
            <w:gridSpan w:val="4"/>
            <w:tcMar>
              <w:top w:w="0" w:type="dxa"/>
              <w:left w:w="108" w:type="dxa"/>
              <w:bottom w:w="0" w:type="dxa"/>
              <w:right w:w="108" w:type="dxa"/>
            </w:tcMar>
            <w:vAlign w:val="center"/>
          </w:tcPr>
          <w:p w14:paraId="35316C8A">
            <w:pPr>
              <w:widowControl/>
              <w:spacing w:line="440" w:lineRule="exact"/>
              <w:jc w:val="center"/>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符合性要求</w:t>
            </w:r>
          </w:p>
        </w:tc>
      </w:tr>
      <w:tr w14:paraId="42519B9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334" w:hRule="atLeast"/>
        </w:trPr>
        <w:tc>
          <w:tcPr>
            <w:tcW w:w="704" w:type="dxa"/>
            <w:tcMar>
              <w:top w:w="0" w:type="dxa"/>
              <w:left w:w="108" w:type="dxa"/>
              <w:bottom w:w="0" w:type="dxa"/>
              <w:right w:w="108" w:type="dxa"/>
            </w:tcMar>
            <w:vAlign w:val="center"/>
          </w:tcPr>
          <w:p w14:paraId="1DC6C1D0">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项号</w:t>
            </w:r>
          </w:p>
        </w:tc>
        <w:tc>
          <w:tcPr>
            <w:tcW w:w="415" w:type="dxa"/>
            <w:tcMar>
              <w:top w:w="0" w:type="dxa"/>
              <w:left w:w="108" w:type="dxa"/>
              <w:bottom w:w="0" w:type="dxa"/>
              <w:right w:w="108" w:type="dxa"/>
            </w:tcMar>
            <w:vAlign w:val="center"/>
          </w:tcPr>
          <w:p w14:paraId="30A044F5">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章</w:t>
            </w:r>
          </w:p>
        </w:tc>
        <w:tc>
          <w:tcPr>
            <w:tcW w:w="1027" w:type="dxa"/>
            <w:tcMar>
              <w:top w:w="0" w:type="dxa"/>
              <w:left w:w="108" w:type="dxa"/>
              <w:bottom w:w="0" w:type="dxa"/>
              <w:right w:w="108" w:type="dxa"/>
            </w:tcMar>
            <w:vAlign w:val="center"/>
          </w:tcPr>
          <w:p w14:paraId="5102844C">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条款号</w:t>
            </w:r>
          </w:p>
        </w:tc>
        <w:tc>
          <w:tcPr>
            <w:tcW w:w="7811" w:type="dxa"/>
            <w:tcMar>
              <w:top w:w="0" w:type="dxa"/>
              <w:left w:w="108" w:type="dxa"/>
              <w:bottom w:w="0" w:type="dxa"/>
              <w:right w:w="108" w:type="dxa"/>
            </w:tcMar>
            <w:vAlign w:val="center"/>
          </w:tcPr>
          <w:p w14:paraId="0D636442">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具体内容</w:t>
            </w:r>
          </w:p>
        </w:tc>
      </w:tr>
      <w:tr w14:paraId="7D5F225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c>
          <w:tcPr>
            <w:tcW w:w="704" w:type="dxa"/>
            <w:tcMar>
              <w:top w:w="0" w:type="dxa"/>
              <w:left w:w="108" w:type="dxa"/>
              <w:bottom w:w="0" w:type="dxa"/>
              <w:right w:w="108" w:type="dxa"/>
            </w:tcMar>
            <w:vAlign w:val="center"/>
          </w:tcPr>
          <w:p w14:paraId="602D7C45">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415" w:type="dxa"/>
            <w:tcMar>
              <w:top w:w="0" w:type="dxa"/>
              <w:left w:w="108" w:type="dxa"/>
              <w:bottom w:w="0" w:type="dxa"/>
              <w:right w:w="108" w:type="dxa"/>
            </w:tcMar>
            <w:vAlign w:val="center"/>
          </w:tcPr>
          <w:p w14:paraId="33CED0E4">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二</w:t>
            </w:r>
          </w:p>
        </w:tc>
        <w:tc>
          <w:tcPr>
            <w:tcW w:w="1027" w:type="dxa"/>
            <w:tcMar>
              <w:top w:w="0" w:type="dxa"/>
              <w:left w:w="108" w:type="dxa"/>
              <w:bottom w:w="0" w:type="dxa"/>
              <w:right w:w="108" w:type="dxa"/>
            </w:tcMar>
            <w:vAlign w:val="center"/>
          </w:tcPr>
          <w:p w14:paraId="174BC7B8">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10.1</w:t>
            </w:r>
          </w:p>
        </w:tc>
        <w:tc>
          <w:tcPr>
            <w:tcW w:w="7811" w:type="dxa"/>
            <w:tcMar>
              <w:top w:w="0" w:type="dxa"/>
              <w:left w:w="108" w:type="dxa"/>
              <w:bottom w:w="0" w:type="dxa"/>
              <w:right w:w="108" w:type="dxa"/>
            </w:tcMar>
            <w:vAlign w:val="top"/>
          </w:tcPr>
          <w:p w14:paraId="0980E287">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eastAsia="zh-CN"/>
              </w:rPr>
              <w:t>响应文件有效期</w:t>
            </w:r>
            <w:r>
              <w:rPr>
                <w:rFonts w:hint="eastAsia" w:ascii="宋体" w:hAnsi="宋体" w:cs="宋体"/>
                <w:color w:val="auto"/>
                <w:sz w:val="24"/>
                <w:szCs w:val="24"/>
                <w:highlight w:val="none"/>
              </w:rPr>
              <w:t>：响应文件须在提交响应文件截止期结束后90个日历日内保持有效。有效期不足将导致其响应文件被拒绝。</w:t>
            </w:r>
          </w:p>
        </w:tc>
      </w:tr>
      <w:tr w14:paraId="27B11C4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c>
          <w:tcPr>
            <w:tcW w:w="704" w:type="dxa"/>
            <w:tcMar>
              <w:top w:w="0" w:type="dxa"/>
              <w:left w:w="108" w:type="dxa"/>
              <w:bottom w:w="0" w:type="dxa"/>
              <w:right w:w="108" w:type="dxa"/>
            </w:tcMar>
            <w:vAlign w:val="center"/>
          </w:tcPr>
          <w:p w14:paraId="4DD3434C">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p>
        </w:tc>
        <w:tc>
          <w:tcPr>
            <w:tcW w:w="415" w:type="dxa"/>
            <w:tcMar>
              <w:top w:w="0" w:type="dxa"/>
              <w:left w:w="108" w:type="dxa"/>
              <w:bottom w:w="0" w:type="dxa"/>
              <w:right w:w="108" w:type="dxa"/>
            </w:tcMar>
            <w:vAlign w:val="center"/>
          </w:tcPr>
          <w:p w14:paraId="408BCB4C">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二</w:t>
            </w:r>
          </w:p>
        </w:tc>
        <w:tc>
          <w:tcPr>
            <w:tcW w:w="1027" w:type="dxa"/>
            <w:tcMar>
              <w:top w:w="0" w:type="dxa"/>
              <w:left w:w="108" w:type="dxa"/>
              <w:bottom w:w="0" w:type="dxa"/>
              <w:right w:w="108" w:type="dxa"/>
            </w:tcMar>
            <w:vAlign w:val="center"/>
          </w:tcPr>
          <w:p w14:paraId="6287D882">
            <w:pPr>
              <w:widowControl/>
              <w:spacing w:line="44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16.6.2</w:t>
            </w:r>
          </w:p>
        </w:tc>
        <w:tc>
          <w:tcPr>
            <w:tcW w:w="7811" w:type="dxa"/>
            <w:tcMar>
              <w:top w:w="0" w:type="dxa"/>
              <w:left w:w="108" w:type="dxa"/>
              <w:bottom w:w="0" w:type="dxa"/>
              <w:right w:w="108" w:type="dxa"/>
            </w:tcMar>
            <w:vAlign w:val="top"/>
          </w:tcPr>
          <w:p w14:paraId="6371859F">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供应商有下列情况之一者，响应文件将被视为未实质性响应</w:t>
            </w:r>
            <w:r>
              <w:rPr>
                <w:rFonts w:hint="eastAsia" w:ascii="宋体" w:hAnsi="宋体" w:cs="宋体"/>
                <w:color w:val="auto"/>
                <w:sz w:val="24"/>
                <w:szCs w:val="24"/>
                <w:highlight w:val="none"/>
                <w:lang w:eastAsia="zh-CN"/>
              </w:rPr>
              <w:t>询价文件</w:t>
            </w:r>
            <w:r>
              <w:rPr>
                <w:rFonts w:hint="eastAsia" w:ascii="宋体" w:hAnsi="宋体" w:cs="宋体"/>
                <w:color w:val="auto"/>
                <w:sz w:val="24"/>
                <w:szCs w:val="24"/>
                <w:highlight w:val="none"/>
              </w:rPr>
              <w:t>要求：</w:t>
            </w:r>
          </w:p>
          <w:p w14:paraId="2686DAC5">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(1)响应文件未按照本须知规定进行密封、标记的；</w:t>
            </w:r>
          </w:p>
          <w:p w14:paraId="43088EC1">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(2)未按规定由供应商的法定代表人或其授权代表签字；或未加盖供应商公章的；或授权代表未提供法定代表人有效授权委托书的；</w:t>
            </w:r>
          </w:p>
          <w:p w14:paraId="1A080F22">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eastAsia="zh-CN"/>
              </w:rPr>
              <w:t>响应文件响应文件有效期</w:t>
            </w:r>
            <w:r>
              <w:rPr>
                <w:rFonts w:hint="eastAsia" w:ascii="宋体" w:hAnsi="宋体" w:cs="宋体"/>
                <w:color w:val="auto"/>
                <w:sz w:val="24"/>
                <w:szCs w:val="24"/>
                <w:highlight w:val="none"/>
              </w:rPr>
              <w:t>不满足</w:t>
            </w:r>
            <w:r>
              <w:rPr>
                <w:rFonts w:hint="eastAsia" w:ascii="宋体" w:hAnsi="宋体" w:cs="宋体"/>
                <w:color w:val="auto"/>
                <w:sz w:val="24"/>
                <w:szCs w:val="24"/>
                <w:highlight w:val="none"/>
                <w:lang w:eastAsia="zh-CN"/>
              </w:rPr>
              <w:t>询价文件</w:t>
            </w:r>
            <w:r>
              <w:rPr>
                <w:rFonts w:hint="eastAsia" w:ascii="宋体" w:hAnsi="宋体" w:cs="宋体"/>
                <w:color w:val="auto"/>
                <w:sz w:val="24"/>
                <w:szCs w:val="24"/>
                <w:highlight w:val="none"/>
              </w:rPr>
              <w:t>要求的；</w:t>
            </w:r>
          </w:p>
          <w:p w14:paraId="29BB1E79">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(4)响应文件内容与采购内容及要求有重大偏离或保留的；</w:t>
            </w:r>
          </w:p>
          <w:p w14:paraId="1C4EB11F">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(5)供应商提交的是可选择的报价；</w:t>
            </w:r>
          </w:p>
          <w:p w14:paraId="7F83336E">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(6)供应商未按</w:t>
            </w:r>
            <w:r>
              <w:rPr>
                <w:rFonts w:hint="eastAsia" w:ascii="宋体" w:hAnsi="宋体" w:cs="宋体"/>
                <w:color w:val="auto"/>
                <w:sz w:val="24"/>
                <w:szCs w:val="24"/>
                <w:highlight w:val="none"/>
                <w:lang w:eastAsia="zh-CN"/>
              </w:rPr>
              <w:t>询价文件</w:t>
            </w:r>
            <w:r>
              <w:rPr>
                <w:rFonts w:hint="eastAsia" w:ascii="宋体" w:hAnsi="宋体" w:cs="宋体"/>
                <w:color w:val="auto"/>
                <w:sz w:val="24"/>
                <w:szCs w:val="24"/>
                <w:highlight w:val="none"/>
              </w:rPr>
              <w:t>要求进行分项报价；</w:t>
            </w:r>
          </w:p>
          <w:p w14:paraId="3B378FE8">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(7)响应文件中提供虚假或失实资料的；</w:t>
            </w:r>
          </w:p>
          <w:p w14:paraId="42AB0953">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(8)对</w:t>
            </w:r>
            <w:r>
              <w:rPr>
                <w:rFonts w:hint="eastAsia" w:ascii="宋体" w:hAnsi="宋体" w:cs="宋体"/>
                <w:color w:val="auto"/>
                <w:sz w:val="24"/>
                <w:szCs w:val="24"/>
                <w:highlight w:val="none"/>
                <w:lang w:eastAsia="zh-CN"/>
              </w:rPr>
              <w:t>询价文件</w:t>
            </w:r>
            <w:r>
              <w:rPr>
                <w:rFonts w:hint="eastAsia" w:ascii="宋体" w:hAnsi="宋体" w:cs="宋体"/>
                <w:color w:val="auto"/>
                <w:sz w:val="24"/>
                <w:szCs w:val="24"/>
                <w:highlight w:val="none"/>
              </w:rPr>
              <w:t>中带“</w:t>
            </w:r>
            <w:r>
              <w:rPr>
                <w:rFonts w:hint="eastAsia" w:ascii="宋体" w:hAnsi="宋体" w:cs="宋体"/>
                <w:b/>
                <w:color w:val="auto"/>
                <w:sz w:val="24"/>
                <w:szCs w:val="24"/>
                <w:highlight w:val="none"/>
              </w:rPr>
              <w:t>★</w:t>
            </w:r>
            <w:r>
              <w:rPr>
                <w:rFonts w:hint="eastAsia" w:ascii="宋体" w:hAnsi="宋体" w:cs="宋体"/>
                <w:color w:val="auto"/>
                <w:sz w:val="24"/>
                <w:szCs w:val="24"/>
                <w:highlight w:val="none"/>
              </w:rPr>
              <w:t>”的条款的有任何负偏离或不满足的；</w:t>
            </w:r>
          </w:p>
          <w:p w14:paraId="1174F831">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(9)未完整地提供标段要求的所有货物</w:t>
            </w:r>
            <w:r>
              <w:rPr>
                <w:rFonts w:hint="eastAsia" w:ascii="宋体" w:hAnsi="宋体" w:cs="宋体"/>
                <w:color w:val="auto"/>
                <w:sz w:val="24"/>
                <w:szCs w:val="24"/>
                <w:highlight w:val="none"/>
                <w:lang w:eastAsia="zh-CN"/>
              </w:rPr>
              <w:t>或</w:t>
            </w:r>
            <w:r>
              <w:rPr>
                <w:rFonts w:hint="eastAsia" w:ascii="宋体" w:hAnsi="宋体" w:cs="宋体"/>
                <w:color w:val="auto"/>
                <w:sz w:val="24"/>
                <w:szCs w:val="24"/>
                <w:highlight w:val="none"/>
              </w:rPr>
              <w:t>服务的；</w:t>
            </w:r>
          </w:p>
          <w:p w14:paraId="1732D078">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(10)不符合</w:t>
            </w:r>
            <w:r>
              <w:rPr>
                <w:rFonts w:hint="eastAsia" w:ascii="宋体" w:hAnsi="宋体" w:cs="宋体"/>
                <w:color w:val="auto"/>
                <w:sz w:val="24"/>
                <w:szCs w:val="24"/>
                <w:highlight w:val="none"/>
                <w:lang w:eastAsia="zh-CN"/>
              </w:rPr>
              <w:t>询价文件</w:t>
            </w:r>
            <w:r>
              <w:rPr>
                <w:rFonts w:hint="eastAsia" w:ascii="宋体" w:hAnsi="宋体" w:cs="宋体"/>
                <w:color w:val="auto"/>
                <w:sz w:val="24"/>
                <w:szCs w:val="24"/>
                <w:highlight w:val="none"/>
              </w:rPr>
              <w:t>中规定的其它实质性条款；</w:t>
            </w:r>
          </w:p>
          <w:p w14:paraId="3B5CBC09">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(11)</w:t>
            </w:r>
            <w:r>
              <w:rPr>
                <w:rFonts w:hint="eastAsia" w:ascii="宋体" w:hAnsi="宋体" w:cs="宋体"/>
                <w:color w:val="auto"/>
                <w:kern w:val="0"/>
                <w:sz w:val="24"/>
                <w:szCs w:val="24"/>
                <w:highlight w:val="none"/>
              </w:rPr>
              <w:t>报价或最终报价超过采购预算或控制价的；</w:t>
            </w:r>
          </w:p>
          <w:p w14:paraId="16B33FA8">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(12)实质性影响合同的范围、质量和履行；</w:t>
            </w:r>
          </w:p>
          <w:p w14:paraId="4C4D20E5">
            <w:pPr>
              <w:spacing w:line="440" w:lineRule="exact"/>
              <w:ind w:firstLine="480" w:firstLineChars="200"/>
              <w:rPr>
                <w:rFonts w:ascii="宋体" w:hAnsi="宋体" w:cs="宋体"/>
                <w:color w:val="auto"/>
                <w:sz w:val="24"/>
                <w:szCs w:val="24"/>
                <w:highlight w:val="none"/>
              </w:rPr>
            </w:pPr>
            <w:r>
              <w:rPr>
                <w:rFonts w:hint="eastAsia" w:ascii="宋体" w:hAnsi="宋体" w:cs="宋体"/>
                <w:color w:val="auto"/>
                <w:kern w:val="0"/>
                <w:sz w:val="24"/>
                <w:szCs w:val="24"/>
                <w:highlight w:val="none"/>
              </w:rPr>
              <w:t>(13)</w:t>
            </w:r>
            <w:r>
              <w:rPr>
                <w:rFonts w:hint="eastAsia" w:ascii="宋体" w:hAnsi="宋体" w:cs="宋体"/>
                <w:color w:val="auto"/>
                <w:sz w:val="24"/>
                <w:szCs w:val="24"/>
                <w:highlight w:val="none"/>
              </w:rPr>
              <w:t>响应文件载明的项目完成期限或质保期不满足</w:t>
            </w:r>
            <w:r>
              <w:rPr>
                <w:rFonts w:hint="eastAsia" w:ascii="宋体" w:hAnsi="宋体" w:cs="宋体"/>
                <w:color w:val="auto"/>
                <w:sz w:val="24"/>
                <w:szCs w:val="24"/>
                <w:highlight w:val="none"/>
                <w:lang w:eastAsia="zh-CN"/>
              </w:rPr>
              <w:t>询价文件</w:t>
            </w:r>
            <w:r>
              <w:rPr>
                <w:rFonts w:hint="eastAsia" w:ascii="宋体" w:hAnsi="宋体" w:cs="宋体"/>
                <w:color w:val="auto"/>
                <w:sz w:val="24"/>
                <w:szCs w:val="24"/>
                <w:highlight w:val="none"/>
              </w:rPr>
              <w:t>规定的；</w:t>
            </w:r>
          </w:p>
          <w:p w14:paraId="0AA9513A">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(14)实质性违背</w:t>
            </w:r>
            <w:r>
              <w:rPr>
                <w:rFonts w:hint="eastAsia" w:ascii="宋体" w:hAnsi="宋体" w:cs="宋体"/>
                <w:color w:val="auto"/>
                <w:sz w:val="24"/>
                <w:szCs w:val="24"/>
                <w:highlight w:val="none"/>
                <w:lang w:eastAsia="zh-CN"/>
              </w:rPr>
              <w:t>询价文件</w:t>
            </w:r>
            <w:r>
              <w:rPr>
                <w:rFonts w:hint="eastAsia" w:ascii="宋体" w:hAnsi="宋体" w:cs="宋体"/>
                <w:color w:val="auto"/>
                <w:sz w:val="24"/>
                <w:szCs w:val="24"/>
                <w:highlight w:val="none"/>
              </w:rPr>
              <w:t>，限制了采购人的权利和成交供应商合同项下的义务；</w:t>
            </w:r>
          </w:p>
          <w:p w14:paraId="78FEFD17">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(15)不公正地影响了其他作出实质性响应的供应商的竞争地位；</w:t>
            </w:r>
          </w:p>
          <w:p w14:paraId="57F0CBEB">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询价小组会决定报价的响应有效性只根据响应文件本身的内容，而不寻求其他的外部证据。</w:t>
            </w:r>
          </w:p>
        </w:tc>
      </w:tr>
      <w:tr w14:paraId="7DA7412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c>
          <w:tcPr>
            <w:tcW w:w="9957" w:type="dxa"/>
            <w:gridSpan w:val="4"/>
            <w:tcMar>
              <w:top w:w="0" w:type="dxa"/>
              <w:left w:w="108" w:type="dxa"/>
              <w:bottom w:w="0" w:type="dxa"/>
              <w:right w:w="108" w:type="dxa"/>
            </w:tcMar>
            <w:vAlign w:val="center"/>
          </w:tcPr>
          <w:p w14:paraId="27B2896D">
            <w:pPr>
              <w:spacing w:line="440" w:lineRule="exact"/>
              <w:jc w:val="center"/>
              <w:rPr>
                <w:rFonts w:ascii="宋体" w:hAnsi="宋体" w:cs="宋体"/>
                <w:color w:val="auto"/>
                <w:sz w:val="24"/>
                <w:szCs w:val="24"/>
                <w:highlight w:val="none"/>
              </w:rPr>
            </w:pPr>
            <w:r>
              <w:rPr>
                <w:rFonts w:hint="eastAsia" w:ascii="宋体" w:hAnsi="宋体" w:cs="宋体"/>
                <w:b/>
                <w:color w:val="auto"/>
                <w:sz w:val="24"/>
                <w:szCs w:val="24"/>
                <w:highlight w:val="none"/>
              </w:rPr>
              <w:t>符合性要求附表：带“★”号条款汇总表</w:t>
            </w:r>
          </w:p>
        </w:tc>
      </w:tr>
      <w:tr w14:paraId="1A02D0A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262" w:hRule="atLeast"/>
        </w:trPr>
        <w:tc>
          <w:tcPr>
            <w:tcW w:w="704" w:type="dxa"/>
            <w:tcMar>
              <w:top w:w="0" w:type="dxa"/>
              <w:left w:w="108" w:type="dxa"/>
              <w:bottom w:w="0" w:type="dxa"/>
              <w:right w:w="108" w:type="dxa"/>
            </w:tcMar>
            <w:vAlign w:val="center"/>
          </w:tcPr>
          <w:p w14:paraId="0DBD4473">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项号</w:t>
            </w:r>
          </w:p>
        </w:tc>
        <w:tc>
          <w:tcPr>
            <w:tcW w:w="415" w:type="dxa"/>
            <w:tcMar>
              <w:top w:w="0" w:type="dxa"/>
              <w:left w:w="108" w:type="dxa"/>
              <w:bottom w:w="0" w:type="dxa"/>
              <w:right w:w="108" w:type="dxa"/>
            </w:tcMar>
            <w:vAlign w:val="center"/>
          </w:tcPr>
          <w:p w14:paraId="366211B0">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章</w:t>
            </w:r>
          </w:p>
        </w:tc>
        <w:tc>
          <w:tcPr>
            <w:tcW w:w="1027" w:type="dxa"/>
            <w:tcMar>
              <w:top w:w="0" w:type="dxa"/>
              <w:left w:w="108" w:type="dxa"/>
              <w:bottom w:w="0" w:type="dxa"/>
              <w:right w:w="108" w:type="dxa"/>
            </w:tcMar>
            <w:vAlign w:val="center"/>
          </w:tcPr>
          <w:p w14:paraId="27CD7723">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条款号</w:t>
            </w:r>
          </w:p>
        </w:tc>
        <w:tc>
          <w:tcPr>
            <w:tcW w:w="7811" w:type="dxa"/>
            <w:tcMar>
              <w:top w:w="0" w:type="dxa"/>
              <w:left w:w="108" w:type="dxa"/>
              <w:bottom w:w="0" w:type="dxa"/>
              <w:right w:w="108" w:type="dxa"/>
            </w:tcMar>
            <w:vAlign w:val="center"/>
          </w:tcPr>
          <w:p w14:paraId="19E2C203">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具体内容</w:t>
            </w:r>
          </w:p>
        </w:tc>
      </w:tr>
      <w:tr w14:paraId="65B3323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330" w:hRule="atLeast"/>
        </w:trPr>
        <w:tc>
          <w:tcPr>
            <w:tcW w:w="704" w:type="dxa"/>
            <w:tcMar>
              <w:top w:w="0" w:type="dxa"/>
              <w:left w:w="108" w:type="dxa"/>
              <w:bottom w:w="0" w:type="dxa"/>
              <w:right w:w="108" w:type="dxa"/>
            </w:tcMar>
            <w:vAlign w:val="center"/>
          </w:tcPr>
          <w:p w14:paraId="261D6393">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415" w:type="dxa"/>
            <w:tcMar>
              <w:top w:w="0" w:type="dxa"/>
              <w:left w:w="108" w:type="dxa"/>
              <w:bottom w:w="0" w:type="dxa"/>
              <w:right w:w="108" w:type="dxa"/>
            </w:tcMar>
            <w:vAlign w:val="center"/>
          </w:tcPr>
          <w:p w14:paraId="2A1F4932">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3</w:t>
            </w:r>
          </w:p>
        </w:tc>
        <w:tc>
          <w:tcPr>
            <w:tcW w:w="1027" w:type="dxa"/>
            <w:tcMar>
              <w:top w:w="0" w:type="dxa"/>
              <w:left w:w="108" w:type="dxa"/>
              <w:bottom w:w="0" w:type="dxa"/>
              <w:right w:w="108" w:type="dxa"/>
            </w:tcMar>
            <w:vAlign w:val="center"/>
          </w:tcPr>
          <w:p w14:paraId="3E799E7F">
            <w:pPr>
              <w:spacing w:line="440" w:lineRule="exact"/>
              <w:jc w:val="center"/>
              <w:rPr>
                <w:rFonts w:ascii="宋体" w:hAnsi="宋体" w:cs="宋体"/>
                <w:color w:val="auto"/>
                <w:sz w:val="24"/>
                <w:szCs w:val="24"/>
                <w:highlight w:val="none"/>
              </w:rPr>
            </w:pPr>
          </w:p>
        </w:tc>
        <w:tc>
          <w:tcPr>
            <w:tcW w:w="7811" w:type="dxa"/>
            <w:tcMar>
              <w:top w:w="0" w:type="dxa"/>
              <w:left w:w="108" w:type="dxa"/>
              <w:bottom w:w="0" w:type="dxa"/>
              <w:right w:w="108" w:type="dxa"/>
            </w:tcMar>
            <w:vAlign w:val="center"/>
          </w:tcPr>
          <w:p w14:paraId="2894699B">
            <w:pPr>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rPr>
              <w:t>★本采购项目的采购预算为人民币</w:t>
            </w:r>
            <w:r>
              <w:rPr>
                <w:rFonts w:hint="eastAsia" w:ascii="宋体" w:hAnsi="宋体" w:cs="宋体"/>
                <w:color w:val="auto"/>
                <w:sz w:val="24"/>
                <w:szCs w:val="24"/>
                <w:highlight w:val="none"/>
                <w:lang w:val="en-US" w:eastAsia="zh-CN"/>
              </w:rPr>
              <w:t>肆拾肆万捌仟玖佰玖拾玖</w:t>
            </w:r>
            <w:r>
              <w:rPr>
                <w:rFonts w:hint="eastAsia" w:ascii="宋体" w:hAnsi="宋体" w:cs="宋体"/>
                <w:color w:val="auto"/>
                <w:sz w:val="24"/>
                <w:szCs w:val="24"/>
                <w:highlight w:val="none"/>
                <w:lang w:eastAsia="zh-CN"/>
              </w:rPr>
              <w:t>元整</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448999</w:t>
            </w:r>
            <w:r>
              <w:rPr>
                <w:rFonts w:hint="eastAsia" w:ascii="宋体" w:hAnsi="宋体" w:cs="宋体"/>
                <w:color w:val="auto"/>
                <w:sz w:val="24"/>
                <w:szCs w:val="24"/>
                <w:highlight w:val="none"/>
              </w:rPr>
              <w:t>），采购预算为总报价的最高限价。</w:t>
            </w:r>
            <w:r>
              <w:rPr>
                <w:rFonts w:hint="eastAsia" w:ascii="宋体" w:hAnsi="宋体" w:cs="宋体"/>
                <w:color w:val="auto"/>
                <w:sz w:val="24"/>
                <w:szCs w:val="24"/>
                <w:highlight w:val="none"/>
                <w:lang w:val="en-US" w:eastAsia="zh-CN"/>
              </w:rPr>
              <w:t>其中</w:t>
            </w:r>
            <w:r>
              <w:rPr>
                <w:rFonts w:hint="eastAsia" w:ascii="宋体" w:hAnsi="宋体" w:cs="宋体"/>
                <w:color w:val="auto"/>
                <w:kern w:val="0"/>
                <w:sz w:val="24"/>
                <w:highlight w:val="none"/>
                <w:lang w:val="en-US" w:eastAsia="zh-CN"/>
              </w:rPr>
              <w:t>古地石指挥部项目保洁最高限价49199元，金尚菜市场项目保洁最高限价140000元，厦大海韵园二期项目保洁、绿化最高限价259800元。</w:t>
            </w:r>
          </w:p>
        </w:tc>
      </w:tr>
      <w:tr w14:paraId="4BE2818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c>
          <w:tcPr>
            <w:tcW w:w="9957" w:type="dxa"/>
            <w:gridSpan w:val="4"/>
            <w:tcMar>
              <w:top w:w="0" w:type="dxa"/>
              <w:left w:w="108" w:type="dxa"/>
              <w:bottom w:w="0" w:type="dxa"/>
              <w:right w:w="108" w:type="dxa"/>
            </w:tcMar>
            <w:vAlign w:val="center"/>
          </w:tcPr>
          <w:p w14:paraId="1FF1BA4E">
            <w:pPr>
              <w:pStyle w:val="23"/>
              <w:tabs>
                <w:tab w:val="left" w:pos="0"/>
                <w:tab w:val="left" w:pos="28"/>
                <w:tab w:val="left" w:pos="56"/>
                <w:tab w:val="clear" w:pos="1140"/>
              </w:tabs>
              <w:spacing w:line="440" w:lineRule="exact"/>
              <w:ind w:firstLine="482"/>
              <w:rPr>
                <w:rFonts w:ascii="宋体" w:hAnsi="宋体" w:cs="宋体"/>
                <w:b/>
                <w:bCs/>
                <w:color w:val="auto"/>
                <w:sz w:val="24"/>
                <w:highlight w:val="none"/>
              </w:rPr>
            </w:pPr>
            <w:r>
              <w:rPr>
                <w:rFonts w:hint="eastAsia" w:ascii="宋体" w:hAnsi="宋体" w:cs="宋体"/>
                <w:b/>
                <w:bCs/>
                <w:color w:val="auto"/>
                <w:sz w:val="24"/>
                <w:highlight w:val="none"/>
              </w:rPr>
              <w:t>上述带“★ ”号条款供应商应逐条进行响应，并逐条填写带“★”号条款响应表。其中，项号</w:t>
            </w:r>
            <w:r>
              <w:rPr>
                <w:rFonts w:hint="eastAsia" w:ascii="宋体" w:hAnsi="宋体" w:cs="宋体"/>
                <w:b/>
                <w:bCs/>
                <w:color w:val="auto"/>
                <w:sz w:val="24"/>
                <w:highlight w:val="none"/>
                <w:u w:val="single"/>
              </w:rPr>
              <w:t xml:space="preserve"> </w:t>
            </w:r>
            <w:r>
              <w:rPr>
                <w:rFonts w:hint="eastAsia" w:ascii="宋体" w:hAnsi="宋体" w:cs="宋体"/>
                <w:b/>
                <w:bCs/>
                <w:color w:val="auto"/>
                <w:sz w:val="24"/>
                <w:highlight w:val="none"/>
                <w:u w:val="single"/>
                <w:lang w:val="en-US" w:eastAsia="zh-CN"/>
              </w:rPr>
              <w:t>1</w:t>
            </w:r>
            <w:r>
              <w:rPr>
                <w:rFonts w:hint="eastAsia" w:ascii="宋体" w:hAnsi="宋体" w:cs="宋体"/>
                <w:b/>
                <w:bCs/>
                <w:color w:val="auto"/>
                <w:sz w:val="24"/>
                <w:highlight w:val="none"/>
              </w:rPr>
              <w:t>的条款，要求供应商应在响应文中提供实质性满足询价文件要求的客观证据以作佐证，否则询价小组将认定为不满足。</w:t>
            </w:r>
          </w:p>
          <w:p w14:paraId="3A4BC215">
            <w:pPr>
              <w:pStyle w:val="23"/>
              <w:tabs>
                <w:tab w:val="left" w:pos="0"/>
                <w:tab w:val="left" w:pos="28"/>
                <w:tab w:val="left" w:pos="56"/>
                <w:tab w:val="clear" w:pos="1140"/>
              </w:tabs>
              <w:spacing w:line="440" w:lineRule="exact"/>
              <w:ind w:firstLine="482"/>
              <w:rPr>
                <w:rFonts w:ascii="宋体" w:hAnsi="宋体" w:cs="宋体"/>
                <w:b/>
                <w:bCs/>
                <w:color w:val="auto"/>
                <w:sz w:val="24"/>
                <w:highlight w:val="none"/>
              </w:rPr>
            </w:pPr>
          </w:p>
        </w:tc>
      </w:tr>
    </w:tbl>
    <w:p w14:paraId="52834C16">
      <w:pPr>
        <w:keepNext/>
        <w:keepLines/>
        <w:pageBreakBefore/>
        <w:spacing w:before="260" w:after="260" w:line="360" w:lineRule="auto"/>
        <w:jc w:val="center"/>
        <w:outlineLvl w:val="1"/>
        <w:rPr>
          <w:rFonts w:ascii="宋体" w:hAnsi="宋体" w:cs="宋体"/>
          <w:b/>
          <w:bCs/>
          <w:color w:val="auto"/>
          <w:sz w:val="30"/>
          <w:szCs w:val="32"/>
          <w:highlight w:val="none"/>
        </w:rPr>
      </w:pPr>
      <w:r>
        <w:rPr>
          <w:rFonts w:hint="eastAsia" w:ascii="宋体" w:hAnsi="宋体" w:cs="宋体"/>
          <w:b/>
          <w:bCs/>
          <w:color w:val="auto"/>
          <w:sz w:val="30"/>
          <w:szCs w:val="32"/>
          <w:highlight w:val="none"/>
        </w:rPr>
        <w:t>供应商须知前附表3：</w:t>
      </w:r>
      <w:bookmarkEnd w:id="13"/>
      <w:bookmarkEnd w:id="14"/>
      <w:bookmarkEnd w:id="15"/>
      <w:r>
        <w:rPr>
          <w:rFonts w:hint="eastAsia" w:ascii="宋体" w:hAnsi="宋体" w:cs="宋体"/>
          <w:b/>
          <w:bCs/>
          <w:color w:val="auto"/>
          <w:sz w:val="30"/>
          <w:szCs w:val="32"/>
          <w:highlight w:val="none"/>
          <w:lang w:eastAsia="zh-CN"/>
        </w:rPr>
        <w:t>响应</w:t>
      </w:r>
      <w:r>
        <w:rPr>
          <w:rFonts w:hint="eastAsia" w:ascii="宋体" w:hAnsi="宋体" w:cs="宋体"/>
          <w:b/>
          <w:bCs/>
          <w:color w:val="auto"/>
          <w:sz w:val="30"/>
          <w:szCs w:val="32"/>
          <w:highlight w:val="none"/>
        </w:rPr>
        <w:t>规则、评审标准</w:t>
      </w:r>
      <w:bookmarkEnd w:id="16"/>
    </w:p>
    <w:tbl>
      <w:tblPr>
        <w:tblStyle w:val="42"/>
        <w:tblW w:w="1001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17"/>
      </w:tblGrid>
      <w:tr w14:paraId="0FBF4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7" w:type="dxa"/>
            <w:tcBorders>
              <w:top w:val="single" w:color="auto" w:sz="4" w:space="0"/>
              <w:left w:val="single" w:color="auto" w:sz="4" w:space="0"/>
              <w:bottom w:val="single" w:color="auto" w:sz="4" w:space="0"/>
              <w:right w:val="single" w:color="auto" w:sz="4" w:space="0"/>
            </w:tcBorders>
            <w:vAlign w:val="top"/>
          </w:tcPr>
          <w:p w14:paraId="0BA269BE">
            <w:pPr>
              <w:pStyle w:val="9"/>
              <w:numPr>
                <w:ilvl w:val="0"/>
                <w:numId w:val="10"/>
              </w:numPr>
              <w:snapToGrid w:val="0"/>
              <w:spacing w:line="360" w:lineRule="auto"/>
              <w:rPr>
                <w:rFonts w:ascii="宋体" w:hAnsi="宋体" w:cs="宋体"/>
                <w:color w:val="auto"/>
                <w:sz w:val="24"/>
                <w:highlight w:val="none"/>
              </w:rPr>
            </w:pPr>
            <w:r>
              <w:rPr>
                <w:rFonts w:hint="eastAsia" w:ascii="宋体" w:hAnsi="宋体" w:cs="宋体"/>
                <w:color w:val="auto"/>
                <w:sz w:val="24"/>
                <w:highlight w:val="none"/>
                <w:lang w:eastAsia="zh-CN"/>
              </w:rPr>
              <w:t>评审</w:t>
            </w:r>
            <w:r>
              <w:rPr>
                <w:rFonts w:hint="eastAsia" w:ascii="宋体" w:hAnsi="宋体" w:cs="宋体"/>
                <w:color w:val="auto"/>
                <w:sz w:val="24"/>
                <w:highlight w:val="none"/>
              </w:rPr>
              <w:t>方法：</w:t>
            </w:r>
          </w:p>
          <w:p w14:paraId="6ED3AC73">
            <w:pPr>
              <w:pStyle w:val="9"/>
              <w:snapToGrid w:val="0"/>
              <w:spacing w:line="360" w:lineRule="auto"/>
              <w:ind w:left="480" w:firstLine="0"/>
              <w:rPr>
                <w:rFonts w:ascii="宋体" w:hAnsi="宋体" w:cs="宋体"/>
                <w:color w:val="auto"/>
                <w:sz w:val="24"/>
                <w:highlight w:val="none"/>
              </w:rPr>
            </w:pPr>
            <w:r>
              <w:rPr>
                <w:rFonts w:hint="eastAsia" w:ascii="宋体" w:hAnsi="宋体" w:cs="宋体"/>
                <w:color w:val="auto"/>
                <w:sz w:val="24"/>
                <w:highlight w:val="none"/>
              </w:rPr>
              <w:t xml:space="preserve"> ☑ 最低评标价法 </w:t>
            </w:r>
          </w:p>
        </w:tc>
      </w:tr>
      <w:tr w14:paraId="78277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0" w:hRule="atLeast"/>
        </w:trPr>
        <w:tc>
          <w:tcPr>
            <w:tcW w:w="10017" w:type="dxa"/>
            <w:tcBorders>
              <w:top w:val="single" w:color="auto" w:sz="4" w:space="0"/>
              <w:left w:val="single" w:color="auto" w:sz="4" w:space="0"/>
              <w:bottom w:val="single" w:color="auto" w:sz="4" w:space="0"/>
              <w:right w:val="single" w:color="auto" w:sz="4" w:space="0"/>
            </w:tcBorders>
            <w:vAlign w:val="top"/>
          </w:tcPr>
          <w:p w14:paraId="19328CE9">
            <w:pPr>
              <w:widowControl/>
              <w:snapToGrid w:val="0"/>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二、</w:t>
            </w:r>
            <w:r>
              <w:rPr>
                <w:rFonts w:hint="eastAsia" w:ascii="宋体" w:hAnsi="宋体" w:cs="宋体"/>
                <w:color w:val="auto"/>
                <w:sz w:val="24"/>
                <w:szCs w:val="24"/>
                <w:highlight w:val="none"/>
                <w:lang w:eastAsia="zh-CN"/>
              </w:rPr>
              <w:t>评审</w:t>
            </w:r>
            <w:r>
              <w:rPr>
                <w:rFonts w:hint="eastAsia" w:ascii="宋体" w:hAnsi="宋体" w:cs="宋体"/>
                <w:color w:val="auto"/>
                <w:sz w:val="24"/>
                <w:szCs w:val="24"/>
                <w:highlight w:val="none"/>
              </w:rPr>
              <w:t>标准：</w:t>
            </w:r>
          </w:p>
          <w:p w14:paraId="5EF2FAC0">
            <w:pPr>
              <w:widowControl/>
              <w:adjustRightInd w:val="0"/>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（一）首先按照</w:t>
            </w:r>
            <w:r>
              <w:rPr>
                <w:rFonts w:hint="eastAsia" w:ascii="宋体" w:hAnsi="宋体" w:cs="宋体"/>
                <w:color w:val="auto"/>
                <w:sz w:val="24"/>
                <w:szCs w:val="24"/>
                <w:highlight w:val="none"/>
                <w:lang w:eastAsia="zh-CN"/>
              </w:rPr>
              <w:t>评审</w:t>
            </w:r>
            <w:r>
              <w:rPr>
                <w:rFonts w:hint="eastAsia" w:ascii="宋体" w:hAnsi="宋体" w:cs="宋体"/>
                <w:color w:val="auto"/>
                <w:sz w:val="24"/>
                <w:szCs w:val="24"/>
                <w:highlight w:val="none"/>
              </w:rPr>
              <w:t>程序的规定对各供应商的资格性以及符合性做出评审，只有资格性检查和符合性检查合格的</w:t>
            </w:r>
            <w:r>
              <w:rPr>
                <w:rFonts w:hint="eastAsia" w:ascii="宋体" w:hAnsi="宋体" w:cs="宋体"/>
                <w:color w:val="auto"/>
                <w:sz w:val="24"/>
                <w:szCs w:val="24"/>
                <w:highlight w:val="none"/>
                <w:lang w:eastAsia="zh-CN"/>
              </w:rPr>
              <w:t>响应文件</w:t>
            </w:r>
            <w:r>
              <w:rPr>
                <w:rFonts w:hint="eastAsia" w:ascii="宋体" w:hAnsi="宋体" w:cs="宋体"/>
                <w:color w:val="auto"/>
                <w:sz w:val="24"/>
                <w:szCs w:val="24"/>
                <w:highlight w:val="none"/>
              </w:rPr>
              <w:t>才能进入价格评审程序。</w:t>
            </w:r>
          </w:p>
          <w:p w14:paraId="66F6004B">
            <w:pPr>
              <w:widowControl/>
              <w:adjustRightInd w:val="0"/>
              <w:snapToGrid w:val="0"/>
              <w:spacing w:line="360" w:lineRule="auto"/>
              <w:ind w:firstLine="480" w:firstLineChars="200"/>
              <w:jc w:val="left"/>
              <w:rPr>
                <w:rFonts w:ascii="宋体" w:hAnsi="宋体" w:cs="宋体"/>
                <w:b/>
                <w:bCs/>
                <w:color w:val="auto"/>
                <w:sz w:val="24"/>
                <w:szCs w:val="24"/>
                <w:highlight w:val="none"/>
              </w:rPr>
            </w:pPr>
            <w:r>
              <w:rPr>
                <w:rFonts w:hint="eastAsia" w:ascii="宋体" w:hAnsi="宋体" w:cs="宋体"/>
                <w:color w:val="auto"/>
                <w:sz w:val="24"/>
                <w:szCs w:val="24"/>
                <w:highlight w:val="none"/>
              </w:rPr>
              <w:t>询价小组对通过以上审核的有效供应商进行评审和推荐，在所有有效供应商均符合采购需求，质量和服务相等的前提下，以提出最低报价的供应商作为报价成交供应商。最低报价有二家或以上相同的，</w:t>
            </w:r>
            <w:r>
              <w:rPr>
                <w:rFonts w:hint="eastAsia" w:ascii="宋体" w:hAnsi="宋体" w:cs="宋体"/>
                <w:b w:val="0"/>
                <w:bCs w:val="0"/>
                <w:color w:val="auto"/>
                <w:sz w:val="24"/>
                <w:szCs w:val="24"/>
                <w:highlight w:val="none"/>
                <w:lang w:val="en-US" w:eastAsia="zh-CN"/>
              </w:rPr>
              <w:t>则通过随机抽取确定中标人</w:t>
            </w:r>
            <w:r>
              <w:rPr>
                <w:rFonts w:hint="eastAsia" w:ascii="宋体" w:hAnsi="宋体" w:cs="宋体"/>
                <w:b w:val="0"/>
                <w:bCs w:val="0"/>
                <w:color w:val="auto"/>
                <w:sz w:val="24"/>
                <w:szCs w:val="24"/>
                <w:highlight w:val="none"/>
              </w:rPr>
              <w:t>。</w:t>
            </w:r>
          </w:p>
          <w:p w14:paraId="2882C283">
            <w:pPr>
              <w:widowControl/>
              <w:adjustRightInd w:val="0"/>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（二）若本次询价为本项目采购的首次询价，当对询价文件作出实质性响应的供应商不足三家时，本次询价失败。失败后将另行公告征集</w:t>
            </w:r>
            <w:r>
              <w:rPr>
                <w:rFonts w:hint="eastAsia" w:ascii="宋体" w:hAnsi="宋体" w:cs="宋体"/>
                <w:color w:val="auto"/>
                <w:sz w:val="24"/>
                <w:szCs w:val="24"/>
                <w:highlight w:val="none"/>
                <w:lang w:eastAsia="zh-CN"/>
              </w:rPr>
              <w:t>（邀请）</w:t>
            </w:r>
            <w:r>
              <w:rPr>
                <w:rFonts w:hint="eastAsia" w:ascii="宋体" w:hAnsi="宋体" w:cs="宋体"/>
                <w:color w:val="auto"/>
                <w:sz w:val="24"/>
                <w:szCs w:val="24"/>
                <w:highlight w:val="none"/>
              </w:rPr>
              <w:t>和补充供应商或由询价小组从符合相应资格条件的供应商名单中补充参加报价的供应商，并重新组织询价。经补充后，对询价文件作出实质响应的供应商只有两家的，询价小组可以按本评审办法进行评审；只有一家的，可以采取单一来源方式采购，询价小组按照符合采购需求、报价合理的原则推荐成交供应商。</w:t>
            </w:r>
          </w:p>
          <w:p w14:paraId="3C512571">
            <w:pPr>
              <w:widowControl/>
              <w:adjustRightInd w:val="0"/>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（三）推荐</w:t>
            </w:r>
            <w:r>
              <w:rPr>
                <w:rFonts w:hint="eastAsia" w:ascii="宋体" w:hAnsi="宋体" w:cs="宋体"/>
                <w:color w:val="auto"/>
                <w:sz w:val="24"/>
                <w:szCs w:val="24"/>
                <w:highlight w:val="none"/>
                <w:lang w:eastAsia="zh-CN"/>
              </w:rPr>
              <w:t>成交</w:t>
            </w:r>
            <w:r>
              <w:rPr>
                <w:rFonts w:hint="eastAsia" w:ascii="宋体" w:hAnsi="宋体" w:cs="宋体"/>
                <w:color w:val="auto"/>
                <w:sz w:val="24"/>
                <w:szCs w:val="24"/>
                <w:highlight w:val="none"/>
              </w:rPr>
              <w:t>候选单位名单。</w:t>
            </w:r>
          </w:p>
          <w:p w14:paraId="00361DFA">
            <w:pPr>
              <w:widowControl/>
              <w:adjustRightInd w:val="0"/>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eastAsia="zh-CN"/>
              </w:rPr>
              <w:t>成交</w:t>
            </w:r>
            <w:r>
              <w:rPr>
                <w:rFonts w:hint="eastAsia" w:ascii="宋体" w:hAnsi="宋体" w:cs="宋体"/>
                <w:color w:val="auto"/>
                <w:sz w:val="24"/>
                <w:szCs w:val="24"/>
                <w:highlight w:val="none"/>
              </w:rPr>
              <w:t>候选单位数量：1-3个。</w:t>
            </w:r>
          </w:p>
          <w:p w14:paraId="28686591">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成交</w:t>
            </w:r>
            <w:r>
              <w:rPr>
                <w:rFonts w:hint="eastAsia" w:ascii="宋体" w:hAnsi="宋体" w:cs="宋体"/>
                <w:color w:val="auto"/>
                <w:sz w:val="24"/>
                <w:szCs w:val="24"/>
                <w:highlight w:val="none"/>
              </w:rPr>
              <w:t>候选单位排列顺序。经</w:t>
            </w:r>
            <w:r>
              <w:rPr>
                <w:rFonts w:hint="eastAsia" w:ascii="宋体" w:hAnsi="宋体" w:cs="宋体"/>
                <w:color w:val="auto"/>
                <w:sz w:val="24"/>
                <w:szCs w:val="24"/>
                <w:highlight w:val="none"/>
                <w:lang w:eastAsia="zh-CN"/>
              </w:rPr>
              <w:t>响应文件</w:t>
            </w:r>
            <w:r>
              <w:rPr>
                <w:rFonts w:hint="eastAsia" w:ascii="宋体" w:hAnsi="宋体" w:cs="宋体"/>
                <w:color w:val="auto"/>
                <w:sz w:val="24"/>
                <w:szCs w:val="24"/>
                <w:highlight w:val="none"/>
              </w:rPr>
              <w:t>初审、澄清有关问题、比较与评价</w:t>
            </w:r>
            <w:r>
              <w:rPr>
                <w:rFonts w:hint="eastAsia" w:ascii="宋体" w:hAnsi="宋体" w:cs="宋体"/>
                <w:color w:val="auto"/>
                <w:sz w:val="24"/>
                <w:szCs w:val="24"/>
                <w:highlight w:val="none"/>
                <w:lang w:eastAsia="zh-CN"/>
              </w:rPr>
              <w:t>评审</w:t>
            </w:r>
            <w:r>
              <w:rPr>
                <w:rFonts w:hint="eastAsia" w:ascii="宋体" w:hAnsi="宋体" w:cs="宋体"/>
                <w:color w:val="auto"/>
                <w:sz w:val="24"/>
                <w:szCs w:val="24"/>
                <w:highlight w:val="none"/>
              </w:rPr>
              <w:t>程序后，按以下办法推荐</w:t>
            </w:r>
            <w:r>
              <w:rPr>
                <w:rFonts w:hint="eastAsia" w:ascii="宋体" w:hAnsi="宋体" w:cs="宋体"/>
                <w:color w:val="auto"/>
                <w:sz w:val="24"/>
                <w:szCs w:val="24"/>
                <w:highlight w:val="none"/>
                <w:lang w:eastAsia="zh-CN"/>
              </w:rPr>
              <w:t>成交</w:t>
            </w:r>
            <w:r>
              <w:rPr>
                <w:rFonts w:hint="eastAsia" w:ascii="宋体" w:hAnsi="宋体" w:cs="宋体"/>
                <w:color w:val="auto"/>
                <w:sz w:val="24"/>
                <w:szCs w:val="24"/>
                <w:highlight w:val="none"/>
              </w:rPr>
              <w:t>候选单位名单的排列顺序：采用最低评标价法的，按</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报价由低到高顺序排列。</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报价相同的，</w:t>
            </w:r>
            <w:r>
              <w:rPr>
                <w:rFonts w:hint="eastAsia" w:ascii="宋体" w:hAnsi="宋体" w:cs="宋体"/>
                <w:color w:val="auto"/>
                <w:sz w:val="24"/>
                <w:szCs w:val="24"/>
                <w:highlight w:val="none"/>
                <w:lang w:val="en-US" w:eastAsia="zh-CN"/>
              </w:rPr>
              <w:t>则通过随机抽取确认中标单位</w:t>
            </w:r>
            <w:r>
              <w:rPr>
                <w:rFonts w:hint="eastAsia" w:ascii="宋体" w:hAnsi="宋体" w:cs="宋体"/>
                <w:color w:val="auto"/>
                <w:sz w:val="24"/>
                <w:szCs w:val="24"/>
                <w:highlight w:val="none"/>
              </w:rPr>
              <w:t>。</w:t>
            </w:r>
          </w:p>
        </w:tc>
      </w:tr>
    </w:tbl>
    <w:p w14:paraId="71454C40">
      <w:pPr>
        <w:tabs>
          <w:tab w:val="left" w:pos="1080"/>
        </w:tabs>
        <w:spacing w:line="360" w:lineRule="auto"/>
        <w:rPr>
          <w:rFonts w:ascii="宋体" w:hAnsi="宋体" w:cs="宋体"/>
          <w:color w:val="auto"/>
          <w:sz w:val="24"/>
          <w:highlight w:val="none"/>
        </w:rPr>
      </w:pPr>
    </w:p>
    <w:p w14:paraId="3A48710E">
      <w:pPr>
        <w:pStyle w:val="3"/>
        <w:pageBreakBefore/>
        <w:spacing w:beforeLines="50" w:afterLines="50" w:line="470" w:lineRule="exact"/>
        <w:jc w:val="center"/>
        <w:rPr>
          <w:rFonts w:ascii="宋体" w:hAnsi="宋体" w:cs="宋体"/>
          <w:color w:val="auto"/>
          <w:sz w:val="24"/>
          <w:szCs w:val="24"/>
          <w:highlight w:val="none"/>
        </w:rPr>
      </w:pPr>
      <w:bookmarkStart w:id="17" w:name="_Toc36974353"/>
      <w:bookmarkStart w:id="18" w:name="_Toc36973998"/>
      <w:bookmarkStart w:id="19" w:name="_Toc36974064"/>
      <w:bookmarkStart w:id="20" w:name="_Toc32815552"/>
      <w:bookmarkStart w:id="21" w:name="_Toc36974302"/>
      <w:bookmarkStart w:id="22" w:name="_Toc36974220"/>
      <w:bookmarkStart w:id="23" w:name="_Toc36973211"/>
      <w:bookmarkStart w:id="24" w:name="_Toc36885867"/>
      <w:bookmarkStart w:id="25" w:name="_Toc36867053"/>
      <w:bookmarkStart w:id="26" w:name="_Toc37236853"/>
      <w:bookmarkStart w:id="27" w:name="_Toc526873904"/>
      <w:r>
        <w:rPr>
          <w:rFonts w:hint="eastAsia" w:ascii="宋体" w:hAnsi="宋体" w:cs="宋体"/>
          <w:color w:val="auto"/>
          <w:sz w:val="24"/>
          <w:szCs w:val="24"/>
          <w:highlight w:val="none"/>
        </w:rPr>
        <w:t xml:space="preserve">第一节　总 </w:t>
      </w:r>
      <w:bookmarkEnd w:id="17"/>
      <w:bookmarkEnd w:id="18"/>
      <w:bookmarkEnd w:id="19"/>
      <w:bookmarkEnd w:id="20"/>
      <w:bookmarkEnd w:id="21"/>
      <w:bookmarkEnd w:id="22"/>
      <w:bookmarkEnd w:id="23"/>
      <w:bookmarkEnd w:id="24"/>
      <w:bookmarkEnd w:id="25"/>
      <w:bookmarkEnd w:id="26"/>
      <w:r>
        <w:rPr>
          <w:rFonts w:hint="eastAsia" w:ascii="宋体" w:hAnsi="宋体" w:cs="宋体"/>
          <w:color w:val="auto"/>
          <w:sz w:val="24"/>
          <w:szCs w:val="24"/>
          <w:highlight w:val="none"/>
        </w:rPr>
        <w:t>则</w:t>
      </w:r>
      <w:bookmarkEnd w:id="27"/>
    </w:p>
    <w:p w14:paraId="422DA423">
      <w:pPr>
        <w:pStyle w:val="3"/>
        <w:numPr>
          <w:ilvl w:val="0"/>
          <w:numId w:val="11"/>
        </w:numPr>
        <w:spacing w:before="0" w:after="0" w:line="470" w:lineRule="exact"/>
        <w:ind w:hanging="902"/>
        <w:jc w:val="left"/>
        <w:rPr>
          <w:rFonts w:ascii="宋体" w:hAnsi="宋体" w:cs="宋体"/>
          <w:color w:val="auto"/>
          <w:sz w:val="24"/>
          <w:szCs w:val="24"/>
          <w:highlight w:val="none"/>
        </w:rPr>
      </w:pPr>
      <w:bookmarkStart w:id="28" w:name="_Toc341834116"/>
      <w:bookmarkStart w:id="29" w:name="_Toc160543033"/>
      <w:bookmarkStart w:id="30" w:name="_Toc381261946"/>
      <w:bookmarkStart w:id="31" w:name="_Toc526873905"/>
      <w:bookmarkStart w:id="32" w:name="_Toc341650736"/>
      <w:bookmarkStart w:id="33" w:name="_Toc51489353"/>
      <w:r>
        <w:rPr>
          <w:rFonts w:hint="eastAsia" w:ascii="宋体" w:hAnsi="宋体" w:cs="宋体"/>
          <w:color w:val="auto"/>
          <w:sz w:val="24"/>
          <w:szCs w:val="24"/>
          <w:highlight w:val="none"/>
        </w:rPr>
        <w:t>适用范围</w:t>
      </w:r>
      <w:bookmarkEnd w:id="28"/>
      <w:bookmarkEnd w:id="29"/>
      <w:bookmarkEnd w:id="30"/>
      <w:bookmarkEnd w:id="31"/>
      <w:bookmarkEnd w:id="32"/>
    </w:p>
    <w:p w14:paraId="5D896B13">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本询价文件仅适用于</w:t>
      </w:r>
      <w:r>
        <w:rPr>
          <w:rFonts w:hint="eastAsia" w:ascii="宋体" w:hAnsi="宋体" w:cs="宋体"/>
          <w:color w:val="auto"/>
          <w:sz w:val="24"/>
          <w:szCs w:val="24"/>
          <w:highlight w:val="none"/>
          <w:lang w:eastAsia="zh-CN"/>
        </w:rPr>
        <w:t>询价邀请</w:t>
      </w:r>
      <w:r>
        <w:rPr>
          <w:rFonts w:hint="eastAsia" w:ascii="宋体" w:hAnsi="宋体" w:cs="宋体"/>
          <w:color w:val="auto"/>
          <w:sz w:val="24"/>
          <w:szCs w:val="24"/>
          <w:highlight w:val="none"/>
        </w:rPr>
        <w:t>中所述项目的货物及服务采购。</w:t>
      </w:r>
    </w:p>
    <w:p w14:paraId="01EF2926">
      <w:pPr>
        <w:pStyle w:val="3"/>
        <w:numPr>
          <w:ilvl w:val="0"/>
          <w:numId w:val="11"/>
        </w:numPr>
        <w:spacing w:before="0" w:after="0" w:line="470" w:lineRule="exact"/>
        <w:ind w:hanging="902"/>
        <w:rPr>
          <w:rFonts w:ascii="宋体" w:hAnsi="宋体" w:cs="宋体"/>
          <w:color w:val="auto"/>
          <w:sz w:val="24"/>
          <w:szCs w:val="24"/>
          <w:highlight w:val="none"/>
        </w:rPr>
      </w:pPr>
      <w:bookmarkStart w:id="34" w:name="_Toc341834117"/>
      <w:bookmarkStart w:id="35" w:name="_Toc381261947"/>
      <w:bookmarkStart w:id="36" w:name="_Toc160543034"/>
      <w:bookmarkStart w:id="37" w:name="_Toc526873906"/>
      <w:bookmarkStart w:id="38" w:name="_Toc341650737"/>
      <w:r>
        <w:rPr>
          <w:rFonts w:hint="eastAsia" w:ascii="宋体" w:hAnsi="宋体" w:cs="宋体"/>
          <w:color w:val="auto"/>
          <w:sz w:val="24"/>
          <w:szCs w:val="24"/>
          <w:highlight w:val="none"/>
        </w:rPr>
        <w:t>定义</w:t>
      </w:r>
      <w:bookmarkEnd w:id="34"/>
      <w:bookmarkEnd w:id="35"/>
      <w:bookmarkEnd w:id="36"/>
      <w:bookmarkEnd w:id="37"/>
      <w:bookmarkEnd w:id="38"/>
    </w:p>
    <w:p w14:paraId="29F60D78">
      <w:pPr>
        <w:pStyle w:val="90"/>
        <w:numPr>
          <w:ilvl w:val="0"/>
          <w:numId w:val="12"/>
        </w:numPr>
        <w:tabs>
          <w:tab w:val="left" w:pos="1249"/>
        </w:tabs>
        <w:spacing w:line="470" w:lineRule="exact"/>
        <w:ind w:firstLineChars="0"/>
        <w:rPr>
          <w:rFonts w:ascii="宋体" w:hAnsi="宋体" w:cs="宋体"/>
          <w:vanish/>
          <w:color w:val="auto"/>
          <w:sz w:val="24"/>
          <w:szCs w:val="24"/>
          <w:highlight w:val="none"/>
        </w:rPr>
      </w:pPr>
      <w:bookmarkStart w:id="39" w:name="_Toc160543035"/>
    </w:p>
    <w:p w14:paraId="3AA4C2B9">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“采购人”系指本次采购项目的业主方。</w:t>
      </w:r>
    </w:p>
    <w:p w14:paraId="6858ED6F">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“采购代理机构”系指受采购人委托代理本次采购项目活动的组织方。</w:t>
      </w:r>
    </w:p>
    <w:p w14:paraId="69109B88">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“供应商”系指响应采购需求并且符合采购规定资格条件和参加</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的法人、其他组织或者自然人。</w:t>
      </w:r>
    </w:p>
    <w:p w14:paraId="686A8D04">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“货物”系指各种形态和种类的物品，包括原材料、燃料、设备、产品等。</w:t>
      </w:r>
    </w:p>
    <w:p w14:paraId="2031272D">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“服务”系指安装、调试、技术协助、校准、培训及其它类似的义务。</w:t>
      </w:r>
    </w:p>
    <w:p w14:paraId="64AA9118">
      <w:pPr>
        <w:pStyle w:val="3"/>
        <w:numPr>
          <w:ilvl w:val="0"/>
          <w:numId w:val="11"/>
        </w:numPr>
        <w:spacing w:before="0" w:after="0" w:line="470" w:lineRule="exact"/>
        <w:ind w:hanging="902"/>
        <w:rPr>
          <w:rFonts w:ascii="宋体" w:hAnsi="宋体" w:cs="宋体"/>
          <w:color w:val="auto"/>
          <w:sz w:val="24"/>
          <w:szCs w:val="24"/>
          <w:highlight w:val="none"/>
        </w:rPr>
      </w:pPr>
      <w:bookmarkStart w:id="40" w:name="_Toc341834118"/>
      <w:bookmarkStart w:id="41" w:name="_Toc341650738"/>
      <w:bookmarkStart w:id="42" w:name="_Toc339898485"/>
      <w:bookmarkStart w:id="43" w:name="_Toc526873907"/>
      <w:bookmarkStart w:id="44" w:name="_Toc381261948"/>
      <w:r>
        <w:rPr>
          <w:rFonts w:hint="eastAsia" w:ascii="宋体" w:hAnsi="宋体" w:cs="宋体"/>
          <w:color w:val="auto"/>
          <w:sz w:val="24"/>
          <w:szCs w:val="24"/>
          <w:highlight w:val="none"/>
        </w:rPr>
        <w:t>合格的供应商</w:t>
      </w:r>
      <w:bookmarkEnd w:id="40"/>
      <w:bookmarkEnd w:id="41"/>
      <w:bookmarkEnd w:id="42"/>
      <w:bookmarkEnd w:id="43"/>
      <w:bookmarkEnd w:id="44"/>
    </w:p>
    <w:p w14:paraId="5F51776D">
      <w:pPr>
        <w:pStyle w:val="90"/>
        <w:numPr>
          <w:ilvl w:val="0"/>
          <w:numId w:val="12"/>
        </w:numPr>
        <w:spacing w:line="470" w:lineRule="exact"/>
        <w:ind w:firstLineChars="0"/>
        <w:rPr>
          <w:rFonts w:ascii="宋体" w:hAnsi="宋体" w:cs="宋体"/>
          <w:vanish/>
          <w:color w:val="auto"/>
          <w:sz w:val="24"/>
          <w:szCs w:val="24"/>
          <w:highlight w:val="none"/>
        </w:rPr>
      </w:pPr>
    </w:p>
    <w:p w14:paraId="7E640E55">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凡有能力提供本询价文件所述货物及服务的，符合本询价文件规定资格要求的境内供应商均可能成为合格的供应商。</w:t>
      </w:r>
    </w:p>
    <w:p w14:paraId="2F12AEB1">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供应商应遵守有关法律、法规和规章的规定，同时其响应货物或服务也应符合有关法律、法规和规章的规定。</w:t>
      </w:r>
    </w:p>
    <w:p w14:paraId="276FEEAA">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一个供应商只能提交一个响应文件。如果供应商之间存在下列互为关联关系的情形之一的，不得同时参加本项目</w:t>
      </w:r>
      <w:r>
        <w:rPr>
          <w:rFonts w:hint="eastAsia" w:ascii="宋体" w:hAnsi="宋体" w:cs="宋体"/>
          <w:color w:val="auto"/>
          <w:sz w:val="24"/>
          <w:szCs w:val="24"/>
          <w:highlight w:val="none"/>
          <w:lang w:eastAsia="zh-CN"/>
        </w:rPr>
        <w:t>询价</w:t>
      </w:r>
      <w:r>
        <w:rPr>
          <w:rFonts w:hint="eastAsia" w:ascii="宋体" w:hAnsi="宋体" w:cs="宋体"/>
          <w:color w:val="auto"/>
          <w:sz w:val="24"/>
          <w:szCs w:val="24"/>
          <w:highlight w:val="none"/>
        </w:rPr>
        <w:t>：</w:t>
      </w:r>
    </w:p>
    <w:p w14:paraId="73853104">
      <w:pPr>
        <w:pStyle w:val="23"/>
        <w:numPr>
          <w:ilvl w:val="2"/>
          <w:numId w:val="12"/>
        </w:numPr>
        <w:tabs>
          <w:tab w:val="left" w:pos="360"/>
          <w:tab w:val="left" w:pos="540"/>
          <w:tab w:val="left" w:pos="1276"/>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法定代表人、单位负责人为同一人或夫妻关系的不同供应商；</w:t>
      </w:r>
    </w:p>
    <w:p w14:paraId="53594CF9">
      <w:pPr>
        <w:pStyle w:val="23"/>
        <w:numPr>
          <w:ilvl w:val="2"/>
          <w:numId w:val="12"/>
        </w:numPr>
        <w:tabs>
          <w:tab w:val="left" w:pos="360"/>
          <w:tab w:val="left" w:pos="540"/>
          <w:tab w:val="left" w:pos="1276"/>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存在直接控股、管理关系的不同供应商；</w:t>
      </w:r>
    </w:p>
    <w:p w14:paraId="5251A71A">
      <w:pPr>
        <w:pStyle w:val="23"/>
        <w:numPr>
          <w:ilvl w:val="2"/>
          <w:numId w:val="12"/>
        </w:numPr>
        <w:tabs>
          <w:tab w:val="left" w:pos="360"/>
          <w:tab w:val="left" w:pos="540"/>
          <w:tab w:val="left" w:pos="1276"/>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均为同一家母公司直接或间接持股50％及以上的被投资公司。</w:t>
      </w:r>
    </w:p>
    <w:p w14:paraId="2D4EC917">
      <w:pPr>
        <w:pStyle w:val="23"/>
        <w:numPr>
          <w:ilvl w:val="2"/>
          <w:numId w:val="12"/>
        </w:numPr>
        <w:tabs>
          <w:tab w:val="left" w:pos="360"/>
          <w:tab w:val="left" w:pos="540"/>
          <w:tab w:val="left" w:pos="1276"/>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单位负责人（董事长或总经理）为同一人的不同单位，不得参加同一合同包的</w:t>
      </w:r>
      <w:r>
        <w:rPr>
          <w:rFonts w:hint="eastAsia" w:ascii="宋体" w:hAnsi="宋体" w:cs="宋体"/>
          <w:color w:val="auto"/>
          <w:sz w:val="24"/>
          <w:highlight w:val="none"/>
          <w:lang w:eastAsia="zh-CN"/>
        </w:rPr>
        <w:t>响应</w:t>
      </w:r>
      <w:r>
        <w:rPr>
          <w:rFonts w:hint="eastAsia" w:ascii="宋体" w:hAnsi="宋体" w:cs="宋体"/>
          <w:color w:val="auto"/>
          <w:sz w:val="24"/>
          <w:highlight w:val="none"/>
        </w:rPr>
        <w:t>。</w:t>
      </w:r>
    </w:p>
    <w:p w14:paraId="5467B2F5">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代理人在同一个项目中只能接受一个供应商的委托参加</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w:t>
      </w:r>
    </w:p>
    <w:p w14:paraId="6049B5AD">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供应商之间存在下列情形之一的，将被认定为串通</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行为并作无效</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处理：</w:t>
      </w:r>
    </w:p>
    <w:p w14:paraId="00C2EDC5">
      <w:pPr>
        <w:pStyle w:val="23"/>
        <w:numPr>
          <w:ilvl w:val="2"/>
          <w:numId w:val="12"/>
        </w:numPr>
        <w:tabs>
          <w:tab w:val="left" w:pos="360"/>
          <w:tab w:val="left" w:pos="540"/>
          <w:tab w:val="left" w:pos="1276"/>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不同供应商的响应文件错、漏之处一致或雷同，且不能合理解释的；</w:t>
      </w:r>
    </w:p>
    <w:p w14:paraId="39E4BF89">
      <w:pPr>
        <w:pStyle w:val="23"/>
        <w:numPr>
          <w:ilvl w:val="2"/>
          <w:numId w:val="12"/>
        </w:numPr>
        <w:tabs>
          <w:tab w:val="left" w:pos="360"/>
          <w:tab w:val="left" w:pos="540"/>
          <w:tab w:val="left" w:pos="1276"/>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不同供应商的法定代表人、委托代理人等由同一个单位缴纳社会保险的；</w:t>
      </w:r>
    </w:p>
    <w:p w14:paraId="5304A54B">
      <w:pPr>
        <w:pStyle w:val="23"/>
        <w:numPr>
          <w:ilvl w:val="2"/>
          <w:numId w:val="12"/>
        </w:numPr>
        <w:tabs>
          <w:tab w:val="left" w:pos="360"/>
          <w:tab w:val="left" w:pos="540"/>
          <w:tab w:val="left" w:pos="1276"/>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由同一人或分别由几个有利害关系的人携带两个以上（含两个）供应商的企业资料参与资格审查、领取询价文件资料，或代表两个以上（含两个）供应商参加答疑会、</w:t>
      </w:r>
      <w:r>
        <w:rPr>
          <w:rFonts w:hint="eastAsia" w:ascii="宋体" w:hAnsi="宋体" w:cs="宋体"/>
          <w:color w:val="auto"/>
          <w:sz w:val="24"/>
          <w:highlight w:val="none"/>
          <w:lang w:eastAsia="zh-CN"/>
        </w:rPr>
        <w:t>响应</w:t>
      </w:r>
      <w:r>
        <w:rPr>
          <w:rFonts w:hint="eastAsia" w:ascii="宋体" w:hAnsi="宋体" w:cs="宋体"/>
          <w:color w:val="auto"/>
          <w:sz w:val="24"/>
          <w:highlight w:val="none"/>
        </w:rPr>
        <w:t>的；</w:t>
      </w:r>
    </w:p>
    <w:p w14:paraId="50F7DF5B">
      <w:pPr>
        <w:pStyle w:val="23"/>
        <w:numPr>
          <w:ilvl w:val="2"/>
          <w:numId w:val="12"/>
        </w:numPr>
        <w:tabs>
          <w:tab w:val="left" w:pos="360"/>
          <w:tab w:val="left" w:pos="540"/>
          <w:tab w:val="left" w:pos="1276"/>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供应商之间协商报价等询价文件的实质性内容；</w:t>
      </w:r>
    </w:p>
    <w:p w14:paraId="56746048">
      <w:pPr>
        <w:pStyle w:val="23"/>
        <w:numPr>
          <w:ilvl w:val="2"/>
          <w:numId w:val="12"/>
        </w:numPr>
        <w:tabs>
          <w:tab w:val="left" w:pos="360"/>
          <w:tab w:val="left" w:pos="540"/>
          <w:tab w:val="left" w:pos="1276"/>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供应商之间约定成交人；</w:t>
      </w:r>
    </w:p>
    <w:p w14:paraId="442ECACF">
      <w:pPr>
        <w:pStyle w:val="23"/>
        <w:numPr>
          <w:ilvl w:val="2"/>
          <w:numId w:val="12"/>
        </w:numPr>
        <w:tabs>
          <w:tab w:val="left" w:pos="360"/>
          <w:tab w:val="left" w:pos="540"/>
          <w:tab w:val="left" w:pos="1276"/>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供应商之间约定部分供应商放弃</w:t>
      </w:r>
      <w:r>
        <w:rPr>
          <w:rFonts w:hint="eastAsia" w:ascii="宋体" w:hAnsi="宋体" w:cs="宋体"/>
          <w:color w:val="auto"/>
          <w:sz w:val="24"/>
          <w:highlight w:val="none"/>
          <w:lang w:eastAsia="zh-CN"/>
        </w:rPr>
        <w:t>响应</w:t>
      </w:r>
      <w:r>
        <w:rPr>
          <w:rFonts w:hint="eastAsia" w:ascii="宋体" w:hAnsi="宋体" w:cs="宋体"/>
          <w:color w:val="auto"/>
          <w:sz w:val="24"/>
          <w:highlight w:val="none"/>
        </w:rPr>
        <w:t>或者成交；</w:t>
      </w:r>
    </w:p>
    <w:p w14:paraId="6CD6F6A9">
      <w:pPr>
        <w:pStyle w:val="23"/>
        <w:numPr>
          <w:ilvl w:val="2"/>
          <w:numId w:val="12"/>
        </w:numPr>
        <w:tabs>
          <w:tab w:val="left" w:pos="360"/>
          <w:tab w:val="left" w:pos="540"/>
          <w:tab w:val="left" w:pos="1276"/>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属于同一集团、协会、商会等组织成员的供应商按照该组织要求协同</w:t>
      </w:r>
      <w:r>
        <w:rPr>
          <w:rFonts w:hint="eastAsia" w:ascii="宋体" w:hAnsi="宋体" w:cs="宋体"/>
          <w:color w:val="auto"/>
          <w:sz w:val="24"/>
          <w:highlight w:val="none"/>
          <w:lang w:eastAsia="zh-CN"/>
        </w:rPr>
        <w:t>响应</w:t>
      </w:r>
      <w:r>
        <w:rPr>
          <w:rFonts w:hint="eastAsia" w:ascii="宋体" w:hAnsi="宋体" w:cs="宋体"/>
          <w:color w:val="auto"/>
          <w:sz w:val="24"/>
          <w:highlight w:val="none"/>
        </w:rPr>
        <w:t>；</w:t>
      </w:r>
    </w:p>
    <w:p w14:paraId="4780186F">
      <w:pPr>
        <w:pStyle w:val="23"/>
        <w:numPr>
          <w:ilvl w:val="2"/>
          <w:numId w:val="12"/>
        </w:numPr>
        <w:tabs>
          <w:tab w:val="left" w:pos="360"/>
          <w:tab w:val="left" w:pos="540"/>
          <w:tab w:val="left" w:pos="1276"/>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供应商之间为谋取成交或者排斥特定供应商而采取的其他联合行动；</w:t>
      </w:r>
    </w:p>
    <w:p w14:paraId="30F9D50C">
      <w:pPr>
        <w:pStyle w:val="23"/>
        <w:numPr>
          <w:ilvl w:val="2"/>
          <w:numId w:val="12"/>
        </w:numPr>
        <w:tabs>
          <w:tab w:val="left" w:pos="360"/>
          <w:tab w:val="left" w:pos="540"/>
          <w:tab w:val="left" w:pos="1276"/>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不同供应商的响应文件由同一单位或者个人编制；</w:t>
      </w:r>
    </w:p>
    <w:p w14:paraId="68B9413D">
      <w:pPr>
        <w:pStyle w:val="23"/>
        <w:numPr>
          <w:ilvl w:val="2"/>
          <w:numId w:val="12"/>
        </w:numPr>
        <w:tabs>
          <w:tab w:val="left" w:pos="360"/>
          <w:tab w:val="left" w:pos="540"/>
          <w:tab w:val="left" w:pos="1276"/>
          <w:tab w:val="left" w:pos="1418"/>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不同供应商委托同一单位或者个人办理</w:t>
      </w:r>
      <w:r>
        <w:rPr>
          <w:rFonts w:hint="eastAsia" w:ascii="宋体" w:hAnsi="宋体" w:cs="宋体"/>
          <w:color w:val="auto"/>
          <w:sz w:val="24"/>
          <w:highlight w:val="none"/>
          <w:lang w:eastAsia="zh-CN"/>
        </w:rPr>
        <w:t>响应</w:t>
      </w:r>
      <w:r>
        <w:rPr>
          <w:rFonts w:hint="eastAsia" w:ascii="宋体" w:hAnsi="宋体" w:cs="宋体"/>
          <w:color w:val="auto"/>
          <w:sz w:val="24"/>
          <w:highlight w:val="none"/>
        </w:rPr>
        <w:t>事宜；</w:t>
      </w:r>
    </w:p>
    <w:p w14:paraId="2FBEB761">
      <w:pPr>
        <w:pStyle w:val="23"/>
        <w:numPr>
          <w:ilvl w:val="2"/>
          <w:numId w:val="12"/>
        </w:numPr>
        <w:tabs>
          <w:tab w:val="left" w:pos="360"/>
          <w:tab w:val="left" w:pos="540"/>
          <w:tab w:val="left" w:pos="1276"/>
          <w:tab w:val="left" w:pos="1418"/>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不同供应商的响应文件载明的项目管理成员为同一人；</w:t>
      </w:r>
    </w:p>
    <w:p w14:paraId="4B46ADA7">
      <w:pPr>
        <w:pStyle w:val="23"/>
        <w:numPr>
          <w:ilvl w:val="2"/>
          <w:numId w:val="12"/>
        </w:numPr>
        <w:tabs>
          <w:tab w:val="left" w:pos="360"/>
          <w:tab w:val="left" w:pos="540"/>
          <w:tab w:val="left" w:pos="1276"/>
          <w:tab w:val="left" w:pos="1418"/>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不同供应商的响应文件异常一致或者报价呈规律性差异；</w:t>
      </w:r>
    </w:p>
    <w:p w14:paraId="4EC1767A">
      <w:pPr>
        <w:pStyle w:val="23"/>
        <w:numPr>
          <w:ilvl w:val="2"/>
          <w:numId w:val="12"/>
        </w:numPr>
        <w:tabs>
          <w:tab w:val="left" w:pos="360"/>
          <w:tab w:val="left" w:pos="540"/>
          <w:tab w:val="left" w:pos="1276"/>
          <w:tab w:val="left" w:pos="1418"/>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不同供应商的响应文件相互混装；</w:t>
      </w:r>
    </w:p>
    <w:p w14:paraId="151FF756">
      <w:pPr>
        <w:pStyle w:val="23"/>
        <w:numPr>
          <w:ilvl w:val="2"/>
          <w:numId w:val="12"/>
        </w:numPr>
        <w:tabs>
          <w:tab w:val="left" w:pos="360"/>
          <w:tab w:val="left" w:pos="540"/>
          <w:tab w:val="left" w:pos="1276"/>
          <w:tab w:val="left" w:pos="1418"/>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有关法律、法规或规章规定的其他串通行为。</w:t>
      </w:r>
    </w:p>
    <w:p w14:paraId="116ABB9B">
      <w:pPr>
        <w:pStyle w:val="3"/>
        <w:numPr>
          <w:ilvl w:val="0"/>
          <w:numId w:val="11"/>
        </w:numPr>
        <w:spacing w:before="0" w:after="0" w:line="470" w:lineRule="exact"/>
        <w:ind w:hanging="902"/>
        <w:rPr>
          <w:rFonts w:ascii="宋体" w:hAnsi="宋体" w:cs="宋体"/>
          <w:color w:val="auto"/>
          <w:sz w:val="24"/>
          <w:szCs w:val="24"/>
          <w:highlight w:val="none"/>
        </w:rPr>
      </w:pPr>
      <w:bookmarkStart w:id="45" w:name="_Toc341834119"/>
      <w:bookmarkStart w:id="46" w:name="_Toc381261949"/>
      <w:bookmarkStart w:id="47" w:name="_Toc526873908"/>
      <w:bookmarkStart w:id="48" w:name="_Toc341650739"/>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费用</w:t>
      </w:r>
      <w:bookmarkEnd w:id="39"/>
      <w:bookmarkEnd w:id="45"/>
      <w:bookmarkEnd w:id="46"/>
      <w:bookmarkEnd w:id="47"/>
      <w:bookmarkEnd w:id="48"/>
    </w:p>
    <w:p w14:paraId="02C0B0C4">
      <w:pPr>
        <w:pStyle w:val="90"/>
        <w:numPr>
          <w:ilvl w:val="0"/>
          <w:numId w:val="12"/>
        </w:numPr>
        <w:spacing w:line="470" w:lineRule="exact"/>
        <w:ind w:firstLineChars="0"/>
        <w:rPr>
          <w:rFonts w:ascii="宋体" w:hAnsi="宋体" w:cs="宋体"/>
          <w:vanish/>
          <w:color w:val="auto"/>
          <w:sz w:val="24"/>
          <w:szCs w:val="24"/>
          <w:highlight w:val="none"/>
        </w:rPr>
      </w:pPr>
    </w:p>
    <w:p w14:paraId="195FBCCF">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供应商应承担所有与准备和参加</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有关的全部费用。</w:t>
      </w:r>
    </w:p>
    <w:p w14:paraId="54C3DCEF">
      <w:pPr>
        <w:pStyle w:val="3"/>
        <w:spacing w:line="470" w:lineRule="exact"/>
        <w:jc w:val="center"/>
        <w:rPr>
          <w:rFonts w:ascii="宋体" w:hAnsi="宋体" w:cs="宋体"/>
          <w:color w:val="auto"/>
          <w:sz w:val="24"/>
          <w:szCs w:val="24"/>
          <w:highlight w:val="none"/>
        </w:rPr>
      </w:pPr>
      <w:bookmarkStart w:id="49" w:name="_Toc526873909"/>
      <w:bookmarkStart w:id="50" w:name="_Toc265590439"/>
      <w:bookmarkStart w:id="51" w:name="_Toc341650740"/>
      <w:bookmarkStart w:id="52" w:name="_Toc340069172"/>
      <w:bookmarkStart w:id="53" w:name="_Toc206557773"/>
      <w:bookmarkStart w:id="54" w:name="_Toc22987880"/>
      <w:bookmarkStart w:id="55" w:name="_Toc160543036"/>
      <w:bookmarkStart w:id="56" w:name="_Toc341834120"/>
      <w:bookmarkStart w:id="57" w:name="_Toc381261950"/>
      <w:r>
        <w:rPr>
          <w:rFonts w:hint="eastAsia" w:ascii="宋体" w:hAnsi="宋体" w:cs="宋体"/>
          <w:color w:val="auto"/>
          <w:sz w:val="24"/>
          <w:szCs w:val="24"/>
          <w:highlight w:val="none"/>
        </w:rPr>
        <w:t xml:space="preserve">第二节  </w:t>
      </w:r>
      <w:bookmarkEnd w:id="49"/>
      <w:bookmarkEnd w:id="50"/>
      <w:bookmarkEnd w:id="51"/>
      <w:bookmarkEnd w:id="52"/>
      <w:bookmarkEnd w:id="53"/>
      <w:bookmarkEnd w:id="54"/>
      <w:bookmarkEnd w:id="55"/>
      <w:bookmarkEnd w:id="56"/>
      <w:bookmarkEnd w:id="57"/>
      <w:r>
        <w:rPr>
          <w:rFonts w:hint="eastAsia" w:ascii="宋体" w:hAnsi="宋体" w:cs="宋体"/>
          <w:color w:val="auto"/>
          <w:sz w:val="24"/>
          <w:szCs w:val="24"/>
          <w:highlight w:val="none"/>
        </w:rPr>
        <w:t>询价文件</w:t>
      </w:r>
    </w:p>
    <w:p w14:paraId="4A7AA128">
      <w:pPr>
        <w:pStyle w:val="3"/>
        <w:numPr>
          <w:ilvl w:val="0"/>
          <w:numId w:val="11"/>
        </w:numPr>
        <w:spacing w:before="0" w:after="0" w:line="470" w:lineRule="exact"/>
        <w:ind w:hanging="902"/>
        <w:rPr>
          <w:rFonts w:ascii="宋体" w:hAnsi="宋体" w:cs="宋体"/>
          <w:color w:val="auto"/>
          <w:sz w:val="24"/>
          <w:szCs w:val="24"/>
          <w:highlight w:val="none"/>
        </w:rPr>
      </w:pPr>
      <w:bookmarkStart w:id="58" w:name="_Toc341650741"/>
      <w:bookmarkStart w:id="59" w:name="_Toc340069173"/>
      <w:bookmarkStart w:id="60" w:name="_Toc327281477"/>
      <w:bookmarkStart w:id="61" w:name="_Toc381261951"/>
      <w:bookmarkStart w:id="62" w:name="_Toc341834121"/>
      <w:bookmarkStart w:id="63" w:name="_Toc526873910"/>
      <w:r>
        <w:rPr>
          <w:rFonts w:hint="eastAsia" w:ascii="宋体" w:hAnsi="宋体" w:cs="宋体"/>
          <w:color w:val="auto"/>
          <w:sz w:val="24"/>
          <w:szCs w:val="24"/>
          <w:highlight w:val="none"/>
        </w:rPr>
        <w:t>询价文件的组成</w:t>
      </w:r>
      <w:bookmarkEnd w:id="58"/>
      <w:bookmarkEnd w:id="59"/>
      <w:bookmarkEnd w:id="60"/>
      <w:bookmarkEnd w:id="61"/>
      <w:bookmarkEnd w:id="62"/>
      <w:bookmarkEnd w:id="63"/>
    </w:p>
    <w:p w14:paraId="26DA657C">
      <w:pPr>
        <w:pStyle w:val="90"/>
        <w:numPr>
          <w:ilvl w:val="0"/>
          <w:numId w:val="12"/>
        </w:numPr>
        <w:spacing w:line="470" w:lineRule="exact"/>
        <w:ind w:firstLineChars="0"/>
        <w:rPr>
          <w:rFonts w:ascii="宋体" w:hAnsi="宋体" w:cs="宋体"/>
          <w:vanish/>
          <w:color w:val="auto"/>
          <w:sz w:val="24"/>
          <w:szCs w:val="24"/>
          <w:highlight w:val="none"/>
        </w:rPr>
      </w:pPr>
    </w:p>
    <w:p w14:paraId="6771558C">
      <w:pPr>
        <w:spacing w:line="470" w:lineRule="exact"/>
        <w:ind w:firstLine="480"/>
        <w:rPr>
          <w:rFonts w:ascii="宋体" w:hAnsi="宋体" w:cs="宋体"/>
          <w:color w:val="auto"/>
          <w:sz w:val="24"/>
          <w:szCs w:val="24"/>
          <w:highlight w:val="none"/>
        </w:rPr>
      </w:pPr>
      <w:r>
        <w:rPr>
          <w:rFonts w:hint="eastAsia" w:ascii="宋体" w:hAnsi="宋体" w:cs="宋体"/>
          <w:color w:val="auto"/>
          <w:sz w:val="24"/>
          <w:szCs w:val="24"/>
          <w:highlight w:val="none"/>
        </w:rPr>
        <w:t>询价文件用以阐明所需货物及服务询价程序、内容和合同主要条款。询价文件由下述部分组成：</w:t>
      </w:r>
    </w:p>
    <w:p w14:paraId="6E5AC7A4">
      <w:pPr>
        <w:spacing w:line="470" w:lineRule="exact"/>
        <w:ind w:firstLine="48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（1）询价</w:t>
      </w:r>
      <w:r>
        <w:rPr>
          <w:rFonts w:hint="eastAsia" w:ascii="宋体" w:hAnsi="宋体" w:cs="宋体"/>
          <w:color w:val="auto"/>
          <w:sz w:val="24"/>
          <w:szCs w:val="24"/>
          <w:highlight w:val="none"/>
          <w:lang w:eastAsia="zh-CN"/>
        </w:rPr>
        <w:t>邀请</w:t>
      </w:r>
    </w:p>
    <w:p w14:paraId="55A2B362">
      <w:pPr>
        <w:spacing w:line="470" w:lineRule="exact"/>
        <w:ind w:firstLine="480"/>
        <w:rPr>
          <w:rFonts w:ascii="宋体" w:hAnsi="宋体" w:cs="宋体"/>
          <w:color w:val="auto"/>
          <w:sz w:val="24"/>
          <w:szCs w:val="24"/>
          <w:highlight w:val="none"/>
        </w:rPr>
      </w:pPr>
      <w:r>
        <w:rPr>
          <w:rFonts w:hint="eastAsia" w:ascii="宋体" w:hAnsi="宋体" w:cs="宋体"/>
          <w:color w:val="auto"/>
          <w:sz w:val="24"/>
          <w:szCs w:val="24"/>
          <w:highlight w:val="none"/>
        </w:rPr>
        <w:t xml:space="preserve">（2）供应商须知 </w:t>
      </w:r>
    </w:p>
    <w:p w14:paraId="6EBDF711">
      <w:pPr>
        <w:spacing w:line="470" w:lineRule="exact"/>
        <w:ind w:firstLine="480"/>
        <w:rPr>
          <w:rFonts w:ascii="宋体" w:hAnsi="宋体" w:cs="宋体"/>
          <w:color w:val="auto"/>
          <w:sz w:val="24"/>
          <w:szCs w:val="24"/>
          <w:highlight w:val="none"/>
        </w:rPr>
      </w:pPr>
      <w:r>
        <w:rPr>
          <w:rFonts w:hint="eastAsia" w:ascii="宋体" w:hAnsi="宋体" w:cs="宋体"/>
          <w:color w:val="auto"/>
          <w:sz w:val="24"/>
          <w:szCs w:val="24"/>
          <w:highlight w:val="none"/>
        </w:rPr>
        <w:t>（3）项目内容及要求</w:t>
      </w:r>
    </w:p>
    <w:p w14:paraId="6989A969">
      <w:pPr>
        <w:pStyle w:val="25"/>
        <w:spacing w:line="47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（4）合同（参考文本）</w:t>
      </w:r>
    </w:p>
    <w:p w14:paraId="4E0F9EDE">
      <w:pPr>
        <w:pStyle w:val="25"/>
        <w:spacing w:line="47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（5）响应文件格式</w:t>
      </w:r>
    </w:p>
    <w:p w14:paraId="32CDE4F3">
      <w:pPr>
        <w:pStyle w:val="3"/>
        <w:numPr>
          <w:ilvl w:val="0"/>
          <w:numId w:val="11"/>
        </w:numPr>
        <w:spacing w:before="0" w:after="0" w:line="470" w:lineRule="exact"/>
        <w:ind w:hanging="902"/>
        <w:rPr>
          <w:rFonts w:ascii="宋体" w:hAnsi="宋体" w:cs="宋体"/>
          <w:color w:val="auto"/>
          <w:sz w:val="24"/>
          <w:szCs w:val="24"/>
          <w:highlight w:val="none"/>
        </w:rPr>
      </w:pPr>
      <w:bookmarkStart w:id="64" w:name="_Toc340069174"/>
      <w:bookmarkStart w:id="65" w:name="_Toc327281478"/>
      <w:bookmarkStart w:id="66" w:name="_Toc341834122"/>
      <w:bookmarkStart w:id="67" w:name="_Toc381261952"/>
      <w:bookmarkStart w:id="68" w:name="_Toc341650742"/>
      <w:bookmarkStart w:id="69" w:name="_Toc526873911"/>
      <w:r>
        <w:rPr>
          <w:rFonts w:hint="eastAsia" w:ascii="宋体" w:hAnsi="宋体" w:cs="宋体"/>
          <w:color w:val="auto"/>
          <w:sz w:val="24"/>
          <w:szCs w:val="24"/>
          <w:highlight w:val="none"/>
        </w:rPr>
        <w:t>询价文件的澄清</w:t>
      </w:r>
      <w:bookmarkEnd w:id="64"/>
      <w:bookmarkEnd w:id="65"/>
      <w:bookmarkEnd w:id="66"/>
      <w:bookmarkEnd w:id="67"/>
      <w:bookmarkEnd w:id="68"/>
      <w:r>
        <w:rPr>
          <w:rFonts w:hint="eastAsia" w:ascii="宋体" w:hAnsi="宋体" w:cs="宋体"/>
          <w:color w:val="auto"/>
          <w:sz w:val="24"/>
          <w:szCs w:val="24"/>
          <w:highlight w:val="none"/>
        </w:rPr>
        <w:t>与修改</w:t>
      </w:r>
      <w:bookmarkEnd w:id="69"/>
    </w:p>
    <w:p w14:paraId="1041EC9F">
      <w:pPr>
        <w:pStyle w:val="90"/>
        <w:numPr>
          <w:ilvl w:val="0"/>
          <w:numId w:val="12"/>
        </w:numPr>
        <w:spacing w:line="470" w:lineRule="exact"/>
        <w:ind w:firstLineChars="0"/>
        <w:rPr>
          <w:rFonts w:ascii="宋体" w:hAnsi="宋体" w:cs="宋体"/>
          <w:vanish/>
          <w:color w:val="auto"/>
          <w:sz w:val="24"/>
          <w:szCs w:val="24"/>
          <w:highlight w:val="none"/>
        </w:rPr>
      </w:pPr>
    </w:p>
    <w:p w14:paraId="2879AA2B">
      <w:pPr>
        <w:numPr>
          <w:ilvl w:val="1"/>
          <w:numId w:val="12"/>
        </w:numPr>
        <w:tabs>
          <w:tab w:val="left" w:pos="1019"/>
          <w:tab w:val="left" w:pos="1107"/>
        </w:tabs>
        <w:spacing w:line="470" w:lineRule="exact"/>
        <w:ind w:left="55" w:firstLine="519"/>
        <w:rPr>
          <w:rFonts w:ascii="宋体" w:hAnsi="宋体" w:cs="宋体"/>
          <w:color w:val="auto"/>
          <w:sz w:val="24"/>
          <w:szCs w:val="24"/>
          <w:highlight w:val="none"/>
        </w:rPr>
      </w:pPr>
      <w:r>
        <w:rPr>
          <w:rFonts w:hint="eastAsia" w:ascii="宋体" w:hAnsi="宋体" w:cs="宋体"/>
          <w:color w:val="auto"/>
          <w:sz w:val="24"/>
          <w:szCs w:val="24"/>
          <w:highlight w:val="none"/>
        </w:rPr>
        <w:t>供应商对询价文件如有疑点，可要求澄清。要求澄清应按</w:t>
      </w:r>
      <w:r>
        <w:rPr>
          <w:rFonts w:hint="eastAsia" w:ascii="宋体" w:hAnsi="宋体" w:cs="宋体"/>
          <w:color w:val="auto"/>
          <w:sz w:val="24"/>
          <w:szCs w:val="24"/>
          <w:highlight w:val="none"/>
          <w:lang w:eastAsia="zh-CN"/>
        </w:rPr>
        <w:t>询价邀请</w:t>
      </w:r>
      <w:r>
        <w:rPr>
          <w:rFonts w:hint="eastAsia" w:ascii="宋体" w:hAnsi="宋体" w:cs="宋体"/>
          <w:color w:val="auto"/>
          <w:sz w:val="24"/>
          <w:szCs w:val="24"/>
          <w:highlight w:val="none"/>
        </w:rPr>
        <w:t>中载明的地址以书面形式（包括信函、传真、电子邮件，下同）通知采购代理机构。采购代理机构将视情况在</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截止时间3工作日（如至原定截止时间不足3工作日，则需延长</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截止时间）前将书面答复发给所有供应商，该澄清内容为询价文件的组成部分。</w:t>
      </w:r>
    </w:p>
    <w:p w14:paraId="7F48175B">
      <w:pPr>
        <w:numPr>
          <w:ilvl w:val="1"/>
          <w:numId w:val="12"/>
        </w:numPr>
        <w:tabs>
          <w:tab w:val="left" w:pos="1019"/>
          <w:tab w:val="left" w:pos="1107"/>
        </w:tabs>
        <w:spacing w:line="470" w:lineRule="exact"/>
        <w:ind w:left="55" w:firstLine="519"/>
        <w:rPr>
          <w:rFonts w:ascii="宋体" w:hAnsi="宋体" w:cs="宋体"/>
          <w:color w:val="auto"/>
          <w:sz w:val="24"/>
          <w:szCs w:val="24"/>
          <w:highlight w:val="none"/>
        </w:rPr>
      </w:pPr>
      <w:r>
        <w:rPr>
          <w:rFonts w:hint="eastAsia" w:ascii="宋体" w:hAnsi="宋体" w:cs="宋体"/>
          <w:color w:val="auto"/>
          <w:sz w:val="24"/>
          <w:szCs w:val="24"/>
          <w:highlight w:val="none"/>
        </w:rPr>
        <w:t>至</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截止日期前3工作日（如至原定截止时间不足3工作日，则需延长递交响应文件时间），采购代理机构可主动或依供应商要求澄清的问题修改询价文件，须将修改内容以书面形式通知所有询价文件收受人，供应商在收到该通知后应立即传真的形式予以确认。该修改内容为询价文件的组成部分，对供应商具有约束力。但本询价文件第6.3条规定的推迟</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截止时间情形不受本条约束。</w:t>
      </w:r>
    </w:p>
    <w:p w14:paraId="3EDE43F8">
      <w:pPr>
        <w:numPr>
          <w:ilvl w:val="1"/>
          <w:numId w:val="12"/>
        </w:numPr>
        <w:tabs>
          <w:tab w:val="left" w:pos="1019"/>
          <w:tab w:val="left" w:pos="1107"/>
        </w:tabs>
        <w:spacing w:line="470" w:lineRule="exact"/>
        <w:ind w:left="55" w:firstLine="519"/>
        <w:rPr>
          <w:rFonts w:ascii="宋体" w:hAnsi="宋体" w:cs="宋体"/>
          <w:color w:val="auto"/>
          <w:sz w:val="24"/>
          <w:szCs w:val="24"/>
          <w:highlight w:val="none"/>
        </w:rPr>
      </w:pPr>
      <w:r>
        <w:rPr>
          <w:rFonts w:hint="eastAsia" w:ascii="宋体" w:hAnsi="宋体" w:cs="宋体"/>
          <w:color w:val="auto"/>
          <w:sz w:val="24"/>
          <w:szCs w:val="24"/>
          <w:highlight w:val="none"/>
        </w:rPr>
        <w:t>为使供应商在准备响应文件时有合理的时间考虑询价文件的修改，采购代理机构可酌情推迟</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截止时间，但应当至少在</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截止时间3工作日前将变更时间以书面形式通知所有供应商，该修改内容为询价文件的组成部分。在此情况下，采购人和供应商受</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截止期制约的所有权利和义务均应延长至新的截止日期。</w:t>
      </w:r>
    </w:p>
    <w:p w14:paraId="1AC5D9D4">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澄清、修改通知将构成询价文件的一部分，对</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双方均有约束力；澄清、修改通知与询价文件不一致的部分及内容以前者为准；澄清、修改通知内容不一致，以后一次发出的为准。</w:t>
      </w:r>
    </w:p>
    <w:p w14:paraId="2AF80F28">
      <w:pPr>
        <w:pStyle w:val="3"/>
        <w:spacing w:line="470" w:lineRule="exact"/>
        <w:jc w:val="center"/>
        <w:rPr>
          <w:rFonts w:ascii="宋体" w:hAnsi="宋体" w:cs="宋体"/>
          <w:color w:val="auto"/>
          <w:sz w:val="24"/>
          <w:szCs w:val="24"/>
          <w:highlight w:val="none"/>
        </w:rPr>
      </w:pPr>
      <w:bookmarkStart w:id="70" w:name="_Toc526873912"/>
      <w:bookmarkStart w:id="71" w:name="_Toc341834124"/>
      <w:bookmarkStart w:id="72" w:name="_Toc381261954"/>
      <w:bookmarkStart w:id="73" w:name="_Toc341650744"/>
      <w:bookmarkStart w:id="74" w:name="_Toc340069176"/>
      <w:r>
        <w:rPr>
          <w:rFonts w:hint="eastAsia" w:ascii="宋体" w:hAnsi="宋体" w:cs="宋体"/>
          <w:color w:val="auto"/>
          <w:sz w:val="24"/>
          <w:szCs w:val="24"/>
          <w:highlight w:val="none"/>
        </w:rPr>
        <w:t>第三节  响应文件的编写</w:t>
      </w:r>
      <w:bookmarkEnd w:id="70"/>
      <w:bookmarkEnd w:id="71"/>
      <w:bookmarkEnd w:id="72"/>
      <w:bookmarkEnd w:id="73"/>
      <w:bookmarkEnd w:id="74"/>
    </w:p>
    <w:p w14:paraId="76AE9DA3">
      <w:pPr>
        <w:pStyle w:val="3"/>
        <w:numPr>
          <w:ilvl w:val="0"/>
          <w:numId w:val="11"/>
        </w:numPr>
        <w:spacing w:before="0" w:after="0" w:line="470" w:lineRule="exact"/>
        <w:ind w:hanging="902"/>
        <w:rPr>
          <w:rFonts w:ascii="宋体" w:hAnsi="宋体" w:cs="宋体"/>
          <w:color w:val="auto"/>
          <w:sz w:val="24"/>
          <w:szCs w:val="24"/>
          <w:highlight w:val="none"/>
        </w:rPr>
      </w:pPr>
      <w:bookmarkStart w:id="75" w:name="_Toc381261955"/>
      <w:bookmarkStart w:id="76" w:name="_Toc526873913"/>
      <w:bookmarkStart w:id="77" w:name="_Toc22987881"/>
      <w:bookmarkStart w:id="78" w:name="_Toc341834125"/>
      <w:bookmarkStart w:id="79" w:name="_Toc340069177"/>
      <w:bookmarkStart w:id="80" w:name="_Toc341650745"/>
      <w:r>
        <w:rPr>
          <w:rFonts w:hint="eastAsia" w:ascii="宋体" w:hAnsi="宋体" w:cs="宋体"/>
          <w:color w:val="auto"/>
          <w:sz w:val="24"/>
          <w:szCs w:val="24"/>
          <w:highlight w:val="none"/>
        </w:rPr>
        <w:t>要求</w:t>
      </w:r>
      <w:bookmarkEnd w:id="75"/>
      <w:bookmarkEnd w:id="76"/>
      <w:bookmarkEnd w:id="77"/>
      <w:bookmarkEnd w:id="78"/>
      <w:bookmarkEnd w:id="79"/>
      <w:bookmarkEnd w:id="80"/>
    </w:p>
    <w:p w14:paraId="08B42EB1">
      <w:pPr>
        <w:pStyle w:val="90"/>
        <w:numPr>
          <w:ilvl w:val="0"/>
          <w:numId w:val="13"/>
        </w:numPr>
        <w:spacing w:line="470" w:lineRule="exact"/>
        <w:ind w:firstLineChars="0"/>
        <w:rPr>
          <w:rFonts w:ascii="宋体" w:hAnsi="宋体" w:cs="宋体"/>
          <w:vanish/>
          <w:color w:val="auto"/>
          <w:sz w:val="24"/>
          <w:szCs w:val="24"/>
          <w:highlight w:val="none"/>
        </w:rPr>
      </w:pPr>
    </w:p>
    <w:p w14:paraId="569D34C8">
      <w:pPr>
        <w:pStyle w:val="90"/>
        <w:numPr>
          <w:ilvl w:val="0"/>
          <w:numId w:val="12"/>
        </w:numPr>
        <w:spacing w:line="470" w:lineRule="exact"/>
        <w:ind w:firstLineChars="0"/>
        <w:rPr>
          <w:rFonts w:ascii="宋体" w:hAnsi="宋体" w:cs="宋体"/>
          <w:vanish/>
          <w:color w:val="auto"/>
          <w:sz w:val="24"/>
          <w:szCs w:val="24"/>
          <w:highlight w:val="none"/>
        </w:rPr>
      </w:pPr>
    </w:p>
    <w:p w14:paraId="476B009B">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供应商应仔细阅读询价文件所有内容，按询价文件的要求提供响应文件，并保证所提供的全部资料的真实性及正确性，以使其文件对询价文件做出实质性响应，否则，其响应文件可被作响应无效处理。</w:t>
      </w:r>
    </w:p>
    <w:p w14:paraId="4CB1672B">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除非有另外的规定，供应商可对“</w:t>
      </w:r>
      <w:r>
        <w:rPr>
          <w:rFonts w:hint="eastAsia" w:ascii="宋体" w:hAnsi="宋体" w:cs="宋体"/>
          <w:color w:val="auto"/>
          <w:sz w:val="24"/>
          <w:szCs w:val="24"/>
          <w:highlight w:val="none"/>
          <w:lang w:eastAsia="zh-CN"/>
        </w:rPr>
        <w:t>采购（货物）服务一览表</w:t>
      </w:r>
      <w:r>
        <w:rPr>
          <w:rFonts w:hint="eastAsia" w:ascii="宋体" w:hAnsi="宋体" w:cs="宋体"/>
          <w:color w:val="auto"/>
          <w:sz w:val="24"/>
          <w:szCs w:val="24"/>
          <w:highlight w:val="none"/>
        </w:rPr>
        <w:t>”所列的全部合同包或部分合同包进行响应。采购代理机构不接受有任何可选择性的报价，每一种货物（服务）只能有一个报价。</w:t>
      </w:r>
    </w:p>
    <w:p w14:paraId="1362F50F">
      <w:pPr>
        <w:pStyle w:val="3"/>
        <w:numPr>
          <w:ilvl w:val="0"/>
          <w:numId w:val="11"/>
        </w:numPr>
        <w:spacing w:before="0" w:after="0" w:line="470" w:lineRule="exact"/>
        <w:ind w:hanging="902"/>
        <w:rPr>
          <w:rFonts w:ascii="宋体" w:hAnsi="宋体" w:cs="宋体"/>
          <w:color w:val="auto"/>
          <w:sz w:val="24"/>
          <w:szCs w:val="24"/>
          <w:highlight w:val="none"/>
        </w:rPr>
      </w:pPr>
      <w:bookmarkStart w:id="81" w:name="_Toc381261956"/>
      <w:bookmarkStart w:id="82" w:name="_Toc341650746"/>
      <w:bookmarkStart w:id="83" w:name="_Toc272852366"/>
      <w:bookmarkStart w:id="84" w:name="_Toc273453817"/>
      <w:bookmarkStart w:id="85" w:name="_Toc341834126"/>
      <w:bookmarkStart w:id="86" w:name="_Toc327281482"/>
      <w:bookmarkStart w:id="87" w:name="_Toc278294202"/>
      <w:bookmarkStart w:id="88" w:name="_Toc340069178"/>
      <w:bookmarkStart w:id="89" w:name="_Toc526873914"/>
      <w:r>
        <w:rPr>
          <w:rFonts w:hint="eastAsia" w:ascii="宋体" w:hAnsi="宋体" w:cs="宋体"/>
          <w:color w:val="auto"/>
          <w:sz w:val="24"/>
          <w:szCs w:val="24"/>
          <w:highlight w:val="none"/>
        </w:rPr>
        <w:t>响应文件语言</w:t>
      </w:r>
      <w:bookmarkEnd w:id="81"/>
      <w:bookmarkEnd w:id="82"/>
      <w:bookmarkEnd w:id="83"/>
      <w:bookmarkEnd w:id="84"/>
      <w:bookmarkEnd w:id="85"/>
      <w:bookmarkEnd w:id="86"/>
      <w:bookmarkEnd w:id="87"/>
      <w:bookmarkEnd w:id="88"/>
      <w:r>
        <w:rPr>
          <w:rFonts w:hint="eastAsia" w:ascii="宋体" w:hAnsi="宋体" w:cs="宋体"/>
          <w:color w:val="auto"/>
          <w:sz w:val="24"/>
          <w:szCs w:val="24"/>
          <w:highlight w:val="none"/>
        </w:rPr>
        <w:t>及单位</w:t>
      </w:r>
      <w:bookmarkEnd w:id="89"/>
    </w:p>
    <w:p w14:paraId="68046EAA">
      <w:pPr>
        <w:pStyle w:val="90"/>
        <w:numPr>
          <w:ilvl w:val="0"/>
          <w:numId w:val="13"/>
        </w:numPr>
        <w:spacing w:line="470" w:lineRule="exact"/>
        <w:ind w:firstLineChars="0"/>
        <w:rPr>
          <w:rFonts w:ascii="宋体" w:hAnsi="宋体" w:cs="宋体"/>
          <w:vanish/>
          <w:color w:val="auto"/>
          <w:sz w:val="24"/>
          <w:szCs w:val="24"/>
          <w:highlight w:val="none"/>
        </w:rPr>
      </w:pPr>
    </w:p>
    <w:p w14:paraId="05E37005">
      <w:pPr>
        <w:pStyle w:val="90"/>
        <w:numPr>
          <w:ilvl w:val="0"/>
          <w:numId w:val="12"/>
        </w:numPr>
        <w:spacing w:line="470" w:lineRule="exact"/>
        <w:ind w:firstLineChars="0"/>
        <w:rPr>
          <w:rFonts w:ascii="宋体" w:hAnsi="宋体" w:cs="宋体"/>
          <w:vanish/>
          <w:color w:val="auto"/>
          <w:sz w:val="24"/>
          <w:szCs w:val="24"/>
          <w:highlight w:val="none"/>
        </w:rPr>
      </w:pPr>
    </w:p>
    <w:p w14:paraId="00CD6EB4">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响应文件应用中文书写。响应文件中所附或所引用的原件不是中文时，应附中文译本。各种计量单位及符号应采用国际上统一使用的公制计量单位和符号。</w:t>
      </w:r>
    </w:p>
    <w:p w14:paraId="696CABFD">
      <w:pPr>
        <w:pStyle w:val="3"/>
        <w:numPr>
          <w:ilvl w:val="0"/>
          <w:numId w:val="11"/>
        </w:numPr>
        <w:spacing w:before="0" w:after="0" w:line="470" w:lineRule="exact"/>
        <w:ind w:hanging="902"/>
        <w:rPr>
          <w:rFonts w:ascii="宋体" w:hAnsi="宋体" w:cs="宋体"/>
          <w:color w:val="auto"/>
          <w:sz w:val="24"/>
          <w:szCs w:val="24"/>
          <w:highlight w:val="none"/>
        </w:rPr>
      </w:pPr>
      <w:bookmarkStart w:id="90" w:name="_Toc341834127"/>
      <w:bookmarkStart w:id="91" w:name="_Toc340069179"/>
      <w:bookmarkStart w:id="92" w:name="_Toc381261957"/>
      <w:bookmarkStart w:id="93" w:name="_Toc341650747"/>
      <w:bookmarkStart w:id="94" w:name="_Toc22987882"/>
      <w:bookmarkStart w:id="95" w:name="_Toc526873915"/>
      <w:r>
        <w:rPr>
          <w:rFonts w:hint="eastAsia" w:ascii="宋体" w:hAnsi="宋体" w:cs="宋体"/>
          <w:color w:val="auto"/>
          <w:sz w:val="24"/>
          <w:szCs w:val="24"/>
          <w:highlight w:val="none"/>
        </w:rPr>
        <w:t>响应文件的组成</w:t>
      </w:r>
      <w:bookmarkEnd w:id="90"/>
      <w:bookmarkEnd w:id="91"/>
      <w:bookmarkEnd w:id="92"/>
      <w:bookmarkEnd w:id="93"/>
      <w:bookmarkEnd w:id="94"/>
      <w:bookmarkEnd w:id="95"/>
    </w:p>
    <w:p w14:paraId="6BAEBA88">
      <w:pPr>
        <w:pStyle w:val="90"/>
        <w:numPr>
          <w:ilvl w:val="0"/>
          <w:numId w:val="13"/>
        </w:numPr>
        <w:spacing w:line="470" w:lineRule="exact"/>
        <w:ind w:firstLineChars="0"/>
        <w:rPr>
          <w:rFonts w:ascii="宋体" w:hAnsi="宋体" w:cs="宋体"/>
          <w:vanish/>
          <w:color w:val="auto"/>
          <w:sz w:val="24"/>
          <w:szCs w:val="24"/>
          <w:highlight w:val="none"/>
        </w:rPr>
      </w:pPr>
    </w:p>
    <w:p w14:paraId="37854867">
      <w:pPr>
        <w:pStyle w:val="90"/>
        <w:numPr>
          <w:ilvl w:val="0"/>
          <w:numId w:val="12"/>
        </w:numPr>
        <w:spacing w:line="470" w:lineRule="exact"/>
        <w:ind w:firstLineChars="0"/>
        <w:rPr>
          <w:rFonts w:ascii="宋体" w:hAnsi="宋体" w:cs="宋体"/>
          <w:vanish/>
          <w:color w:val="auto"/>
          <w:sz w:val="24"/>
          <w:szCs w:val="24"/>
          <w:highlight w:val="none"/>
        </w:rPr>
      </w:pPr>
    </w:p>
    <w:p w14:paraId="3ADF582D">
      <w:pPr>
        <w:spacing w:line="470" w:lineRule="exact"/>
        <w:ind w:firstLine="480" w:firstLineChars="200"/>
        <w:rPr>
          <w:rFonts w:ascii="宋体" w:hAnsi="宋体" w:cs="宋体"/>
          <w:color w:val="auto"/>
          <w:sz w:val="24"/>
          <w:szCs w:val="24"/>
          <w:highlight w:val="none"/>
        </w:rPr>
      </w:pPr>
      <w:bookmarkStart w:id="96" w:name="_Toc526873916"/>
      <w:bookmarkStart w:id="97" w:name="_Toc22987883"/>
      <w:bookmarkStart w:id="98" w:name="_Toc381261958"/>
      <w:bookmarkStart w:id="99" w:name="_Toc340069180"/>
      <w:bookmarkStart w:id="100" w:name="_Toc341834128"/>
      <w:bookmarkStart w:id="101" w:name="_Toc341650748"/>
      <w:r>
        <w:rPr>
          <w:rFonts w:hint="eastAsia" w:ascii="宋体" w:hAnsi="宋体" w:cs="宋体"/>
          <w:color w:val="auto"/>
          <w:sz w:val="24"/>
          <w:szCs w:val="24"/>
          <w:highlight w:val="none"/>
        </w:rPr>
        <w:t>1.报价函</w:t>
      </w:r>
    </w:p>
    <w:p w14:paraId="4D611B44">
      <w:pPr>
        <w:spacing w:line="47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报价明细</w:t>
      </w:r>
    </w:p>
    <w:p w14:paraId="3F6CA830">
      <w:pPr>
        <w:spacing w:line="47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.“★”号条款逐条响应情况表</w:t>
      </w:r>
    </w:p>
    <w:p w14:paraId="45B1C749">
      <w:pPr>
        <w:spacing w:line="47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 供应商的资格证明文件</w:t>
      </w:r>
    </w:p>
    <w:p w14:paraId="38BEC8AC">
      <w:pPr>
        <w:spacing w:line="47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．供应商提交的其它资料</w:t>
      </w:r>
    </w:p>
    <w:bookmarkEnd w:id="96"/>
    <w:p w14:paraId="12D6496F">
      <w:pPr>
        <w:pStyle w:val="3"/>
        <w:numPr>
          <w:ilvl w:val="0"/>
          <w:numId w:val="11"/>
        </w:numPr>
        <w:spacing w:before="0" w:after="0" w:line="470" w:lineRule="exact"/>
        <w:ind w:hanging="902"/>
        <w:rPr>
          <w:rFonts w:ascii="宋体" w:hAnsi="宋体" w:cs="宋体"/>
          <w:color w:val="auto"/>
          <w:sz w:val="24"/>
          <w:szCs w:val="24"/>
          <w:highlight w:val="none"/>
        </w:rPr>
      </w:pPr>
      <w:r>
        <w:rPr>
          <w:rFonts w:hint="eastAsia" w:ascii="宋体" w:hAnsi="宋体" w:cs="宋体"/>
          <w:color w:val="auto"/>
          <w:sz w:val="24"/>
          <w:szCs w:val="24"/>
          <w:highlight w:val="none"/>
          <w:lang w:eastAsia="zh-CN"/>
        </w:rPr>
        <w:t>响应文件有效期</w:t>
      </w:r>
    </w:p>
    <w:p w14:paraId="7D668442">
      <w:pPr>
        <w:pStyle w:val="90"/>
        <w:numPr>
          <w:ilvl w:val="0"/>
          <w:numId w:val="13"/>
        </w:numPr>
        <w:spacing w:line="470" w:lineRule="exact"/>
        <w:ind w:firstLineChars="0"/>
        <w:rPr>
          <w:rFonts w:ascii="宋体" w:hAnsi="宋体" w:cs="宋体"/>
          <w:vanish/>
          <w:color w:val="auto"/>
          <w:sz w:val="24"/>
          <w:szCs w:val="24"/>
          <w:highlight w:val="none"/>
        </w:rPr>
      </w:pPr>
    </w:p>
    <w:p w14:paraId="414130C3">
      <w:pPr>
        <w:pStyle w:val="90"/>
        <w:numPr>
          <w:ilvl w:val="0"/>
          <w:numId w:val="12"/>
        </w:numPr>
        <w:spacing w:line="470" w:lineRule="exact"/>
        <w:ind w:firstLineChars="0"/>
        <w:rPr>
          <w:rFonts w:ascii="宋体" w:hAnsi="宋体" w:cs="宋体"/>
          <w:vanish/>
          <w:color w:val="auto"/>
          <w:sz w:val="24"/>
          <w:szCs w:val="24"/>
          <w:highlight w:val="none"/>
        </w:rPr>
      </w:pPr>
    </w:p>
    <w:p w14:paraId="2641B580">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自响应文件递交截止时间起，响应的有效期为90天。有效期不足的将导致其响应被拒绝。</w:t>
      </w:r>
    </w:p>
    <w:p w14:paraId="229314B5">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特殊情况下采购代理机构可于</w:t>
      </w:r>
      <w:r>
        <w:rPr>
          <w:rFonts w:hint="eastAsia" w:ascii="宋体" w:hAnsi="宋体" w:cs="宋体"/>
          <w:color w:val="auto"/>
          <w:sz w:val="24"/>
          <w:szCs w:val="24"/>
          <w:highlight w:val="none"/>
          <w:lang w:eastAsia="zh-CN"/>
        </w:rPr>
        <w:t>响应文件有效期</w:t>
      </w:r>
      <w:r>
        <w:rPr>
          <w:rFonts w:hint="eastAsia" w:ascii="宋体" w:hAnsi="宋体" w:cs="宋体"/>
          <w:color w:val="auto"/>
          <w:sz w:val="24"/>
          <w:szCs w:val="24"/>
          <w:highlight w:val="none"/>
        </w:rPr>
        <w:t>满之前书面要求供应商同意延长有效期，供应商应在采购代理机构规定的期限内以书面形式予以答复。供应商答复不明确或者逾期未答复的，均视为拒绝上述要求。</w:t>
      </w:r>
    </w:p>
    <w:p w14:paraId="0F38F85D">
      <w:pPr>
        <w:pStyle w:val="3"/>
        <w:numPr>
          <w:ilvl w:val="0"/>
          <w:numId w:val="11"/>
        </w:numPr>
        <w:spacing w:before="0" w:after="0" w:line="470" w:lineRule="exact"/>
        <w:ind w:hanging="902"/>
        <w:rPr>
          <w:rFonts w:ascii="宋体" w:hAnsi="宋体" w:cs="宋体"/>
          <w:color w:val="auto"/>
          <w:sz w:val="24"/>
          <w:szCs w:val="24"/>
          <w:highlight w:val="none"/>
        </w:rPr>
      </w:pPr>
      <w:bookmarkStart w:id="102" w:name="_Toc526873918"/>
      <w:r>
        <w:rPr>
          <w:rFonts w:hint="eastAsia" w:ascii="宋体" w:hAnsi="宋体" w:cs="宋体"/>
          <w:color w:val="auto"/>
          <w:sz w:val="24"/>
          <w:szCs w:val="24"/>
          <w:highlight w:val="none"/>
        </w:rPr>
        <w:t>响应文件格式</w:t>
      </w:r>
      <w:bookmarkEnd w:id="97"/>
      <w:bookmarkEnd w:id="98"/>
      <w:bookmarkEnd w:id="99"/>
      <w:bookmarkEnd w:id="100"/>
      <w:bookmarkEnd w:id="101"/>
      <w:bookmarkEnd w:id="102"/>
    </w:p>
    <w:p w14:paraId="1D68458A">
      <w:pPr>
        <w:pStyle w:val="90"/>
        <w:numPr>
          <w:ilvl w:val="0"/>
          <w:numId w:val="13"/>
        </w:numPr>
        <w:tabs>
          <w:tab w:val="left" w:pos="992"/>
        </w:tabs>
        <w:spacing w:line="470" w:lineRule="exact"/>
        <w:ind w:firstLineChars="0"/>
        <w:rPr>
          <w:rFonts w:ascii="宋体" w:hAnsi="宋体" w:cs="宋体"/>
          <w:vanish/>
          <w:color w:val="auto"/>
          <w:sz w:val="24"/>
          <w:szCs w:val="24"/>
          <w:highlight w:val="none"/>
        </w:rPr>
      </w:pPr>
    </w:p>
    <w:p w14:paraId="6742979D">
      <w:pPr>
        <w:pStyle w:val="90"/>
        <w:numPr>
          <w:ilvl w:val="0"/>
          <w:numId w:val="12"/>
        </w:numPr>
        <w:spacing w:line="470" w:lineRule="exact"/>
        <w:ind w:firstLineChars="0"/>
        <w:rPr>
          <w:rFonts w:ascii="宋体" w:hAnsi="宋体" w:cs="宋体"/>
          <w:vanish/>
          <w:color w:val="auto"/>
          <w:sz w:val="24"/>
          <w:szCs w:val="24"/>
          <w:highlight w:val="none"/>
        </w:rPr>
      </w:pPr>
    </w:p>
    <w:p w14:paraId="4A96F58C">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供应商须编制由本须知第9条规定文件组成的响应文件</w:t>
      </w:r>
      <w:r>
        <w:rPr>
          <w:rFonts w:hint="eastAsia" w:ascii="宋体" w:hAnsi="宋体" w:cs="宋体"/>
          <w:b/>
          <w:color w:val="auto"/>
          <w:sz w:val="24"/>
          <w:szCs w:val="24"/>
          <w:highlight w:val="none"/>
        </w:rPr>
        <w:t>正本一份，副本二份，</w:t>
      </w:r>
      <w:r>
        <w:rPr>
          <w:rFonts w:hint="eastAsia" w:ascii="宋体" w:hAnsi="宋体" w:cs="宋体"/>
          <w:color w:val="auto"/>
          <w:sz w:val="24"/>
          <w:szCs w:val="24"/>
          <w:highlight w:val="none"/>
        </w:rPr>
        <w:t>正本必须用A4幅面纸张打印装订，副本可以用正本的完整复印件。图纸可用A3幅面纸打印并单独装订（一正</w:t>
      </w:r>
      <w:r>
        <w:rPr>
          <w:rFonts w:hint="eastAsia" w:ascii="宋体" w:hAnsi="宋体" w:cs="宋体"/>
          <w:color w:val="auto"/>
          <w:sz w:val="24"/>
          <w:szCs w:val="24"/>
          <w:highlight w:val="none"/>
          <w:lang w:val="en-US" w:eastAsia="zh-CN"/>
        </w:rPr>
        <w:t>二</w:t>
      </w:r>
      <w:r>
        <w:rPr>
          <w:rFonts w:hint="eastAsia" w:ascii="宋体" w:hAnsi="宋体" w:cs="宋体"/>
          <w:color w:val="auto"/>
          <w:sz w:val="24"/>
          <w:szCs w:val="24"/>
          <w:highlight w:val="none"/>
        </w:rPr>
        <w:t>副）。并在封面标明“正本”、“副本”字样。正本、副本、电子档如有不一致，则以正本为准。</w:t>
      </w:r>
    </w:p>
    <w:p w14:paraId="456DBB37">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响应文件应由供应商的法定代表人或者其授权代表签字并加盖公章，如由后者签字，应提供《法定代表人授权委托书》。</w:t>
      </w:r>
    </w:p>
    <w:p w14:paraId="4D6DADAF">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除非有另外的规定或许可，报价使用货币为人民币。</w:t>
      </w:r>
    </w:p>
    <w:p w14:paraId="03BD0474">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供应商应提交证明其拟供货物（服务）符合询价文件要求的技术响应文件，该文件可以是文字资料、图纸和数据，并须提供货物（服务）主要技术性能的详细描述。</w:t>
      </w:r>
    </w:p>
    <w:p w14:paraId="4BFF87F4">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响应文件的正本和全部副本均应使用不能擦去的墨料或墨水打印、书写或复印，并由法定代表人或其授权代表签署，盖供应商公章。</w:t>
      </w:r>
    </w:p>
    <w:p w14:paraId="675F06D7">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 xml:space="preserve">全套响应文件应无涂改和行间插字，除非这些改动是根据采购代理机构的指示进行的，或者是为改正供应商造成的必须修改的错误而进行的。有改动时，修改处应当由法定代表人或授权代表签字证明或加盖校正章。 </w:t>
      </w:r>
    </w:p>
    <w:p w14:paraId="5B3EE9CB">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未按本须知规定的格式填写响应文件、响应文件字迹模糊不清的，其响应可能被承担不利的评审结果。</w:t>
      </w:r>
    </w:p>
    <w:p w14:paraId="1097CD0B">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供应商应将上述文件按顺序胶装成册、打印页码，并编列响应文件目录、资料清单，由于装订不规范或编排顺序混乱而导致响应文件被误读或漏读，该响应可能被视为无效响应或承担不利的评审结果。</w:t>
      </w:r>
    </w:p>
    <w:p w14:paraId="08B0A7F3">
      <w:pPr>
        <w:pStyle w:val="3"/>
        <w:spacing w:line="470" w:lineRule="exact"/>
        <w:jc w:val="center"/>
        <w:rPr>
          <w:rFonts w:ascii="宋体" w:hAnsi="宋体" w:cs="宋体"/>
          <w:color w:val="auto"/>
          <w:sz w:val="24"/>
          <w:szCs w:val="24"/>
          <w:highlight w:val="none"/>
        </w:rPr>
      </w:pPr>
      <w:bookmarkStart w:id="103" w:name="_Toc341834132"/>
      <w:bookmarkStart w:id="104" w:name="_Toc381261962"/>
      <w:bookmarkStart w:id="105" w:name="_Toc340069184"/>
      <w:bookmarkStart w:id="106" w:name="_Toc341650752"/>
      <w:bookmarkStart w:id="107" w:name="_Toc526873919"/>
      <w:bookmarkStart w:id="108" w:name="_Toc265590446"/>
      <w:bookmarkStart w:id="109" w:name="_Toc160543043"/>
      <w:bookmarkStart w:id="110" w:name="_Toc206557780"/>
      <w:r>
        <w:rPr>
          <w:rFonts w:hint="eastAsia" w:ascii="宋体" w:hAnsi="宋体" w:cs="宋体"/>
          <w:color w:val="auto"/>
          <w:sz w:val="24"/>
          <w:szCs w:val="24"/>
          <w:highlight w:val="none"/>
        </w:rPr>
        <w:t>第四节  响应文件的递交</w:t>
      </w:r>
      <w:bookmarkEnd w:id="103"/>
      <w:bookmarkEnd w:id="104"/>
      <w:bookmarkEnd w:id="105"/>
      <w:bookmarkEnd w:id="106"/>
      <w:bookmarkEnd w:id="107"/>
      <w:bookmarkEnd w:id="108"/>
      <w:bookmarkEnd w:id="109"/>
      <w:bookmarkEnd w:id="110"/>
    </w:p>
    <w:p w14:paraId="2E7443C0">
      <w:pPr>
        <w:pStyle w:val="3"/>
        <w:numPr>
          <w:ilvl w:val="0"/>
          <w:numId w:val="11"/>
        </w:numPr>
        <w:spacing w:before="0" w:after="0" w:line="470" w:lineRule="exact"/>
        <w:ind w:hanging="902"/>
        <w:rPr>
          <w:rFonts w:ascii="宋体" w:hAnsi="宋体" w:cs="宋体"/>
          <w:color w:val="auto"/>
          <w:sz w:val="24"/>
          <w:szCs w:val="24"/>
          <w:highlight w:val="none"/>
        </w:rPr>
      </w:pPr>
      <w:bookmarkStart w:id="111" w:name="_Toc526873920"/>
      <w:r>
        <w:rPr>
          <w:rFonts w:hint="eastAsia" w:ascii="宋体" w:hAnsi="宋体" w:cs="宋体"/>
          <w:color w:val="auto"/>
          <w:sz w:val="24"/>
          <w:szCs w:val="24"/>
          <w:highlight w:val="none"/>
        </w:rPr>
        <w:t>响应文件的密封、标记和递交</w:t>
      </w:r>
      <w:bookmarkEnd w:id="111"/>
    </w:p>
    <w:p w14:paraId="5459BDBF">
      <w:pPr>
        <w:pStyle w:val="90"/>
        <w:numPr>
          <w:ilvl w:val="0"/>
          <w:numId w:val="13"/>
        </w:numPr>
        <w:tabs>
          <w:tab w:val="left" w:pos="992"/>
        </w:tabs>
        <w:spacing w:line="470" w:lineRule="exact"/>
        <w:ind w:firstLineChars="0"/>
        <w:rPr>
          <w:rFonts w:ascii="宋体" w:hAnsi="宋体" w:cs="宋体"/>
          <w:vanish/>
          <w:color w:val="auto"/>
          <w:sz w:val="24"/>
          <w:szCs w:val="24"/>
          <w:highlight w:val="none"/>
        </w:rPr>
      </w:pPr>
    </w:p>
    <w:p w14:paraId="31AE4BEC">
      <w:pPr>
        <w:pStyle w:val="90"/>
        <w:numPr>
          <w:ilvl w:val="0"/>
          <w:numId w:val="12"/>
        </w:numPr>
        <w:spacing w:line="470" w:lineRule="exact"/>
        <w:ind w:firstLineChars="0"/>
        <w:rPr>
          <w:rFonts w:ascii="宋体" w:hAnsi="宋体" w:cs="宋体"/>
          <w:vanish/>
          <w:color w:val="auto"/>
          <w:sz w:val="24"/>
          <w:szCs w:val="24"/>
          <w:highlight w:val="none"/>
        </w:rPr>
      </w:pPr>
    </w:p>
    <w:p w14:paraId="40A96CBA">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供应商应将响应文件正本和全部副本密封，标明</w:t>
      </w:r>
      <w:r>
        <w:rPr>
          <w:rFonts w:hint="eastAsia" w:ascii="宋体" w:hAnsi="宋体" w:cs="宋体"/>
          <w:color w:val="auto"/>
          <w:sz w:val="24"/>
          <w:szCs w:val="24"/>
          <w:highlight w:val="none"/>
          <w:lang w:eastAsia="zh-CN"/>
        </w:rPr>
        <w:t>项目编号</w:t>
      </w:r>
      <w:r>
        <w:rPr>
          <w:rFonts w:hint="eastAsia" w:ascii="宋体" w:hAnsi="宋体" w:cs="宋体"/>
          <w:color w:val="auto"/>
          <w:sz w:val="24"/>
          <w:szCs w:val="24"/>
          <w:highlight w:val="none"/>
        </w:rPr>
        <w:t>、供应商名称、项目名称及“正本”或“副本”字样。响应文件未密封将导致其响应被拒绝。</w:t>
      </w:r>
    </w:p>
    <w:p w14:paraId="074158DA">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响应文件的每个密封处均应注明“</w:t>
      </w:r>
      <w:r>
        <w:rPr>
          <w:rFonts w:hint="eastAsia" w:ascii="宋体" w:hAnsi="宋体" w:cs="宋体"/>
          <w:b/>
          <w:color w:val="auto"/>
          <w:sz w:val="24"/>
          <w:szCs w:val="24"/>
          <w:highlight w:val="none"/>
        </w:rPr>
        <w:t>于</w:t>
      </w:r>
      <w:r>
        <w:rPr>
          <w:rFonts w:hint="eastAsia" w:ascii="宋体" w:hAnsi="宋体" w:cs="宋体"/>
          <w:b/>
          <w:color w:val="auto"/>
          <w:sz w:val="24"/>
          <w:szCs w:val="24"/>
          <w:highlight w:val="none"/>
          <w:u w:val="single"/>
        </w:rPr>
        <w:t xml:space="preserve">    </w:t>
      </w:r>
      <w:r>
        <w:rPr>
          <w:rFonts w:hint="eastAsia" w:ascii="宋体" w:hAnsi="宋体" w:cs="宋体"/>
          <w:b/>
          <w:color w:val="auto"/>
          <w:sz w:val="24"/>
          <w:szCs w:val="24"/>
          <w:highlight w:val="none"/>
        </w:rPr>
        <w:t>年</w:t>
      </w:r>
      <w:r>
        <w:rPr>
          <w:rFonts w:hint="eastAsia" w:ascii="宋体" w:hAnsi="宋体" w:cs="宋体"/>
          <w:b/>
          <w:color w:val="auto"/>
          <w:sz w:val="24"/>
          <w:szCs w:val="24"/>
          <w:highlight w:val="none"/>
          <w:u w:val="single"/>
        </w:rPr>
        <w:t xml:space="preserve">  </w:t>
      </w:r>
      <w:r>
        <w:rPr>
          <w:rFonts w:hint="eastAsia" w:ascii="宋体" w:hAnsi="宋体" w:cs="宋体"/>
          <w:b/>
          <w:color w:val="auto"/>
          <w:sz w:val="24"/>
          <w:szCs w:val="24"/>
          <w:highlight w:val="none"/>
        </w:rPr>
        <w:t>月</w:t>
      </w:r>
      <w:r>
        <w:rPr>
          <w:rFonts w:hint="eastAsia" w:ascii="宋体" w:hAnsi="宋体" w:cs="宋体"/>
          <w:b/>
          <w:color w:val="auto"/>
          <w:sz w:val="24"/>
          <w:szCs w:val="24"/>
          <w:highlight w:val="none"/>
          <w:u w:val="single"/>
        </w:rPr>
        <w:t xml:space="preserve">  </w:t>
      </w:r>
      <w:r>
        <w:rPr>
          <w:rFonts w:hint="eastAsia" w:ascii="宋体" w:hAnsi="宋体" w:cs="宋体"/>
          <w:b/>
          <w:color w:val="auto"/>
          <w:sz w:val="24"/>
          <w:szCs w:val="24"/>
          <w:highlight w:val="none"/>
        </w:rPr>
        <w:t>日</w:t>
      </w:r>
      <w:r>
        <w:rPr>
          <w:rFonts w:hint="eastAsia" w:ascii="宋体" w:hAnsi="宋体" w:cs="宋体"/>
          <w:b/>
          <w:color w:val="auto"/>
          <w:sz w:val="24"/>
          <w:szCs w:val="24"/>
          <w:highlight w:val="none"/>
          <w:u w:val="single"/>
        </w:rPr>
        <w:t xml:space="preserve">  </w:t>
      </w:r>
      <w:r>
        <w:rPr>
          <w:rFonts w:hint="eastAsia" w:ascii="宋体" w:hAnsi="宋体" w:cs="宋体"/>
          <w:b/>
          <w:color w:val="auto"/>
          <w:sz w:val="24"/>
          <w:szCs w:val="24"/>
          <w:highlight w:val="none"/>
        </w:rPr>
        <w:t>时</w:t>
      </w:r>
      <w:r>
        <w:rPr>
          <w:rFonts w:hint="eastAsia" w:ascii="宋体" w:hAnsi="宋体" w:cs="宋体"/>
          <w:b/>
          <w:color w:val="auto"/>
          <w:sz w:val="24"/>
          <w:szCs w:val="24"/>
          <w:highlight w:val="none"/>
          <w:u w:val="single"/>
        </w:rPr>
        <w:t xml:space="preserve">  </w:t>
      </w:r>
      <w:r>
        <w:rPr>
          <w:rFonts w:hint="eastAsia" w:ascii="宋体" w:hAnsi="宋体" w:cs="宋体"/>
          <w:b/>
          <w:color w:val="auto"/>
          <w:sz w:val="24"/>
          <w:szCs w:val="24"/>
          <w:highlight w:val="none"/>
        </w:rPr>
        <w:t>分（指询价文件中规定的响应文件递交截止时间）之前不准启封</w:t>
      </w:r>
      <w:r>
        <w:rPr>
          <w:rFonts w:hint="eastAsia" w:ascii="宋体" w:hAnsi="宋体" w:cs="宋体"/>
          <w:color w:val="auto"/>
          <w:sz w:val="24"/>
          <w:szCs w:val="24"/>
          <w:highlight w:val="none"/>
        </w:rPr>
        <w:t>”的字样，并加盖供应商公章或由报价代表签字。</w:t>
      </w:r>
    </w:p>
    <w:p w14:paraId="45218128">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如响应文件由邮局或专人送交，供应商应将响应文件按第13.1条至13.2条中的规定进行密封和标记后，按</w:t>
      </w:r>
      <w:r>
        <w:rPr>
          <w:rFonts w:hint="eastAsia" w:ascii="宋体" w:hAnsi="宋体" w:cs="宋体"/>
          <w:color w:val="auto"/>
          <w:sz w:val="24"/>
          <w:szCs w:val="24"/>
          <w:highlight w:val="none"/>
          <w:lang w:eastAsia="zh-CN"/>
        </w:rPr>
        <w:t>询价邀请</w:t>
      </w:r>
      <w:r>
        <w:rPr>
          <w:rFonts w:hint="eastAsia" w:ascii="宋体" w:hAnsi="宋体" w:cs="宋体"/>
          <w:color w:val="auto"/>
          <w:sz w:val="24"/>
          <w:szCs w:val="24"/>
          <w:highlight w:val="none"/>
        </w:rPr>
        <w:t>注明的地址送至接收人。</w:t>
      </w:r>
    </w:p>
    <w:p w14:paraId="4904F904">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如果供应商未按上述规定对响应文件进行密封和标记的，采购代理机构将不承担由此造成的对响应文件的误投或提前拆封的责任。</w:t>
      </w:r>
    </w:p>
    <w:p w14:paraId="48534F8D">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响应文件应在</w:t>
      </w:r>
      <w:r>
        <w:rPr>
          <w:rFonts w:hint="eastAsia" w:ascii="宋体" w:hAnsi="宋体" w:cs="宋体"/>
          <w:color w:val="auto"/>
          <w:sz w:val="24"/>
          <w:szCs w:val="24"/>
          <w:highlight w:val="none"/>
          <w:lang w:eastAsia="zh-CN"/>
        </w:rPr>
        <w:t>询价邀请</w:t>
      </w:r>
      <w:r>
        <w:rPr>
          <w:rFonts w:hint="eastAsia" w:ascii="宋体" w:hAnsi="宋体" w:cs="宋体"/>
          <w:color w:val="auto"/>
          <w:sz w:val="24"/>
          <w:szCs w:val="24"/>
          <w:highlight w:val="none"/>
        </w:rPr>
        <w:t>规定的截止时间前送达，迟到的响应文件为无效响应文件, 将被拒收。</w:t>
      </w:r>
    </w:p>
    <w:p w14:paraId="458E9F2A">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供应商在递交响应文件截止时间前，可以对所提交的响应文件进行修改、补充或者撤回，并书面通知采购代理机构。修改、补充的内容和撤回通知应当按本须知要求签署、盖章、密封，并作为响应文件的组成部分。</w:t>
      </w:r>
    </w:p>
    <w:p w14:paraId="2DFFB5E3">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供应商在递交响应文件截止时间后不得修改、补充、撤回响应文件。供应商在递交响应文件截止时间后修改、补充响应文件的，其响应将被拒绝。</w:t>
      </w:r>
    </w:p>
    <w:p w14:paraId="687AF073">
      <w:pPr>
        <w:pStyle w:val="3"/>
        <w:spacing w:line="470" w:lineRule="exact"/>
        <w:jc w:val="center"/>
        <w:rPr>
          <w:rFonts w:ascii="宋体" w:hAnsi="宋体" w:cs="宋体"/>
          <w:color w:val="auto"/>
          <w:sz w:val="24"/>
          <w:szCs w:val="24"/>
          <w:highlight w:val="none"/>
        </w:rPr>
      </w:pPr>
      <w:bookmarkStart w:id="112" w:name="_Toc381368240"/>
      <w:bookmarkStart w:id="113" w:name="_Toc526873921"/>
      <w:bookmarkStart w:id="114" w:name="_Toc341834136"/>
      <w:bookmarkStart w:id="115" w:name="_Toc341650756"/>
      <w:bookmarkStart w:id="116" w:name="_Toc332720938"/>
      <w:bookmarkStart w:id="117" w:name="_Toc340069188"/>
      <w:bookmarkStart w:id="118" w:name="_Toc331171357"/>
      <w:bookmarkStart w:id="119" w:name="_Toc381261966"/>
      <w:bookmarkStart w:id="120" w:name="_Toc206557786"/>
      <w:bookmarkStart w:id="121" w:name="_Toc160543049"/>
      <w:bookmarkStart w:id="122" w:name="_Toc265590453"/>
      <w:r>
        <w:rPr>
          <w:rFonts w:hint="eastAsia" w:ascii="宋体" w:hAnsi="宋体" w:cs="宋体"/>
          <w:color w:val="auto"/>
          <w:sz w:val="24"/>
          <w:szCs w:val="24"/>
          <w:highlight w:val="none"/>
        </w:rPr>
        <w:t xml:space="preserve">第五节  </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内容及</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程序</w:t>
      </w:r>
      <w:bookmarkEnd w:id="112"/>
      <w:bookmarkEnd w:id="113"/>
      <w:bookmarkEnd w:id="114"/>
      <w:bookmarkEnd w:id="115"/>
      <w:bookmarkEnd w:id="116"/>
      <w:bookmarkEnd w:id="117"/>
      <w:bookmarkEnd w:id="118"/>
      <w:bookmarkEnd w:id="119"/>
    </w:p>
    <w:p w14:paraId="0397010A">
      <w:pPr>
        <w:pStyle w:val="3"/>
        <w:numPr>
          <w:ilvl w:val="0"/>
          <w:numId w:val="11"/>
        </w:numPr>
        <w:spacing w:before="0" w:after="0" w:line="470" w:lineRule="exact"/>
        <w:ind w:hanging="902"/>
        <w:rPr>
          <w:rFonts w:ascii="宋体" w:hAnsi="宋体" w:cs="宋体"/>
          <w:color w:val="auto"/>
          <w:sz w:val="24"/>
          <w:szCs w:val="24"/>
          <w:highlight w:val="none"/>
        </w:rPr>
      </w:pPr>
      <w:bookmarkStart w:id="123" w:name="_Toc340069189"/>
      <w:bookmarkStart w:id="124" w:name="_Toc331171358"/>
      <w:bookmarkStart w:id="125" w:name="_Toc341650757"/>
      <w:bookmarkStart w:id="126" w:name="_Toc332720939"/>
      <w:bookmarkStart w:id="127" w:name="_Toc381261967"/>
      <w:bookmarkStart w:id="128" w:name="_Toc341834137"/>
      <w:bookmarkStart w:id="129" w:name="_Toc381368241"/>
      <w:r>
        <w:rPr>
          <w:rFonts w:hint="eastAsia" w:ascii="宋体" w:hAnsi="宋体" w:cs="宋体"/>
          <w:color w:val="auto"/>
          <w:sz w:val="24"/>
          <w:szCs w:val="24"/>
          <w:highlight w:val="none"/>
        </w:rPr>
        <w:t>询价小组</w:t>
      </w:r>
    </w:p>
    <w:p w14:paraId="33B0F273">
      <w:pPr>
        <w:pStyle w:val="90"/>
        <w:numPr>
          <w:ilvl w:val="0"/>
          <w:numId w:val="13"/>
        </w:numPr>
        <w:tabs>
          <w:tab w:val="left" w:pos="992"/>
        </w:tabs>
        <w:spacing w:line="470" w:lineRule="exact"/>
        <w:ind w:firstLineChars="0"/>
        <w:rPr>
          <w:rFonts w:ascii="宋体" w:hAnsi="宋体" w:cs="宋体"/>
          <w:vanish/>
          <w:color w:val="auto"/>
          <w:sz w:val="24"/>
          <w:szCs w:val="24"/>
          <w:highlight w:val="none"/>
        </w:rPr>
      </w:pPr>
    </w:p>
    <w:p w14:paraId="6AEC41A7">
      <w:pPr>
        <w:pStyle w:val="90"/>
        <w:numPr>
          <w:ilvl w:val="0"/>
          <w:numId w:val="12"/>
        </w:numPr>
        <w:spacing w:line="470" w:lineRule="exact"/>
        <w:ind w:firstLineChars="0"/>
        <w:rPr>
          <w:rFonts w:ascii="宋体" w:hAnsi="宋体" w:cs="宋体"/>
          <w:vanish/>
          <w:color w:val="auto"/>
          <w:sz w:val="24"/>
          <w:szCs w:val="24"/>
          <w:highlight w:val="none"/>
        </w:rPr>
      </w:pPr>
    </w:p>
    <w:p w14:paraId="090B0AFD">
      <w:pPr>
        <w:numPr>
          <w:ilvl w:val="1"/>
          <w:numId w:val="12"/>
        </w:numPr>
        <w:tabs>
          <w:tab w:val="left" w:pos="1019"/>
          <w:tab w:val="left" w:pos="2099"/>
        </w:tabs>
        <w:spacing w:line="470" w:lineRule="exact"/>
        <w:ind w:left="55" w:firstLine="425"/>
        <w:rPr>
          <w:rFonts w:ascii="宋体" w:hAnsi="宋体" w:cs="宋体"/>
          <w:color w:val="auto"/>
          <w:sz w:val="24"/>
          <w:szCs w:val="24"/>
          <w:highlight w:val="none"/>
        </w:rPr>
      </w:pPr>
      <w:r>
        <w:rPr>
          <w:rFonts w:hint="eastAsia" w:ascii="宋体" w:hAnsi="宋体" w:cs="宋体"/>
          <w:color w:val="auto"/>
          <w:sz w:val="24"/>
          <w:szCs w:val="24"/>
          <w:highlight w:val="none"/>
        </w:rPr>
        <w:t>询价小组由</w:t>
      </w:r>
      <w:r>
        <w:rPr>
          <w:rFonts w:hint="eastAsia" w:ascii="宋体" w:hAnsi="宋体" w:cs="宋体"/>
          <w:color w:val="auto"/>
          <w:sz w:val="24"/>
          <w:szCs w:val="24"/>
          <w:highlight w:val="none"/>
          <w:lang w:val="en-US" w:eastAsia="zh-CN"/>
        </w:rPr>
        <w:t>招标代理公司</w:t>
      </w:r>
      <w:r>
        <w:rPr>
          <w:rFonts w:hint="eastAsia" w:ascii="宋体" w:hAnsi="宋体" w:cs="宋体"/>
          <w:color w:val="auto"/>
          <w:sz w:val="24"/>
          <w:szCs w:val="24"/>
          <w:highlight w:val="none"/>
        </w:rPr>
        <w:t>和采购人代表组成。成员为3人以上单数组成。在询价文件递交时间后及时成立询价小组，由询价小组对询价文件、各供应商的</w:t>
      </w:r>
      <w:r>
        <w:rPr>
          <w:rFonts w:hint="eastAsia" w:ascii="宋体" w:hAnsi="宋体" w:cs="宋体"/>
          <w:color w:val="auto"/>
          <w:sz w:val="24"/>
          <w:szCs w:val="24"/>
          <w:highlight w:val="none"/>
          <w:lang w:eastAsia="zh-CN"/>
        </w:rPr>
        <w:t>响应文件</w:t>
      </w:r>
      <w:r>
        <w:rPr>
          <w:rFonts w:hint="eastAsia" w:ascii="宋体" w:hAnsi="宋体" w:cs="宋体"/>
          <w:color w:val="auto"/>
          <w:sz w:val="24"/>
          <w:szCs w:val="24"/>
          <w:highlight w:val="none"/>
        </w:rPr>
        <w:t>进行审查、质疑、评估和比较，并做出推荐报价成交供应商的建议。</w:t>
      </w:r>
    </w:p>
    <w:p w14:paraId="7D65A048">
      <w:pPr>
        <w:pStyle w:val="3"/>
        <w:numPr>
          <w:ilvl w:val="0"/>
          <w:numId w:val="11"/>
        </w:numPr>
        <w:spacing w:before="0" w:after="0" w:line="470" w:lineRule="exact"/>
        <w:ind w:hanging="902"/>
        <w:rPr>
          <w:rFonts w:ascii="宋体" w:hAnsi="宋体" w:cs="宋体"/>
          <w:color w:val="auto"/>
          <w:sz w:val="24"/>
          <w:szCs w:val="24"/>
          <w:highlight w:val="none"/>
        </w:rPr>
      </w:pPr>
      <w:bookmarkStart w:id="130" w:name="_Toc526873923"/>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程序</w:t>
      </w:r>
      <w:bookmarkEnd w:id="130"/>
    </w:p>
    <w:p w14:paraId="6ACFF846">
      <w:pPr>
        <w:pStyle w:val="90"/>
        <w:numPr>
          <w:ilvl w:val="0"/>
          <w:numId w:val="13"/>
        </w:numPr>
        <w:tabs>
          <w:tab w:val="left" w:pos="992"/>
        </w:tabs>
        <w:spacing w:line="470" w:lineRule="exact"/>
        <w:ind w:firstLineChars="0"/>
        <w:rPr>
          <w:rFonts w:ascii="宋体" w:hAnsi="宋体" w:cs="宋体"/>
          <w:vanish/>
          <w:color w:val="auto"/>
          <w:sz w:val="24"/>
          <w:szCs w:val="24"/>
          <w:highlight w:val="none"/>
        </w:rPr>
      </w:pPr>
    </w:p>
    <w:p w14:paraId="304DCE6B">
      <w:pPr>
        <w:pStyle w:val="90"/>
        <w:numPr>
          <w:ilvl w:val="0"/>
          <w:numId w:val="12"/>
        </w:numPr>
        <w:spacing w:line="470" w:lineRule="exact"/>
        <w:ind w:firstLineChars="0"/>
        <w:rPr>
          <w:rFonts w:ascii="宋体" w:hAnsi="宋体" w:cs="宋体"/>
          <w:vanish/>
          <w:color w:val="auto"/>
          <w:sz w:val="24"/>
          <w:szCs w:val="24"/>
          <w:highlight w:val="none"/>
        </w:rPr>
      </w:pPr>
    </w:p>
    <w:p w14:paraId="14188E61">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详见《供应商须知前附表3》</w:t>
      </w:r>
    </w:p>
    <w:p w14:paraId="058A6A59">
      <w:pPr>
        <w:pStyle w:val="3"/>
        <w:numPr>
          <w:ilvl w:val="0"/>
          <w:numId w:val="11"/>
        </w:numPr>
        <w:spacing w:before="0" w:after="0" w:line="470" w:lineRule="exact"/>
        <w:ind w:hanging="902"/>
        <w:rPr>
          <w:rFonts w:ascii="宋体" w:hAnsi="宋体" w:cs="宋体"/>
          <w:color w:val="auto"/>
          <w:sz w:val="24"/>
          <w:szCs w:val="24"/>
          <w:highlight w:val="none"/>
        </w:rPr>
      </w:pPr>
      <w:bookmarkStart w:id="131" w:name="_Toc526873924"/>
      <w:r>
        <w:rPr>
          <w:rFonts w:hint="eastAsia" w:ascii="宋体" w:hAnsi="宋体" w:cs="宋体"/>
          <w:color w:val="auto"/>
          <w:sz w:val="24"/>
          <w:szCs w:val="24"/>
          <w:highlight w:val="none"/>
        </w:rPr>
        <w:t>响应文件初审</w:t>
      </w:r>
      <w:bookmarkEnd w:id="131"/>
    </w:p>
    <w:p w14:paraId="1899CDB1">
      <w:pPr>
        <w:pStyle w:val="90"/>
        <w:numPr>
          <w:ilvl w:val="0"/>
          <w:numId w:val="13"/>
        </w:numPr>
        <w:tabs>
          <w:tab w:val="left" w:pos="992"/>
        </w:tabs>
        <w:spacing w:line="470" w:lineRule="exact"/>
        <w:ind w:firstLineChars="0"/>
        <w:rPr>
          <w:rFonts w:ascii="宋体" w:hAnsi="宋体" w:cs="宋体"/>
          <w:vanish/>
          <w:color w:val="auto"/>
          <w:sz w:val="24"/>
          <w:szCs w:val="24"/>
          <w:highlight w:val="none"/>
        </w:rPr>
      </w:pPr>
    </w:p>
    <w:p w14:paraId="717DD39C">
      <w:pPr>
        <w:pStyle w:val="90"/>
        <w:numPr>
          <w:ilvl w:val="0"/>
          <w:numId w:val="12"/>
        </w:numPr>
        <w:spacing w:line="470" w:lineRule="exact"/>
        <w:ind w:firstLineChars="0"/>
        <w:rPr>
          <w:rFonts w:ascii="宋体" w:hAnsi="宋体" w:cs="宋体"/>
          <w:vanish/>
          <w:color w:val="auto"/>
          <w:sz w:val="24"/>
          <w:szCs w:val="24"/>
          <w:highlight w:val="none"/>
        </w:rPr>
      </w:pPr>
    </w:p>
    <w:p w14:paraId="79BD9363">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对所有供应商的评估，都采用相同的程序和标准。评议过程将严格按照询价文件的要求和条件进行。</w:t>
      </w:r>
    </w:p>
    <w:p w14:paraId="549748A1">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有关响应文件的审查、澄清、评估和比较以及推荐成交候选人的一切情况都不得透露给任一供应商或与上述评审工作无关的人员。</w:t>
      </w:r>
    </w:p>
    <w:p w14:paraId="6380437F">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lang w:eastAsia="zh-CN"/>
        </w:rPr>
        <w:t>询价小组</w:t>
      </w:r>
      <w:r>
        <w:rPr>
          <w:rFonts w:hint="eastAsia" w:ascii="宋体" w:hAnsi="宋体" w:cs="宋体"/>
          <w:color w:val="auto"/>
          <w:sz w:val="24"/>
          <w:szCs w:val="24"/>
          <w:highlight w:val="none"/>
        </w:rPr>
        <w:t>将对响应文件进行审查，以确定响应文件是否完整、文件是否已正确签署。</w:t>
      </w:r>
    </w:p>
    <w:p w14:paraId="351A9BF0">
      <w:pPr>
        <w:numPr>
          <w:ilvl w:val="1"/>
          <w:numId w:val="12"/>
        </w:numPr>
        <w:tabs>
          <w:tab w:val="left" w:pos="1019"/>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资格性检查和符合性检查</w:t>
      </w:r>
    </w:p>
    <w:p w14:paraId="5AC2D809">
      <w:pPr>
        <w:pStyle w:val="23"/>
        <w:numPr>
          <w:ilvl w:val="2"/>
          <w:numId w:val="12"/>
        </w:numPr>
        <w:tabs>
          <w:tab w:val="left" w:pos="360"/>
          <w:tab w:val="left" w:pos="540"/>
          <w:tab w:val="left" w:pos="964"/>
          <w:tab w:val="left" w:pos="1276"/>
          <w:tab w:val="left" w:pos="1418"/>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资格性检查。依据法律法规和询价文件的规定，在对响应文件详细评估之前，</w:t>
      </w:r>
      <w:r>
        <w:rPr>
          <w:rFonts w:hint="eastAsia" w:ascii="宋体" w:hAnsi="宋体" w:cs="宋体"/>
          <w:color w:val="auto"/>
          <w:sz w:val="24"/>
          <w:highlight w:val="none"/>
          <w:lang w:eastAsia="zh-CN"/>
        </w:rPr>
        <w:t>询价小组</w:t>
      </w:r>
      <w:r>
        <w:rPr>
          <w:rFonts w:hint="eastAsia" w:ascii="宋体" w:hAnsi="宋体" w:cs="宋体"/>
          <w:color w:val="auto"/>
          <w:sz w:val="24"/>
          <w:highlight w:val="none"/>
        </w:rPr>
        <w:t>将依据供应商提交的响应文件按《供应商须知前附表2》所述的资格性要求对供应商进行资格审查, 以确定其是否具备报价资格。如果供应商不具备报价资格，不满足询价文件所规定的资格标准或提供资格证明文件不全的, 其报价将被拒绝。</w:t>
      </w:r>
    </w:p>
    <w:p w14:paraId="55B42F63">
      <w:pPr>
        <w:pStyle w:val="23"/>
        <w:numPr>
          <w:ilvl w:val="2"/>
          <w:numId w:val="12"/>
        </w:numPr>
        <w:tabs>
          <w:tab w:val="left" w:pos="360"/>
          <w:tab w:val="left" w:pos="540"/>
          <w:tab w:val="left" w:pos="964"/>
          <w:tab w:val="left" w:pos="1276"/>
          <w:tab w:val="left" w:pos="1418"/>
          <w:tab w:val="clear" w:pos="1140"/>
        </w:tabs>
        <w:spacing w:line="470" w:lineRule="exact"/>
        <w:ind w:left="141" w:leftChars="67" w:firstLineChars="0"/>
        <w:rPr>
          <w:rFonts w:ascii="宋体" w:hAnsi="宋体" w:cs="宋体"/>
          <w:color w:val="auto"/>
          <w:sz w:val="24"/>
          <w:highlight w:val="none"/>
        </w:rPr>
      </w:pPr>
      <w:r>
        <w:rPr>
          <w:rFonts w:hint="eastAsia" w:ascii="宋体" w:hAnsi="宋体" w:cs="宋体"/>
          <w:color w:val="auto"/>
          <w:sz w:val="24"/>
          <w:highlight w:val="none"/>
        </w:rPr>
        <w:t>符合性检查。依据询价文件的规定，</w:t>
      </w:r>
      <w:r>
        <w:rPr>
          <w:rFonts w:hint="eastAsia" w:ascii="宋体" w:hAnsi="宋体" w:cs="宋体"/>
          <w:color w:val="auto"/>
          <w:sz w:val="24"/>
          <w:highlight w:val="none"/>
          <w:lang w:eastAsia="zh-CN"/>
        </w:rPr>
        <w:t>询价小组</w:t>
      </w:r>
      <w:r>
        <w:rPr>
          <w:rFonts w:hint="eastAsia" w:ascii="宋体" w:hAnsi="宋体" w:cs="宋体"/>
          <w:color w:val="auto"/>
          <w:sz w:val="24"/>
          <w:highlight w:val="none"/>
        </w:rPr>
        <w:t>还将从响应文件的有效性、完整性和对询价文件的响应程度进行审查，以确定是否符合对询价文件的实质性要求作出响应。</w:t>
      </w:r>
      <w:r>
        <w:rPr>
          <w:rFonts w:hint="eastAsia" w:ascii="宋体" w:hAnsi="宋体" w:cs="宋体"/>
          <w:color w:val="auto"/>
          <w:sz w:val="24"/>
          <w:highlight w:val="none"/>
          <w:lang w:eastAsia="zh-CN"/>
        </w:rPr>
        <w:t>询价小组</w:t>
      </w:r>
      <w:r>
        <w:rPr>
          <w:rFonts w:hint="eastAsia" w:ascii="宋体" w:hAnsi="宋体" w:cs="宋体"/>
          <w:color w:val="auto"/>
          <w:sz w:val="24"/>
          <w:highlight w:val="none"/>
        </w:rPr>
        <w:t>将依据供应商提交的响应文件按《供应商须知前附表2》所述的符合性要求对供应商进行审查,对没有实质性响应的响应文件将不进行评估，其报价将被作为无效报价处理。</w:t>
      </w:r>
    </w:p>
    <w:p w14:paraId="3FEF111E">
      <w:pPr>
        <w:tabs>
          <w:tab w:val="left" w:pos="1019"/>
        </w:tabs>
        <w:spacing w:line="47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eastAsia="zh-CN"/>
        </w:rPr>
        <w:t>询价小组</w:t>
      </w:r>
      <w:r>
        <w:rPr>
          <w:rFonts w:hint="eastAsia" w:ascii="宋体" w:hAnsi="宋体" w:cs="宋体"/>
          <w:color w:val="auto"/>
          <w:sz w:val="24"/>
          <w:szCs w:val="24"/>
          <w:highlight w:val="none"/>
        </w:rPr>
        <w:t>确定供应商的响应性，只根据响应文件本身的内容，而不寻求其他的外部证据。</w:t>
      </w:r>
    </w:p>
    <w:bookmarkEnd w:id="123"/>
    <w:bookmarkEnd w:id="124"/>
    <w:bookmarkEnd w:id="125"/>
    <w:bookmarkEnd w:id="126"/>
    <w:bookmarkEnd w:id="127"/>
    <w:bookmarkEnd w:id="128"/>
    <w:bookmarkEnd w:id="129"/>
    <w:p w14:paraId="07179D99">
      <w:pPr>
        <w:pStyle w:val="90"/>
        <w:numPr>
          <w:ilvl w:val="0"/>
          <w:numId w:val="13"/>
        </w:numPr>
        <w:tabs>
          <w:tab w:val="left" w:pos="992"/>
        </w:tabs>
        <w:spacing w:line="470" w:lineRule="exact"/>
        <w:ind w:firstLineChars="0"/>
        <w:rPr>
          <w:rFonts w:ascii="宋体" w:hAnsi="宋体" w:cs="宋体"/>
          <w:vanish/>
          <w:color w:val="auto"/>
          <w:sz w:val="24"/>
          <w:szCs w:val="24"/>
          <w:highlight w:val="none"/>
        </w:rPr>
      </w:pPr>
    </w:p>
    <w:p w14:paraId="0F904C9E">
      <w:pPr>
        <w:pStyle w:val="90"/>
        <w:numPr>
          <w:ilvl w:val="0"/>
          <w:numId w:val="12"/>
        </w:numPr>
        <w:tabs>
          <w:tab w:val="left" w:pos="1134"/>
        </w:tabs>
        <w:spacing w:line="470" w:lineRule="exact"/>
        <w:ind w:firstLineChars="0"/>
        <w:rPr>
          <w:rFonts w:ascii="宋体" w:hAnsi="宋体" w:cs="宋体"/>
          <w:vanish/>
          <w:color w:val="auto"/>
          <w:sz w:val="24"/>
          <w:szCs w:val="24"/>
          <w:highlight w:val="none"/>
        </w:rPr>
      </w:pPr>
    </w:p>
    <w:p w14:paraId="7F53D95F">
      <w:pPr>
        <w:pStyle w:val="3"/>
        <w:spacing w:line="470" w:lineRule="exact"/>
        <w:jc w:val="center"/>
        <w:rPr>
          <w:rFonts w:ascii="宋体" w:hAnsi="宋体" w:cs="宋体"/>
          <w:color w:val="auto"/>
          <w:sz w:val="24"/>
          <w:szCs w:val="24"/>
          <w:highlight w:val="none"/>
        </w:rPr>
      </w:pPr>
      <w:bookmarkStart w:id="132" w:name="_Toc526873925"/>
      <w:r>
        <w:rPr>
          <w:rFonts w:hint="eastAsia" w:ascii="宋体" w:hAnsi="宋体" w:cs="宋体"/>
          <w:color w:val="auto"/>
          <w:sz w:val="24"/>
          <w:szCs w:val="24"/>
          <w:highlight w:val="none"/>
        </w:rPr>
        <w:t>第六节  确定成交与签订合同</w:t>
      </w:r>
      <w:bookmarkEnd w:id="132"/>
    </w:p>
    <w:p w14:paraId="63FEC898">
      <w:pPr>
        <w:pStyle w:val="3"/>
        <w:numPr>
          <w:ilvl w:val="0"/>
          <w:numId w:val="11"/>
        </w:numPr>
        <w:spacing w:before="0" w:after="0" w:line="470" w:lineRule="exact"/>
        <w:ind w:hanging="902"/>
        <w:rPr>
          <w:rFonts w:ascii="宋体" w:hAnsi="宋体" w:cs="宋体"/>
          <w:color w:val="auto"/>
          <w:sz w:val="24"/>
          <w:szCs w:val="24"/>
          <w:highlight w:val="none"/>
        </w:rPr>
      </w:pPr>
      <w:bookmarkStart w:id="133" w:name="_Toc526873926"/>
      <w:r>
        <w:rPr>
          <w:rFonts w:hint="eastAsia" w:ascii="宋体" w:hAnsi="宋体" w:cs="宋体"/>
          <w:color w:val="auto"/>
          <w:sz w:val="24"/>
          <w:szCs w:val="24"/>
          <w:highlight w:val="none"/>
        </w:rPr>
        <w:t>确定成交供应商</w:t>
      </w:r>
      <w:bookmarkEnd w:id="133"/>
    </w:p>
    <w:p w14:paraId="6F945753">
      <w:pPr>
        <w:pStyle w:val="90"/>
        <w:numPr>
          <w:ilvl w:val="0"/>
          <w:numId w:val="13"/>
        </w:numPr>
        <w:tabs>
          <w:tab w:val="left" w:pos="992"/>
        </w:tabs>
        <w:spacing w:line="470" w:lineRule="exact"/>
        <w:ind w:firstLineChars="0"/>
        <w:rPr>
          <w:rFonts w:ascii="宋体" w:hAnsi="宋体" w:cs="宋体"/>
          <w:vanish/>
          <w:color w:val="auto"/>
          <w:sz w:val="24"/>
          <w:szCs w:val="24"/>
          <w:highlight w:val="none"/>
        </w:rPr>
      </w:pPr>
    </w:p>
    <w:p w14:paraId="2B8BA4FA">
      <w:pPr>
        <w:numPr>
          <w:ilvl w:val="1"/>
          <w:numId w:val="12"/>
        </w:numPr>
        <w:tabs>
          <w:tab w:val="left" w:pos="1019"/>
          <w:tab w:val="left" w:pos="1134"/>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根据资格性和符合性均满足询价文件实质性响应要求且报价要求最低的原则确定成交人。</w:t>
      </w:r>
    </w:p>
    <w:p w14:paraId="59FD9B8E">
      <w:pPr>
        <w:numPr>
          <w:ilvl w:val="1"/>
          <w:numId w:val="12"/>
        </w:numPr>
        <w:tabs>
          <w:tab w:val="left" w:pos="1019"/>
          <w:tab w:val="left" w:pos="1134"/>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供应商的</w:t>
      </w:r>
      <w:r>
        <w:rPr>
          <w:rFonts w:hint="eastAsia" w:ascii="宋体" w:hAnsi="宋体" w:cs="宋体"/>
          <w:color w:val="auto"/>
          <w:sz w:val="24"/>
          <w:szCs w:val="24"/>
          <w:highlight w:val="none"/>
          <w:lang w:eastAsia="zh-CN"/>
        </w:rPr>
        <w:t>响应文件</w:t>
      </w:r>
      <w:r>
        <w:rPr>
          <w:rFonts w:hint="eastAsia" w:ascii="宋体" w:hAnsi="宋体" w:cs="宋体"/>
          <w:color w:val="auto"/>
          <w:sz w:val="24"/>
          <w:szCs w:val="24"/>
          <w:highlight w:val="none"/>
        </w:rPr>
        <w:t>符合询价文件要求，按询价文件确定评审方法、标准，经询价小组评审并推荐成交候选供应商。</w:t>
      </w:r>
    </w:p>
    <w:p w14:paraId="05871C10">
      <w:pPr>
        <w:numPr>
          <w:ilvl w:val="1"/>
          <w:numId w:val="12"/>
        </w:numPr>
        <w:tabs>
          <w:tab w:val="left" w:pos="1019"/>
          <w:tab w:val="left" w:pos="1134"/>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出现供应商有串通哄抬价格嫌疑，或出现影响采购公正的违法、违规行为，或因重大变故采购任务取消的，询价小组可以作出不予推荐成交候选供应商、询价失败的决定。</w:t>
      </w:r>
    </w:p>
    <w:p w14:paraId="238AFB4B">
      <w:pPr>
        <w:spacing w:line="470" w:lineRule="exact"/>
        <w:ind w:left="0" w:leftChars="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评</w:t>
      </w:r>
      <w:r>
        <w:rPr>
          <w:rFonts w:hint="eastAsia" w:ascii="宋体" w:hAnsi="宋体" w:cs="宋体"/>
          <w:color w:val="auto"/>
          <w:sz w:val="24"/>
          <w:szCs w:val="24"/>
          <w:highlight w:val="none"/>
        </w:rPr>
        <w:t>审结束后，采购代理机构应在评审结束后2个工作日内将评审报告送采购人，采购人在收到评审报告后五个工作日内，按照评审报告中推荐的成交候选人顺序确定拟报价成交供应商。</w:t>
      </w:r>
    </w:p>
    <w:p w14:paraId="0BECA707">
      <w:pPr>
        <w:numPr>
          <w:ilvl w:val="1"/>
          <w:numId w:val="12"/>
        </w:numPr>
        <w:tabs>
          <w:tab w:val="left" w:pos="1019"/>
          <w:tab w:val="left" w:pos="1134"/>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采购人可以要求拟报价成交供应商候选人提供</w:t>
      </w:r>
      <w:r>
        <w:rPr>
          <w:rFonts w:hint="eastAsia" w:ascii="宋体" w:hAnsi="宋体" w:cs="宋体"/>
          <w:color w:val="auto"/>
          <w:sz w:val="24"/>
          <w:szCs w:val="24"/>
          <w:highlight w:val="none"/>
          <w:lang w:eastAsia="zh-CN"/>
        </w:rPr>
        <w:t>响应文件</w:t>
      </w:r>
      <w:r>
        <w:rPr>
          <w:rFonts w:hint="eastAsia" w:ascii="宋体" w:hAnsi="宋体" w:cs="宋体"/>
          <w:color w:val="auto"/>
          <w:sz w:val="24"/>
          <w:szCs w:val="24"/>
          <w:highlight w:val="none"/>
        </w:rPr>
        <w:t>中复印件的原件进行核对,以及审查拟报价成交供应商候选人的供应商资格、信誉、生产条件、产品技术状态、性能以及在不违背相关法律法规规定的其它采购人认为有必要了解的问题。</w:t>
      </w:r>
    </w:p>
    <w:p w14:paraId="30C5FA05">
      <w:pPr>
        <w:numPr>
          <w:ilvl w:val="1"/>
          <w:numId w:val="12"/>
        </w:numPr>
        <w:tabs>
          <w:tab w:val="left" w:pos="1019"/>
          <w:tab w:val="left" w:pos="1134"/>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接受质询的成交候选人必须如实回答询问或接受采购人的考察，并提供所需的有关资料。</w:t>
      </w:r>
    </w:p>
    <w:p w14:paraId="2CFBB777">
      <w:pPr>
        <w:numPr>
          <w:ilvl w:val="1"/>
          <w:numId w:val="12"/>
        </w:numPr>
        <w:tabs>
          <w:tab w:val="left" w:pos="1019"/>
          <w:tab w:val="left" w:pos="1134"/>
        </w:tabs>
        <w:spacing w:line="470" w:lineRule="exact"/>
        <w:ind w:left="55"/>
        <w:rPr>
          <w:rFonts w:ascii="宋体" w:hAnsi="宋体" w:cs="宋体"/>
          <w:color w:val="auto"/>
          <w:sz w:val="24"/>
          <w:szCs w:val="24"/>
          <w:highlight w:val="none"/>
        </w:rPr>
      </w:pPr>
      <w:r>
        <w:rPr>
          <w:rFonts w:hint="eastAsia" w:ascii="宋体" w:hAnsi="宋体" w:cs="宋体"/>
          <w:color w:val="auto"/>
          <w:sz w:val="24"/>
          <w:szCs w:val="24"/>
          <w:highlight w:val="none"/>
        </w:rPr>
        <w:t>如果成交候选人未在结果公告后的5个工作日内配合采购人办理16.4款项的内容,或无能力履行合同，其报价将被拒绝。</w:t>
      </w:r>
    </w:p>
    <w:p w14:paraId="5FE1D377">
      <w:pPr>
        <w:pStyle w:val="3"/>
        <w:numPr>
          <w:ilvl w:val="0"/>
          <w:numId w:val="11"/>
        </w:numPr>
        <w:spacing w:before="0" w:after="0" w:line="470" w:lineRule="exact"/>
        <w:ind w:hanging="902"/>
        <w:rPr>
          <w:rFonts w:ascii="宋体" w:hAnsi="宋体" w:cs="宋体"/>
          <w:color w:val="auto"/>
          <w:sz w:val="24"/>
          <w:szCs w:val="24"/>
          <w:highlight w:val="none"/>
        </w:rPr>
      </w:pPr>
      <w:bookmarkStart w:id="134" w:name="_Toc398504622"/>
      <w:bookmarkStart w:id="135" w:name="_Toc398284566"/>
      <w:bookmarkStart w:id="136" w:name="_Toc526873927"/>
      <w:bookmarkStart w:id="137" w:name="_Toc431190669"/>
      <w:r>
        <w:rPr>
          <w:rFonts w:hint="eastAsia" w:ascii="宋体" w:hAnsi="宋体" w:cs="宋体"/>
          <w:color w:val="auto"/>
          <w:sz w:val="24"/>
          <w:szCs w:val="24"/>
          <w:highlight w:val="none"/>
        </w:rPr>
        <w:t>成交通知</w:t>
      </w:r>
    </w:p>
    <w:p w14:paraId="4E7A1533">
      <w:pPr>
        <w:spacing w:line="47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17.1 结果确认后，</w:t>
      </w:r>
      <w:r>
        <w:rPr>
          <w:rFonts w:hint="eastAsia" w:ascii="宋体" w:hAnsi="宋体" w:cs="宋体"/>
          <w:color w:val="auto"/>
          <w:sz w:val="24"/>
          <w:szCs w:val="24"/>
          <w:highlight w:val="none"/>
          <w:lang w:eastAsia="zh-CN"/>
        </w:rPr>
        <w:t>采购</w:t>
      </w:r>
      <w:r>
        <w:rPr>
          <w:rFonts w:hint="eastAsia" w:ascii="宋体" w:hAnsi="宋体" w:cs="宋体"/>
          <w:color w:val="auto"/>
          <w:sz w:val="24"/>
          <w:szCs w:val="24"/>
          <w:highlight w:val="none"/>
        </w:rPr>
        <w:t>人将对成交结果进行公告，</w:t>
      </w:r>
      <w:r>
        <w:rPr>
          <w:rFonts w:hint="eastAsia" w:ascii="宋体" w:hAnsi="宋体" w:eastAsia="宋体" w:cs="宋体"/>
          <w:color w:val="auto"/>
          <w:sz w:val="24"/>
          <w:szCs w:val="24"/>
          <w:highlight w:val="none"/>
        </w:rPr>
        <w:t>公告期限为1个工作日。</w:t>
      </w:r>
      <w:r>
        <w:rPr>
          <w:rFonts w:hint="eastAsia" w:ascii="宋体" w:hAnsi="宋体" w:cs="宋体"/>
          <w:color w:val="auto"/>
          <w:sz w:val="24"/>
          <w:szCs w:val="24"/>
          <w:highlight w:val="none"/>
        </w:rPr>
        <w:t>同时</w:t>
      </w:r>
      <w:r>
        <w:rPr>
          <w:rFonts w:hint="eastAsia" w:ascii="宋体" w:hAnsi="宋体" w:cs="宋体"/>
          <w:color w:val="auto"/>
          <w:sz w:val="24"/>
          <w:szCs w:val="24"/>
          <w:highlight w:val="none"/>
          <w:lang w:eastAsia="zh-CN"/>
        </w:rPr>
        <w:t>采购</w:t>
      </w:r>
      <w:r>
        <w:rPr>
          <w:rFonts w:hint="eastAsia" w:ascii="宋体" w:hAnsi="宋体" w:cs="宋体"/>
          <w:color w:val="auto"/>
          <w:sz w:val="24"/>
          <w:szCs w:val="24"/>
          <w:highlight w:val="none"/>
        </w:rPr>
        <w:t>人向报价成交供应商发出成交通知书。成交通知书对采购人和报价成交供应商具有同等法律效力。成交通知书发出后，采购人改变成交结果，或者报价成交供应商放弃成交，应当承担相应的法律责任。</w:t>
      </w:r>
    </w:p>
    <w:p w14:paraId="18489960">
      <w:pPr>
        <w:spacing w:line="47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供应商对成交公告有异议的，应当在成交发布之日起7个工作日内，以书面形式向采购人提出质疑。采购人应当在收到供应商书面质疑后7个工作日内，对质疑内容作出答复。</w:t>
      </w:r>
    </w:p>
    <w:p w14:paraId="43474D38">
      <w:pPr>
        <w:spacing w:line="47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质疑供应商对采购人的答复不满意或者采购人未在规定时间内答复的，可以在答复期满后15个工作日内书面向主管部门提出投诉。</w:t>
      </w:r>
    </w:p>
    <w:p w14:paraId="69EEBE51">
      <w:pPr>
        <w:spacing w:line="47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供应商未在上述规定的时间内提出质疑的,之后，其提出质疑将被拒绝。</w:t>
      </w:r>
    </w:p>
    <w:p w14:paraId="7115CF42">
      <w:pPr>
        <w:spacing w:line="47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17.</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《成交通知书》将作为签订采购合同的依据。采购合同签订后，《成交通知书》成为合同的一部分。</w:t>
      </w:r>
    </w:p>
    <w:p w14:paraId="13CF0833">
      <w:pPr>
        <w:pStyle w:val="3"/>
        <w:numPr>
          <w:ilvl w:val="0"/>
          <w:numId w:val="11"/>
        </w:numPr>
        <w:spacing w:before="0" w:after="0" w:line="470" w:lineRule="exact"/>
        <w:ind w:hanging="902"/>
        <w:rPr>
          <w:rFonts w:ascii="宋体" w:hAnsi="宋体" w:cs="宋体"/>
          <w:color w:val="auto"/>
          <w:sz w:val="24"/>
          <w:szCs w:val="24"/>
          <w:highlight w:val="none"/>
        </w:rPr>
      </w:pPr>
      <w:r>
        <w:rPr>
          <w:rFonts w:hint="eastAsia" w:ascii="宋体" w:hAnsi="宋体" w:cs="宋体"/>
          <w:color w:val="auto"/>
          <w:sz w:val="24"/>
          <w:szCs w:val="24"/>
          <w:highlight w:val="none"/>
        </w:rPr>
        <w:t>签订合同</w:t>
      </w:r>
      <w:bookmarkEnd w:id="134"/>
      <w:bookmarkEnd w:id="135"/>
      <w:bookmarkEnd w:id="136"/>
      <w:bookmarkEnd w:id="137"/>
    </w:p>
    <w:p w14:paraId="23BDAFDD">
      <w:pPr>
        <w:pStyle w:val="90"/>
        <w:numPr>
          <w:ilvl w:val="0"/>
          <w:numId w:val="13"/>
        </w:numPr>
        <w:tabs>
          <w:tab w:val="left" w:pos="992"/>
          <w:tab w:val="left" w:pos="1019"/>
        </w:tabs>
        <w:spacing w:line="470" w:lineRule="exact"/>
        <w:ind w:firstLineChars="0"/>
        <w:rPr>
          <w:rFonts w:ascii="宋体" w:hAnsi="宋体" w:cs="宋体"/>
          <w:vanish/>
          <w:color w:val="auto"/>
          <w:sz w:val="24"/>
          <w:szCs w:val="24"/>
          <w:highlight w:val="none"/>
        </w:rPr>
      </w:pPr>
    </w:p>
    <w:p w14:paraId="3090BFAC">
      <w:pPr>
        <w:pStyle w:val="90"/>
        <w:numPr>
          <w:ilvl w:val="0"/>
          <w:numId w:val="12"/>
        </w:numPr>
        <w:tabs>
          <w:tab w:val="left" w:pos="1134"/>
        </w:tabs>
        <w:spacing w:line="470" w:lineRule="exact"/>
        <w:ind w:firstLineChars="0"/>
        <w:rPr>
          <w:rFonts w:ascii="宋体" w:hAnsi="宋体" w:cs="宋体"/>
          <w:vanish/>
          <w:color w:val="auto"/>
          <w:sz w:val="24"/>
          <w:szCs w:val="24"/>
          <w:highlight w:val="none"/>
        </w:rPr>
      </w:pPr>
    </w:p>
    <w:p w14:paraId="56353E06">
      <w:pPr>
        <w:tabs>
          <w:tab w:val="left" w:pos="1019"/>
          <w:tab w:val="left" w:pos="1134"/>
        </w:tabs>
        <w:spacing w:line="47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18.1采购人、成交供应商应当在《成交通知书》发出之日起30日内，根据询价文件确定的事项和成交供应商的响应文件，参照本询价文件第五章的《合同》文本签订合同。双方所签订的合同不得对询价文件和成交供应商响应文件作实质性修改。逾期未签订合同，按照有关法律规定承担相应的法律责任。采购人逾期不与成交供应商签订合同的，按政府采购的有关规定处理。</w:t>
      </w:r>
    </w:p>
    <w:p w14:paraId="312C359F">
      <w:pPr>
        <w:tabs>
          <w:tab w:val="left" w:pos="1019"/>
          <w:tab w:val="left" w:pos="1134"/>
          <w:tab w:val="left" w:pos="2099"/>
        </w:tabs>
        <w:spacing w:line="47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18.2询价文件、询价文件的修改文件、成交供应商的响应文件等，均为双方签订采购合同的组成部分，并与合同一并作为本询价文件所列采购项目的互补性法律文件，与合同具有同等法律效力。</w:t>
      </w:r>
    </w:p>
    <w:p w14:paraId="0A671999">
      <w:pPr>
        <w:tabs>
          <w:tab w:val="left" w:pos="1019"/>
          <w:tab w:val="left" w:pos="1134"/>
          <w:tab w:val="left" w:pos="2099"/>
        </w:tabs>
        <w:spacing w:line="47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18.3成交供应商因不可抗力或者自身原因不能履行采购合同的，采购人可以与排位在成交供应商之后第一位的成交候选人签订采购合同（以此类推），或重新组织采购。</w:t>
      </w:r>
      <w:bookmarkEnd w:id="33"/>
      <w:bookmarkEnd w:id="120"/>
      <w:bookmarkEnd w:id="121"/>
      <w:bookmarkEnd w:id="122"/>
      <w:bookmarkStart w:id="138" w:name="_Toc526873928"/>
      <w:bookmarkStart w:id="139" w:name="_Toc32184"/>
    </w:p>
    <w:p w14:paraId="1ECA1452">
      <w:pPr>
        <w:tabs>
          <w:tab w:val="left" w:pos="1019"/>
          <w:tab w:val="left" w:pos="1134"/>
          <w:tab w:val="left" w:pos="2099"/>
        </w:tabs>
        <w:spacing w:line="470" w:lineRule="exact"/>
        <w:ind w:firstLine="480" w:firstLineChars="200"/>
        <w:rPr>
          <w:rFonts w:ascii="宋体" w:hAnsi="宋体" w:cs="宋体"/>
          <w:color w:val="auto"/>
          <w:sz w:val="24"/>
          <w:szCs w:val="24"/>
          <w:highlight w:val="none"/>
        </w:rPr>
      </w:pPr>
    </w:p>
    <w:p w14:paraId="3BF52100">
      <w:pPr>
        <w:tabs>
          <w:tab w:val="left" w:pos="1019"/>
          <w:tab w:val="left" w:pos="1134"/>
          <w:tab w:val="left" w:pos="2099"/>
        </w:tabs>
        <w:spacing w:line="470" w:lineRule="exact"/>
        <w:ind w:firstLine="480" w:firstLineChars="200"/>
        <w:rPr>
          <w:rFonts w:ascii="宋体" w:hAnsi="宋体" w:cs="宋体"/>
          <w:color w:val="auto"/>
          <w:sz w:val="24"/>
          <w:szCs w:val="24"/>
          <w:highlight w:val="none"/>
        </w:rPr>
      </w:pPr>
    </w:p>
    <w:p w14:paraId="640AA537">
      <w:pPr>
        <w:tabs>
          <w:tab w:val="left" w:pos="1019"/>
          <w:tab w:val="left" w:pos="1134"/>
          <w:tab w:val="left" w:pos="2099"/>
        </w:tabs>
        <w:spacing w:line="470" w:lineRule="exact"/>
        <w:ind w:firstLine="480" w:firstLineChars="200"/>
        <w:rPr>
          <w:rFonts w:ascii="宋体" w:hAnsi="宋体" w:cs="宋体"/>
          <w:color w:val="auto"/>
          <w:sz w:val="24"/>
          <w:szCs w:val="24"/>
          <w:highlight w:val="none"/>
        </w:rPr>
      </w:pPr>
    </w:p>
    <w:p w14:paraId="64C45808">
      <w:pPr>
        <w:tabs>
          <w:tab w:val="left" w:pos="1019"/>
          <w:tab w:val="left" w:pos="1134"/>
          <w:tab w:val="left" w:pos="2099"/>
        </w:tabs>
        <w:spacing w:line="470" w:lineRule="exact"/>
        <w:ind w:firstLine="480" w:firstLineChars="200"/>
        <w:rPr>
          <w:rFonts w:ascii="宋体" w:hAnsi="宋体" w:cs="宋体"/>
          <w:color w:val="auto"/>
          <w:sz w:val="24"/>
          <w:szCs w:val="24"/>
          <w:highlight w:val="none"/>
        </w:rPr>
      </w:pPr>
    </w:p>
    <w:p w14:paraId="6E8E71F8">
      <w:pPr>
        <w:tabs>
          <w:tab w:val="left" w:pos="1019"/>
          <w:tab w:val="left" w:pos="1134"/>
          <w:tab w:val="left" w:pos="2099"/>
        </w:tabs>
        <w:spacing w:line="470" w:lineRule="exact"/>
        <w:ind w:firstLine="480" w:firstLineChars="200"/>
        <w:rPr>
          <w:rFonts w:ascii="宋体" w:hAnsi="宋体" w:cs="宋体"/>
          <w:color w:val="auto"/>
          <w:sz w:val="24"/>
          <w:szCs w:val="24"/>
          <w:highlight w:val="none"/>
        </w:rPr>
      </w:pPr>
    </w:p>
    <w:p w14:paraId="10F761F5">
      <w:pPr>
        <w:tabs>
          <w:tab w:val="left" w:pos="1019"/>
          <w:tab w:val="left" w:pos="1134"/>
          <w:tab w:val="left" w:pos="2099"/>
        </w:tabs>
        <w:spacing w:line="470" w:lineRule="exact"/>
        <w:ind w:firstLine="480" w:firstLineChars="200"/>
        <w:rPr>
          <w:rFonts w:ascii="宋体" w:hAnsi="宋体" w:cs="宋体"/>
          <w:color w:val="auto"/>
          <w:sz w:val="24"/>
          <w:szCs w:val="24"/>
          <w:highlight w:val="none"/>
        </w:rPr>
      </w:pPr>
    </w:p>
    <w:p w14:paraId="3D2F3602">
      <w:pPr>
        <w:pStyle w:val="41"/>
        <w:rPr>
          <w:rFonts w:ascii="宋体" w:hAnsi="宋体" w:cs="宋体"/>
          <w:color w:val="auto"/>
          <w:sz w:val="24"/>
          <w:szCs w:val="24"/>
          <w:highlight w:val="none"/>
        </w:rPr>
      </w:pPr>
    </w:p>
    <w:p w14:paraId="130D49C6">
      <w:pPr>
        <w:rPr>
          <w:rFonts w:ascii="宋体" w:hAnsi="宋体" w:cs="宋体"/>
          <w:color w:val="auto"/>
          <w:sz w:val="24"/>
          <w:szCs w:val="24"/>
          <w:highlight w:val="none"/>
        </w:rPr>
      </w:pPr>
    </w:p>
    <w:p w14:paraId="59A2FF2D">
      <w:pPr>
        <w:pStyle w:val="41"/>
        <w:rPr>
          <w:color w:val="auto"/>
          <w:highlight w:val="none"/>
        </w:rPr>
      </w:pPr>
    </w:p>
    <w:p w14:paraId="1C2B298F">
      <w:pPr>
        <w:pStyle w:val="41"/>
        <w:rPr>
          <w:rFonts w:ascii="宋体" w:hAnsi="宋体" w:cs="宋体"/>
          <w:color w:val="auto"/>
          <w:sz w:val="24"/>
          <w:szCs w:val="24"/>
          <w:highlight w:val="none"/>
        </w:rPr>
      </w:pPr>
    </w:p>
    <w:p w14:paraId="3FF49EA6">
      <w:pPr>
        <w:rPr>
          <w:color w:val="auto"/>
          <w:highlight w:val="none"/>
        </w:rPr>
      </w:pPr>
    </w:p>
    <w:p w14:paraId="24940D21">
      <w:pPr>
        <w:tabs>
          <w:tab w:val="left" w:pos="1019"/>
          <w:tab w:val="left" w:pos="1134"/>
          <w:tab w:val="left" w:pos="2099"/>
        </w:tabs>
        <w:spacing w:line="470" w:lineRule="exact"/>
        <w:ind w:firstLine="480" w:firstLineChars="200"/>
        <w:rPr>
          <w:rFonts w:ascii="宋体" w:hAnsi="宋体" w:cs="宋体"/>
          <w:color w:val="auto"/>
          <w:sz w:val="24"/>
          <w:szCs w:val="24"/>
          <w:highlight w:val="none"/>
        </w:rPr>
      </w:pPr>
    </w:p>
    <w:p w14:paraId="19077A61">
      <w:pPr>
        <w:jc w:val="center"/>
        <w:rPr>
          <w:rFonts w:hint="eastAsia" w:ascii="宋体" w:hAnsi="宋体" w:cs="宋体"/>
          <w:color w:val="auto"/>
          <w:highlight w:val="none"/>
        </w:rPr>
      </w:pPr>
      <w:r>
        <w:rPr>
          <w:rFonts w:hint="eastAsia" w:ascii="宋体" w:hAnsi="宋体" w:cs="宋体"/>
          <w:color w:val="auto"/>
          <w:highlight w:val="none"/>
        </w:rPr>
        <w:br w:type="page"/>
      </w:r>
    </w:p>
    <w:p w14:paraId="6CDF5EED">
      <w:pPr>
        <w:pStyle w:val="3"/>
        <w:jc w:val="center"/>
        <w:rPr>
          <w:rFonts w:ascii="宋体" w:hAnsi="宋体" w:cs="宋体"/>
          <w:color w:val="auto"/>
          <w:highlight w:val="none"/>
        </w:rPr>
      </w:pPr>
      <w:r>
        <w:rPr>
          <w:rFonts w:hint="eastAsia" w:ascii="宋体" w:hAnsi="宋体" w:cs="宋体"/>
          <w:color w:val="auto"/>
          <w:highlight w:val="none"/>
        </w:rPr>
        <w:t>第三章  项目内容及要求</w:t>
      </w:r>
      <w:bookmarkEnd w:id="138"/>
      <w:bookmarkEnd w:id="139"/>
    </w:p>
    <w:p w14:paraId="65BC9BAE">
      <w:pPr>
        <w:pStyle w:val="93"/>
        <w:tabs>
          <w:tab w:val="left" w:pos="920"/>
        </w:tabs>
        <w:adjustRightInd w:val="0"/>
        <w:snapToGrid w:val="0"/>
        <w:spacing w:after="0" w:line="360" w:lineRule="auto"/>
        <w:rPr>
          <w:b/>
          <w:bCs/>
          <w:color w:val="auto"/>
          <w:sz w:val="24"/>
          <w:szCs w:val="24"/>
          <w:highlight w:val="none"/>
          <w:lang w:val="en-US" w:eastAsia="zh-CN" w:bidi="ar-SA"/>
        </w:rPr>
      </w:pPr>
      <w:bookmarkStart w:id="140" w:name="_Toc1174"/>
      <w:bookmarkStart w:id="141" w:name="_Toc526873935"/>
      <w:bookmarkStart w:id="142" w:name="_Toc51489361"/>
      <w:bookmarkStart w:id="143" w:name="_Toc160934185"/>
      <w:bookmarkStart w:id="144" w:name="_Toc376615126"/>
      <w:bookmarkStart w:id="145" w:name="_Toc32815586"/>
      <w:bookmarkStart w:id="146" w:name="_Toc160876913"/>
      <w:bookmarkStart w:id="147" w:name="_Toc160543052"/>
      <w:r>
        <w:rPr>
          <w:rFonts w:hint="eastAsia"/>
          <w:b/>
          <w:bCs/>
          <w:color w:val="auto"/>
          <w:sz w:val="24"/>
          <w:szCs w:val="24"/>
          <w:highlight w:val="none"/>
          <w:lang w:val="en-US" w:eastAsia="zh-CN" w:bidi="ar-SA"/>
        </w:rPr>
        <w:t>一、项目情况</w:t>
      </w:r>
    </w:p>
    <w:p w14:paraId="075DC35B">
      <w:pPr>
        <w:adjustRightInd w:val="0"/>
        <w:snapToGrid w:val="0"/>
        <w:spacing w:line="360" w:lineRule="auto"/>
        <w:ind w:firstLine="480" w:firstLineChars="200"/>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（一）项目名称：</w:t>
      </w:r>
      <w:r>
        <w:rPr>
          <w:rFonts w:hint="eastAsia" w:cs="宋体" w:asciiTheme="minorEastAsia" w:hAnsiTheme="minorEastAsia" w:eastAsiaTheme="minorEastAsia"/>
          <w:color w:val="auto"/>
          <w:sz w:val="24"/>
          <w:highlight w:val="none"/>
          <w:u w:val="single"/>
          <w:lang w:val="en-US" w:eastAsia="zh-CN"/>
        </w:rPr>
        <w:t>古地石指挥部及金尚菜市场项目、厦大海韵园二期项目保洁绿化服务</w:t>
      </w:r>
    </w:p>
    <w:p w14:paraId="701D29BC">
      <w:pPr>
        <w:adjustRightInd w:val="0"/>
        <w:snapToGrid w:val="0"/>
        <w:spacing w:line="360" w:lineRule="auto"/>
        <w:ind w:firstLine="480" w:firstLineChars="200"/>
        <w:jc w:val="left"/>
        <w:rPr>
          <w:rFonts w:hint="eastAsia" w:cs="仿宋" w:asciiTheme="minorEastAsia" w:hAnsiTheme="minorEastAsia" w:eastAsiaTheme="minorEastAsia"/>
          <w:color w:val="auto"/>
          <w:sz w:val="24"/>
          <w:highlight w:val="none"/>
          <w:lang w:val="en-US" w:eastAsia="zh-CN"/>
        </w:rPr>
      </w:pPr>
      <w:r>
        <w:rPr>
          <w:rFonts w:hint="eastAsia" w:ascii="宋体" w:hAnsi="宋体" w:cs="宋体"/>
          <w:color w:val="auto"/>
          <w:sz w:val="24"/>
          <w:szCs w:val="24"/>
          <w:highlight w:val="none"/>
          <w:lang w:val="en-US" w:eastAsia="zh-CN"/>
        </w:rPr>
        <w:t>（二）项目概况：</w:t>
      </w:r>
    </w:p>
    <w:p w14:paraId="3470202B">
      <w:pPr>
        <w:adjustRightInd w:val="0"/>
        <w:snapToGrid w:val="0"/>
        <w:spacing w:line="360" w:lineRule="auto"/>
        <w:ind w:firstLine="480" w:firstLineChars="200"/>
        <w:jc w:val="left"/>
        <w:rPr>
          <w:rFonts w:hint="eastAsia" w:cs="仿宋" w:asciiTheme="minorEastAsia" w:hAnsiTheme="minorEastAsia" w:eastAsiaTheme="minorEastAsia"/>
          <w:color w:val="auto"/>
          <w:sz w:val="24"/>
          <w:highlight w:val="none"/>
          <w:lang w:val="en-US" w:eastAsia="zh-CN"/>
        </w:rPr>
      </w:pPr>
      <w:r>
        <w:rPr>
          <w:rFonts w:hint="eastAsia" w:cs="仿宋" w:asciiTheme="minorEastAsia" w:hAnsiTheme="minorEastAsia" w:eastAsiaTheme="minorEastAsia"/>
          <w:color w:val="auto"/>
          <w:sz w:val="24"/>
          <w:highlight w:val="none"/>
          <w:lang w:val="en-US" w:eastAsia="zh-CN"/>
        </w:rPr>
        <w:t>（1）古地石指挥部项目保洁总面积1500</w:t>
      </w:r>
      <w:r>
        <w:rPr>
          <w:rFonts w:hint="eastAsia" w:ascii="宋体" w:hAnsi="宋体" w:eastAsia="宋体" w:cs="宋体"/>
          <w:color w:val="auto"/>
          <w:sz w:val="24"/>
          <w:highlight w:val="none"/>
          <w:lang w:val="en-US" w:eastAsia="zh-CN"/>
        </w:rPr>
        <w:t>㎡</w:t>
      </w:r>
      <w:r>
        <w:rPr>
          <w:rFonts w:hint="eastAsia" w:cs="仿宋" w:asciiTheme="minorEastAsia" w:hAnsiTheme="minorEastAsia" w:eastAsiaTheme="minorEastAsia"/>
          <w:color w:val="auto"/>
          <w:sz w:val="24"/>
          <w:highlight w:val="none"/>
          <w:lang w:val="en-US" w:eastAsia="zh-CN"/>
        </w:rPr>
        <w:t>，包含绿化垃圾、保洁垃圾、生活垃圾分类等工作；</w:t>
      </w:r>
    </w:p>
    <w:p w14:paraId="230AED08">
      <w:pPr>
        <w:adjustRightInd w:val="0"/>
        <w:snapToGrid w:val="0"/>
        <w:spacing w:line="360" w:lineRule="auto"/>
        <w:ind w:firstLine="480" w:firstLineChars="200"/>
        <w:jc w:val="left"/>
        <w:rPr>
          <w:rFonts w:hint="eastAsia" w:cs="仿宋" w:asciiTheme="minorEastAsia" w:hAnsiTheme="minorEastAsia" w:eastAsiaTheme="minorEastAsia"/>
          <w:color w:val="auto"/>
          <w:sz w:val="24"/>
          <w:highlight w:val="none"/>
          <w:lang w:val="en-US" w:eastAsia="zh-CN"/>
        </w:rPr>
      </w:pPr>
      <w:r>
        <w:rPr>
          <w:rFonts w:hint="eastAsia" w:cs="仿宋" w:asciiTheme="minorEastAsia" w:hAnsiTheme="minorEastAsia" w:eastAsiaTheme="minorEastAsia"/>
          <w:color w:val="auto"/>
          <w:sz w:val="24"/>
          <w:highlight w:val="none"/>
          <w:lang w:val="en-US" w:eastAsia="zh-CN"/>
        </w:rPr>
        <w:t>（2）金尚菜市场项目保洁总面积2360㎡，包含绿化垃圾、保洁垃圾、生活垃圾分类等工作；</w:t>
      </w:r>
    </w:p>
    <w:p w14:paraId="45F8DB7F">
      <w:pPr>
        <w:adjustRightInd w:val="0"/>
        <w:snapToGrid w:val="0"/>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cs="仿宋" w:asciiTheme="minorEastAsia" w:hAnsiTheme="minorEastAsia" w:eastAsiaTheme="minorEastAsia"/>
          <w:color w:val="auto"/>
          <w:sz w:val="24"/>
          <w:highlight w:val="none"/>
          <w:lang w:val="en-US" w:eastAsia="zh-CN"/>
        </w:rPr>
        <w:t>（3）厦大海韵园二期项目：保洁总面积37406.42㎡，绿化总面积7300㎡，包含绿化垃圾、保洁垃圾、生活垃圾分类等工作。</w:t>
      </w:r>
    </w:p>
    <w:p w14:paraId="543EE07C">
      <w:pPr>
        <w:adjustRightInd w:val="0"/>
        <w:snapToGrid w:val="0"/>
        <w:spacing w:line="360" w:lineRule="auto"/>
        <w:jc w:val="left"/>
        <w:rPr>
          <w:rFonts w:ascii="宋体" w:hAnsi="宋体" w:cs="宋体"/>
          <w:b/>
          <w:bCs/>
          <w:color w:val="auto"/>
          <w:sz w:val="24"/>
          <w:szCs w:val="24"/>
          <w:highlight w:val="none"/>
        </w:rPr>
      </w:pPr>
      <w:r>
        <w:rPr>
          <w:rFonts w:hint="eastAsia" w:ascii="宋体" w:hAnsi="宋体" w:cs="宋体"/>
          <w:b/>
          <w:bCs/>
          <w:color w:val="auto"/>
          <w:sz w:val="24"/>
          <w:szCs w:val="24"/>
          <w:highlight w:val="none"/>
        </w:rPr>
        <w:t xml:space="preserve">二、技术和服务要求（以“★”标示的内容为不允许负偏离的实质性要求） </w:t>
      </w:r>
    </w:p>
    <w:p w14:paraId="79EF3516">
      <w:pPr>
        <w:adjustRightInd w:val="0"/>
        <w:snapToGrid w:val="0"/>
        <w:spacing w:line="360" w:lineRule="auto"/>
        <w:ind w:firstLine="480" w:firstLineChars="200"/>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（一）</w:t>
      </w:r>
      <w:r>
        <w:rPr>
          <w:rFonts w:hint="eastAsia" w:ascii="宋体" w:hAnsi="宋体" w:cs="宋体"/>
          <w:color w:val="auto"/>
          <w:sz w:val="24"/>
          <w:szCs w:val="24"/>
          <w:highlight w:val="none"/>
          <w:lang w:eastAsia="zh-CN"/>
        </w:rPr>
        <w:t>工作内容</w:t>
      </w:r>
    </w:p>
    <w:p w14:paraId="6E2A248A">
      <w:pPr>
        <w:spacing w:line="360" w:lineRule="auto"/>
        <w:ind w:firstLine="720" w:firstLineChars="3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基本要求：</w:t>
      </w:r>
      <w:r>
        <w:rPr>
          <w:rFonts w:hint="eastAsia" w:asciiTheme="minorEastAsia" w:hAnsiTheme="minorEastAsia" w:eastAsiaTheme="minorEastAsia"/>
          <w:color w:val="auto"/>
          <w:sz w:val="24"/>
          <w:highlight w:val="none"/>
        </w:rPr>
        <w:t>（1）负责制定保洁工作计划，并组织实施。</w:t>
      </w:r>
    </w:p>
    <w:p w14:paraId="3D6014CA">
      <w:pPr>
        <w:spacing w:line="360" w:lineRule="auto"/>
        <w:ind w:firstLine="720" w:firstLineChars="3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（2）服务质量标准严格，质量管理制度健全。</w:t>
      </w:r>
    </w:p>
    <w:p w14:paraId="7056D0C0">
      <w:pPr>
        <w:spacing w:line="360" w:lineRule="auto"/>
        <w:ind w:firstLine="720" w:firstLineChars="3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（3）专业操作人员按照国家有关规定取得岗位证书。从业人员必须身体健康体态端庄，并具有相关的工作岗位素质。</w:t>
      </w:r>
    </w:p>
    <w:p w14:paraId="68846C90">
      <w:pPr>
        <w:spacing w:line="360" w:lineRule="auto"/>
        <w:ind w:firstLine="720" w:firstLineChars="3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（4）服务人员统一服装，佩戴标志，精神饱满，行为规范，服务热情。</w:t>
      </w:r>
    </w:p>
    <w:p w14:paraId="53026C69">
      <w:pPr>
        <w:spacing w:line="360" w:lineRule="auto"/>
        <w:ind w:firstLine="720" w:firstLineChars="3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（5）建立完善人员工作和业绩考核制度。</w:t>
      </w:r>
    </w:p>
    <w:p w14:paraId="6E6EF23A">
      <w:pPr>
        <w:spacing w:line="360" w:lineRule="auto"/>
        <w:ind w:firstLine="720" w:firstLineChars="3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（6）根据业主需求，提供特约服务的，公示服务项目与收费价目。</w:t>
      </w:r>
    </w:p>
    <w:p w14:paraId="3A4DFEFF">
      <w:pPr>
        <w:spacing w:line="360" w:lineRule="auto"/>
        <w:ind w:firstLine="720" w:firstLineChars="300"/>
        <w:rPr>
          <w:rFonts w:hint="eastAsia" w:asciiTheme="minorEastAsia" w:hAnsiTheme="minorEastAsia" w:eastAsiaTheme="minorEastAsia"/>
          <w:color w:val="auto"/>
          <w:sz w:val="24"/>
          <w:highlight w:val="none"/>
          <w:lang w:val="en-US" w:eastAsia="zh-CN"/>
        </w:rPr>
      </w:pPr>
      <w:r>
        <w:rPr>
          <w:rFonts w:hint="eastAsia" w:ascii="宋体" w:hAnsi="宋体" w:cs="宋体"/>
          <w:color w:val="auto"/>
          <w:sz w:val="24"/>
          <w:szCs w:val="24"/>
          <w:highlight w:val="none"/>
          <w:lang w:val="en-US" w:eastAsia="zh-CN"/>
        </w:rPr>
        <w:t>保洁服务：</w:t>
      </w:r>
      <w:r>
        <w:rPr>
          <w:rFonts w:hint="eastAsia" w:asciiTheme="minorEastAsia" w:hAnsiTheme="minorEastAsia" w:eastAsiaTheme="minorEastAsia"/>
          <w:color w:val="auto"/>
          <w:sz w:val="24"/>
          <w:highlight w:val="none"/>
          <w:lang w:val="en-US" w:eastAsia="zh-CN"/>
        </w:rPr>
        <w:t>（1）有各区域保洁质量标准和检查、考核办法。</w:t>
      </w:r>
    </w:p>
    <w:p w14:paraId="500F7BA2">
      <w:pPr>
        <w:spacing w:line="360" w:lineRule="auto"/>
        <w:ind w:firstLine="720" w:firstLineChars="300"/>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（2）负责物业管理区域内共用场所、绿地、主次干道、楼内共用部位的保洁。</w:t>
      </w:r>
    </w:p>
    <w:p w14:paraId="3F286867">
      <w:pPr>
        <w:spacing w:line="360" w:lineRule="auto"/>
        <w:ind w:firstLine="720" w:firstLineChars="300"/>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（3）负责垃圾的收集、清运，做到日产日清。</w:t>
      </w:r>
    </w:p>
    <w:p w14:paraId="38735E6B">
      <w:pPr>
        <w:spacing w:line="360" w:lineRule="auto"/>
        <w:ind w:firstLine="720" w:firstLineChars="300"/>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（4）加强管道疏通，确保区内雨、污水管道通畅。</w:t>
      </w:r>
    </w:p>
    <w:p w14:paraId="7DA14255">
      <w:pPr>
        <w:spacing w:line="360" w:lineRule="auto"/>
        <w:ind w:firstLine="720" w:firstLineChars="300"/>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（5）加强鼠、蟑、蝇、蚊、白蚁消杀和其它虫害预防以及按卫生防疫部门要求做好防疫消毒工作。</w:t>
      </w:r>
    </w:p>
    <w:p w14:paraId="149F14EA">
      <w:pPr>
        <w:spacing w:line="360" w:lineRule="auto"/>
        <w:ind w:firstLine="720" w:firstLineChars="300"/>
        <w:rPr>
          <w:rFonts w:hint="eastAsia" w:asciiTheme="minorEastAsia" w:hAnsiTheme="minorEastAsia" w:eastAsiaTheme="minorEastAsia"/>
          <w:color w:val="auto"/>
          <w:sz w:val="24"/>
          <w:highlight w:val="none"/>
          <w:lang w:val="en-US" w:eastAsia="zh-CN"/>
        </w:rPr>
      </w:pPr>
      <w:r>
        <w:rPr>
          <w:rFonts w:hint="eastAsia" w:ascii="宋体" w:hAnsi="宋体" w:cs="宋体"/>
          <w:color w:val="auto"/>
          <w:sz w:val="24"/>
          <w:szCs w:val="24"/>
          <w:highlight w:val="none"/>
          <w:lang w:val="en-US" w:eastAsia="zh-CN"/>
        </w:rPr>
        <w:t>绿化养护管理：</w:t>
      </w:r>
      <w:r>
        <w:rPr>
          <w:rFonts w:hint="eastAsia" w:asciiTheme="minorEastAsia" w:hAnsiTheme="minorEastAsia" w:eastAsiaTheme="minorEastAsia"/>
          <w:color w:val="auto"/>
          <w:sz w:val="24"/>
          <w:highlight w:val="none"/>
          <w:lang w:val="en-US" w:eastAsia="zh-CN"/>
        </w:rPr>
        <w:t>（1）有专业人员实施绿化养护管理，包括水分管理、施肥、修剪、补苗、病虫害防治、中耕除草、绿化保洁等。</w:t>
      </w:r>
    </w:p>
    <w:p w14:paraId="630BE9B5">
      <w:pPr>
        <w:spacing w:line="360" w:lineRule="auto"/>
        <w:ind w:firstLine="720" w:firstLineChars="300"/>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（2）对老化、死亡、非人为损坏植物及时补栽补种或更换。</w:t>
      </w:r>
    </w:p>
    <w:p w14:paraId="7073C572">
      <w:pPr>
        <w:spacing w:line="360" w:lineRule="auto"/>
        <w:ind w:firstLine="720" w:firstLineChars="300"/>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（3）维护园林小品，保证绿化设施完好。</w:t>
      </w:r>
    </w:p>
    <w:p w14:paraId="58F552B7">
      <w:pPr>
        <w:spacing w:line="360" w:lineRule="auto"/>
        <w:ind w:firstLine="720" w:firstLineChars="300"/>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（4）绿化服务范围</w:t>
      </w:r>
    </w:p>
    <w:p w14:paraId="155C834D">
      <w:pPr>
        <w:spacing w:line="360" w:lineRule="auto"/>
        <w:ind w:firstLine="720" w:firstLineChars="300"/>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 xml:space="preserve"> ①负责地块内绿化植物的养护和管理。</w:t>
      </w:r>
    </w:p>
    <w:p w14:paraId="69EFBB33">
      <w:pPr>
        <w:spacing w:line="360" w:lineRule="auto"/>
        <w:ind w:firstLine="480" w:firstLineChars="200"/>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 xml:space="preserve">   ②养护、修剪、浇灌服务区内的各种树木、花草，补种部分花草、树木。</w:t>
      </w:r>
    </w:p>
    <w:p w14:paraId="73018053">
      <w:pPr>
        <w:spacing w:line="360" w:lineRule="auto"/>
        <w:ind w:firstLine="720" w:firstLineChars="300"/>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 xml:space="preserve"> ③ 地块内的所有植物的养护，含乔木、灌木、草坪、草花、地被植物、藤本植物。</w:t>
      </w:r>
    </w:p>
    <w:p w14:paraId="552BEFE4">
      <w:pPr>
        <w:spacing w:line="360" w:lineRule="auto"/>
        <w:ind w:firstLine="480" w:firstLineChars="200"/>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 xml:space="preserve">   ④提供绿化设备、肥料、除草剂。</w:t>
      </w:r>
    </w:p>
    <w:p w14:paraId="194EAE7A">
      <w:pPr>
        <w:spacing w:line="360" w:lineRule="auto"/>
        <w:ind w:firstLine="720" w:firstLineChars="300"/>
        <w:rPr>
          <w:rFonts w:hint="eastAsia" w:asciiTheme="minorEastAsia" w:hAnsiTheme="minorEastAsia" w:eastAsiaTheme="minorEastAsia"/>
          <w:color w:val="auto"/>
          <w:sz w:val="24"/>
          <w:highlight w:val="none"/>
          <w:lang w:val="en-US" w:eastAsia="zh-CN"/>
        </w:rPr>
      </w:pPr>
      <w:r>
        <w:rPr>
          <w:rFonts w:hint="eastAsia" w:ascii="宋体" w:hAnsi="宋体" w:cs="宋体"/>
          <w:color w:val="auto"/>
          <w:sz w:val="24"/>
          <w:szCs w:val="24"/>
          <w:highlight w:val="none"/>
          <w:lang w:val="en-US" w:eastAsia="zh-CN"/>
        </w:rPr>
        <w:t>绿化的内容及标准：</w:t>
      </w:r>
      <w:r>
        <w:rPr>
          <w:rFonts w:hint="eastAsia" w:asciiTheme="minorEastAsia" w:hAnsiTheme="minorEastAsia" w:eastAsiaTheme="minorEastAsia"/>
          <w:color w:val="auto"/>
          <w:sz w:val="24"/>
          <w:highlight w:val="none"/>
          <w:lang w:val="en-US" w:eastAsia="zh-CN"/>
        </w:rPr>
        <w:t>①按园林绿化要求，不能有黄土裸露现象，做好绿化草坪、植被养护、修剪工作清除有害杂草、消杀虫害。</w:t>
      </w:r>
    </w:p>
    <w:p w14:paraId="484FF142">
      <w:pPr>
        <w:spacing w:line="360" w:lineRule="auto"/>
        <w:ind w:firstLine="720" w:firstLineChars="300"/>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 xml:space="preserve"> ②按园林园艺要求，做好盆花、盆景栽培、桩景的培育、塑造、绿篱改造、整形修剪。要求树木生长茂盛、无枯枝；树形美观完整、无倾斜；绿篱修剪整齐、无缺枝；花坛土壤疏松、无垃圾；草坪平整清洁、无杂草。</w:t>
      </w:r>
    </w:p>
    <w:p w14:paraId="6977BFF6">
      <w:pPr>
        <w:spacing w:line="360" w:lineRule="auto"/>
        <w:ind w:firstLine="720" w:firstLineChars="300"/>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 xml:space="preserve"> ③监测地块内较大灌木、乔木的虫害，开展有效消杀、剪枝、除枯枝、除主杆嫩芽消杀白蚁侵蚀树主杆。</w:t>
      </w:r>
    </w:p>
    <w:p w14:paraId="6E331654">
      <w:pPr>
        <w:spacing w:line="360" w:lineRule="auto"/>
        <w:ind w:firstLine="480" w:firstLineChars="200"/>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 xml:space="preserve">   ④在服务期内，发现有小部分枯死、缺裸、地被、草坪踩死应及时申报服务处补植补种。</w:t>
      </w:r>
    </w:p>
    <w:p w14:paraId="62935399">
      <w:pPr>
        <w:spacing w:line="360" w:lineRule="auto"/>
        <w:ind w:firstLine="720" w:firstLineChars="300"/>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 xml:space="preserve"> ⑤有计划、有步骤、科学规范管理绿化，精心养护。</w:t>
      </w:r>
    </w:p>
    <w:p w14:paraId="361CA33F">
      <w:pPr>
        <w:spacing w:line="360" w:lineRule="auto"/>
        <w:ind w:firstLine="480" w:firstLineChars="200"/>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 xml:space="preserve">   ⑥根据绿地、草坪、绿篱、乔灌木等植物的生长特点，进行松土、施肥、培土。</w:t>
      </w:r>
    </w:p>
    <w:p w14:paraId="537176D0">
      <w:pPr>
        <w:spacing w:line="360" w:lineRule="auto"/>
        <w:ind w:firstLine="480" w:firstLineChars="200"/>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 xml:space="preserve">   ⑦灌木、草坪、花坛，绿篱植物浇水要适时，如因缺水造成死亡，要追究责任，严重的要赔偿。</w:t>
      </w:r>
    </w:p>
    <w:p w14:paraId="33F07AB5">
      <w:pPr>
        <w:spacing w:line="360" w:lineRule="auto"/>
        <w:ind w:firstLine="720" w:firstLineChars="300"/>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 xml:space="preserve"> ⑧绿化带内的枯枝，落叶杂物要及时清理，杂草要及时拔除。</w:t>
      </w:r>
    </w:p>
    <w:p w14:paraId="47E657D9">
      <w:pPr>
        <w:spacing w:line="360" w:lineRule="auto"/>
        <w:ind w:firstLine="480" w:firstLineChars="200"/>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 xml:space="preserve">   ⑨绿化围栏设施无缺损；绿地整洁，无砖块、纸张、垃圾；</w:t>
      </w:r>
    </w:p>
    <w:p w14:paraId="75DB4208">
      <w:pPr>
        <w:spacing w:line="360" w:lineRule="auto"/>
        <w:ind w:firstLine="720" w:firstLineChars="300"/>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 xml:space="preserve"> ⑩按建设部物业管理绿化养护的一级水平定期施肥和进行必要的病虫害治；</w:t>
      </w:r>
    </w:p>
    <w:p w14:paraId="45A34A2D">
      <w:pPr>
        <w:adjustRightInd w:val="0"/>
        <w:snapToGrid w:val="0"/>
        <w:spacing w:before="0" w:after="0" w:line="360" w:lineRule="auto"/>
        <w:ind w:firstLine="480" w:firstLineChars="200"/>
        <w:jc w:val="left"/>
        <w:rPr>
          <w:rFonts w:hint="eastAsia" w:ascii="宋体" w:hAnsi="宋体" w:cs="宋体"/>
          <w:color w:val="auto"/>
          <w:sz w:val="24"/>
          <w:szCs w:val="24"/>
          <w:highlight w:val="none"/>
          <w:lang w:eastAsia="zh-CN"/>
        </w:rPr>
      </w:pPr>
      <w:r>
        <w:rPr>
          <w:rFonts w:hint="eastAsia" w:asciiTheme="minorEastAsia" w:hAnsiTheme="minorEastAsia" w:eastAsiaTheme="minorEastAsia"/>
          <w:color w:val="auto"/>
          <w:sz w:val="24"/>
          <w:highlight w:val="none"/>
          <w:lang w:val="en-US" w:eastAsia="zh-CN"/>
        </w:rPr>
        <w:t xml:space="preserve"> ⑪整穴每年至少2-3次，以改善土壤通透性及花草生长环境，可配合施服及中耕除草进行除草，采用人工除草地、生物防治与化学除草相结合，抑制杂草生长。</w:t>
      </w:r>
    </w:p>
    <w:p w14:paraId="2DE5EFDD">
      <w:pPr>
        <w:pStyle w:val="41"/>
        <w:numPr>
          <w:ilvl w:val="0"/>
          <w:numId w:val="14"/>
        </w:numPr>
        <w:ind w:left="0" w:leftChars="0" w:firstLine="480" w:firstLineChars="200"/>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val="en-US" w:eastAsia="zh-CN"/>
        </w:rPr>
        <w:t>服务期</w:t>
      </w:r>
      <w:r>
        <w:rPr>
          <w:rFonts w:hint="eastAsia" w:ascii="宋体" w:hAnsi="宋体" w:cs="宋体"/>
          <w:color w:val="auto"/>
          <w:sz w:val="24"/>
          <w:szCs w:val="24"/>
          <w:highlight w:val="none"/>
          <w:lang w:eastAsia="zh-CN"/>
        </w:rPr>
        <w:t>：</w:t>
      </w:r>
    </w:p>
    <w:p w14:paraId="02F01E50">
      <w:pPr>
        <w:adjustRightInd w:val="0"/>
        <w:snapToGrid w:val="0"/>
        <w:spacing w:before="0" w:after="0" w:line="360" w:lineRule="auto"/>
        <w:ind w:firstLine="480" w:firstLineChars="200"/>
        <w:jc w:val="left"/>
        <w:rPr>
          <w:rFonts w:hint="default" w:ascii="宋体" w:hAnsi="宋体" w:eastAsia="宋体" w:cs="宋体"/>
          <w:b w:val="0"/>
          <w:color w:val="auto"/>
          <w:sz w:val="24"/>
          <w:szCs w:val="24"/>
          <w:highlight w:val="none"/>
          <w:lang w:val="en-US"/>
        </w:rPr>
      </w:pPr>
      <w:r>
        <w:rPr>
          <w:rFonts w:hint="eastAsia" w:asciiTheme="minorEastAsia" w:hAnsiTheme="minorEastAsia" w:eastAsiaTheme="minorEastAsia"/>
          <w:color w:val="auto"/>
          <w:sz w:val="24"/>
          <w:highlight w:val="none"/>
          <w:lang w:val="en-US" w:eastAsia="zh-CN"/>
        </w:rPr>
        <w:t>2026年1月1日至2026年12月31日</w:t>
      </w:r>
    </w:p>
    <w:p w14:paraId="64CD4510">
      <w:pPr>
        <w:adjustRightInd w:val="0"/>
        <w:snapToGrid w:val="0"/>
        <w:spacing w:before="0" w:after="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b w:val="0"/>
          <w:color w:val="auto"/>
          <w:sz w:val="24"/>
          <w:szCs w:val="24"/>
          <w:highlight w:val="none"/>
        </w:rPr>
        <w:t>（</w:t>
      </w:r>
      <w:r>
        <w:rPr>
          <w:rFonts w:hint="eastAsia" w:ascii="宋体" w:hAnsi="宋体" w:cs="宋体"/>
          <w:b w:val="0"/>
          <w:color w:val="auto"/>
          <w:sz w:val="24"/>
          <w:szCs w:val="24"/>
          <w:highlight w:val="none"/>
          <w:lang w:val="en-US" w:eastAsia="zh-CN"/>
        </w:rPr>
        <w:t>三</w:t>
      </w:r>
      <w:r>
        <w:rPr>
          <w:rFonts w:hint="eastAsia" w:ascii="宋体" w:hAnsi="宋体" w:eastAsia="宋体" w:cs="宋体"/>
          <w:b w:val="0"/>
          <w:color w:val="auto"/>
          <w:sz w:val="24"/>
          <w:szCs w:val="24"/>
          <w:highlight w:val="none"/>
        </w:rPr>
        <w:t>）保密要求</w:t>
      </w:r>
    </w:p>
    <w:p w14:paraId="064F4D47">
      <w:pPr>
        <w:adjustRightInd w:val="0"/>
        <w:snapToGrid w:val="0"/>
        <w:spacing w:before="0" w:after="0" w:line="360" w:lineRule="auto"/>
        <w:ind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（1）成交供应商承担本采购项目保密义务，不得将因本次成交获得的任何信息向任何未经允许的第三人外传。</w:t>
      </w:r>
    </w:p>
    <w:p w14:paraId="0878268C">
      <w:pPr>
        <w:adjustRightInd w:val="0"/>
        <w:snapToGrid w:val="0"/>
        <w:spacing w:before="0" w:after="0" w:line="360" w:lineRule="auto"/>
        <w:ind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（2）采购人有权将成交供应商提供的所有资料向其他政府部门或有关的非政府机构负责评审的人员或与评审有关的人员披露。</w:t>
      </w:r>
    </w:p>
    <w:p w14:paraId="554F8852">
      <w:pPr>
        <w:adjustRightInd w:val="0"/>
        <w:snapToGrid w:val="0"/>
        <w:spacing w:before="0" w:after="0" w:line="360" w:lineRule="auto"/>
        <w:ind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（3）成交供应商必须对合作过程中涉及的工作秘密、业务需求、协议、各类成果资料等内容和相关事务保密。</w:t>
      </w:r>
    </w:p>
    <w:p w14:paraId="5C9F7B46">
      <w:pPr>
        <w:adjustRightInd w:val="0"/>
        <w:snapToGrid w:val="0"/>
        <w:spacing w:before="0" w:after="0" w:line="360" w:lineRule="auto"/>
        <w:ind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（4）成交供应商及其服务人员应绝对保证经手资料的保密和安全，不得以任何方式泄露工作过程中知悉的资料信息。</w:t>
      </w:r>
    </w:p>
    <w:p w14:paraId="7B4DE183">
      <w:pPr>
        <w:adjustRightInd w:val="0"/>
        <w:snapToGrid w:val="0"/>
        <w:spacing w:before="0" w:after="0" w:line="360" w:lineRule="auto"/>
        <w:ind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（5）任何因成交供应商泄密引起的不良社会影响和法律责任均由成交供应商承担。</w:t>
      </w:r>
    </w:p>
    <w:p w14:paraId="5777DD02">
      <w:pPr>
        <w:adjustRightInd w:val="0"/>
        <w:snapToGrid w:val="0"/>
        <w:spacing w:before="0" w:after="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b w:val="0"/>
          <w:color w:val="auto"/>
          <w:sz w:val="24"/>
          <w:szCs w:val="24"/>
          <w:highlight w:val="none"/>
        </w:rPr>
        <w:t>（</w:t>
      </w:r>
      <w:r>
        <w:rPr>
          <w:rFonts w:hint="eastAsia" w:ascii="宋体" w:hAnsi="宋体" w:cs="宋体"/>
          <w:b w:val="0"/>
          <w:color w:val="auto"/>
          <w:sz w:val="24"/>
          <w:szCs w:val="24"/>
          <w:highlight w:val="none"/>
          <w:lang w:val="en-US" w:eastAsia="zh-CN"/>
        </w:rPr>
        <w:t>四</w:t>
      </w:r>
      <w:r>
        <w:rPr>
          <w:rFonts w:hint="eastAsia" w:ascii="宋体" w:hAnsi="宋体" w:eastAsia="宋体" w:cs="宋体"/>
          <w:b w:val="0"/>
          <w:color w:val="auto"/>
          <w:sz w:val="24"/>
          <w:szCs w:val="24"/>
          <w:highlight w:val="none"/>
        </w:rPr>
        <w:t>）技术响应要求</w:t>
      </w:r>
    </w:p>
    <w:p w14:paraId="4980E83A">
      <w:pPr>
        <w:adjustRightInd w:val="0"/>
        <w:snapToGrid w:val="0"/>
        <w:spacing w:before="0" w:after="0" w:line="360" w:lineRule="auto"/>
        <w:ind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 投标人应针对本项目提供整体服务方案；突发事件处理应急方案；垃圾收集处理、垃圾分类方案；保洁方案；日常消毒方案（至少包括消毒物品、消毒方式、消毒时间安排等方面）；“四害”消杀方案；绿化养护方案；服务人员培训方案；工作交接过渡及人员接收方案；节假日及重大活动组织保证措施方案[至少包括：应急预案、管理制度、人员（包含临时保洁员）组织保障、服务承诺等]；突击性任务配合保障措施方案（至少包括：相关突击性任务配合保障措施、服务承诺等）；检查评比配合保障措施方案（至少包括：相关检查评比配合保障措施、服务承诺等）等。</w:t>
      </w:r>
      <w:r>
        <w:rPr>
          <w:rFonts w:hint="eastAsia" w:ascii="宋体" w:hAnsi="宋体" w:cs="宋体"/>
          <w:color w:val="auto"/>
          <w:sz w:val="24"/>
          <w:szCs w:val="24"/>
          <w:highlight w:val="none"/>
          <w:lang w:eastAsia="zh-CN"/>
        </w:rPr>
        <w:t>（格式自拟）</w:t>
      </w:r>
    </w:p>
    <w:p w14:paraId="77F288AF">
      <w:pPr>
        <w:adjustRightInd w:val="0"/>
        <w:snapToGrid w:val="0"/>
        <w:spacing w:line="360" w:lineRule="auto"/>
        <w:ind w:left="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）服务人员名单须报备采购人，如需更换须经采购人同意。</w:t>
      </w:r>
    </w:p>
    <w:p w14:paraId="018DE0C3">
      <w:pPr>
        <w:pStyle w:val="3"/>
        <w:adjustRightInd w:val="0"/>
        <w:snapToGrid w:val="0"/>
        <w:spacing w:before="0" w:after="0" w:line="360" w:lineRule="auto"/>
        <w:ind w:left="482" w:hanging="482" w:hangingChars="200"/>
        <w:rPr>
          <w:rFonts w:ascii="宋体" w:hAnsi="宋体" w:cs="宋体"/>
          <w:color w:val="auto"/>
          <w:sz w:val="24"/>
          <w:szCs w:val="24"/>
          <w:highlight w:val="none"/>
        </w:rPr>
      </w:pPr>
      <w:r>
        <w:rPr>
          <w:rFonts w:hint="eastAsia" w:ascii="宋体" w:hAnsi="宋体" w:cs="宋体"/>
          <w:color w:val="auto"/>
          <w:sz w:val="24"/>
          <w:szCs w:val="24"/>
          <w:highlight w:val="none"/>
        </w:rPr>
        <w:t>三、  商务条件</w:t>
      </w:r>
      <w:r>
        <w:rPr>
          <w:rFonts w:hint="eastAsia" w:ascii="宋体" w:hAnsi="宋体" w:cs="宋体"/>
          <w:color w:val="auto"/>
          <w:sz w:val="24"/>
          <w:szCs w:val="24"/>
          <w:highlight w:val="none"/>
        </w:rPr>
        <w:br w:type="textWrapping"/>
      </w:r>
      <w:r>
        <w:rPr>
          <w:rFonts w:hint="eastAsia" w:ascii="宋体" w:hAnsi="宋体" w:cs="宋体"/>
          <w:b w:val="0"/>
          <w:bCs w:val="0"/>
          <w:color w:val="auto"/>
          <w:sz w:val="24"/>
          <w:szCs w:val="24"/>
          <w:highlight w:val="none"/>
          <w:lang w:eastAsia="zh-CN"/>
        </w:rPr>
        <w:t>（一）服务</w:t>
      </w:r>
      <w:r>
        <w:rPr>
          <w:rFonts w:hint="eastAsia" w:ascii="宋体" w:hAnsi="宋体" w:cs="宋体"/>
          <w:b w:val="0"/>
          <w:bCs w:val="0"/>
          <w:color w:val="auto"/>
          <w:sz w:val="24"/>
          <w:szCs w:val="24"/>
          <w:highlight w:val="none"/>
        </w:rPr>
        <w:t>地点：厦门市湖里区。</w:t>
      </w:r>
      <w:r>
        <w:rPr>
          <w:rFonts w:hint="eastAsia" w:ascii="宋体" w:hAnsi="宋体" w:cs="宋体"/>
          <w:b w:val="0"/>
          <w:bCs w:val="0"/>
          <w:color w:val="auto"/>
          <w:sz w:val="24"/>
          <w:szCs w:val="24"/>
          <w:highlight w:val="none"/>
        </w:rPr>
        <w:br w:type="textWrapping"/>
      </w:r>
      <w:r>
        <w:rPr>
          <w:rFonts w:hint="eastAsia" w:ascii="宋体" w:hAnsi="宋体" w:cs="宋体"/>
          <w:b w:val="0"/>
          <w:bCs w:val="0"/>
          <w:color w:val="auto"/>
          <w:sz w:val="24"/>
          <w:szCs w:val="24"/>
          <w:highlight w:val="none"/>
          <w:lang w:eastAsia="zh-CN"/>
        </w:rPr>
        <w:t>（二）服务</w:t>
      </w:r>
      <w:r>
        <w:rPr>
          <w:rFonts w:hint="eastAsia" w:ascii="宋体" w:hAnsi="宋体" w:cs="宋体"/>
          <w:b w:val="0"/>
          <w:bCs w:val="0"/>
          <w:color w:val="auto"/>
          <w:sz w:val="24"/>
          <w:szCs w:val="24"/>
          <w:highlight w:val="none"/>
        </w:rPr>
        <w:t>日期：</w:t>
      </w:r>
      <w:r>
        <w:rPr>
          <w:rFonts w:hint="eastAsia" w:ascii="宋体" w:hAnsi="宋体" w:cs="宋体"/>
          <w:b w:val="0"/>
          <w:bCs w:val="0"/>
          <w:color w:val="auto"/>
          <w:sz w:val="24"/>
          <w:szCs w:val="24"/>
          <w:highlight w:val="none"/>
          <w:lang w:val="en-US" w:eastAsia="zh-CN"/>
        </w:rPr>
        <w:t>2026年1月1日至2026年12月31日</w:t>
      </w:r>
      <w:r>
        <w:rPr>
          <w:rFonts w:hint="eastAsia" w:ascii="宋体" w:hAnsi="宋体" w:cs="宋体"/>
          <w:b w:val="0"/>
          <w:bCs w:val="0"/>
          <w:color w:val="auto"/>
          <w:sz w:val="24"/>
          <w:szCs w:val="24"/>
          <w:highlight w:val="none"/>
        </w:rPr>
        <w:t>。</w:t>
      </w:r>
    </w:p>
    <w:p w14:paraId="50565A4D">
      <w:pPr>
        <w:pStyle w:val="3"/>
        <w:adjustRightInd w:val="0"/>
        <w:snapToGrid w:val="0"/>
        <w:spacing w:before="0" w:after="0" w:line="360" w:lineRule="auto"/>
        <w:ind w:firstLine="480" w:firstLineChars="200"/>
        <w:rPr>
          <w:rFonts w:hint="eastAsia" w:ascii="宋体" w:hAnsi="宋体" w:cs="宋体"/>
          <w:b w:val="0"/>
          <w:bCs w:val="0"/>
          <w:color w:val="auto"/>
          <w:sz w:val="24"/>
          <w:szCs w:val="24"/>
          <w:highlight w:val="none"/>
        </w:rPr>
      </w:pPr>
      <w:bookmarkStart w:id="148" w:name="_Toc141847066"/>
      <w:bookmarkStart w:id="149" w:name="_Toc169944023"/>
      <w:bookmarkStart w:id="150" w:name="_Toc148496402"/>
      <w:bookmarkStart w:id="151" w:name="_Toc144818372"/>
      <w:bookmarkStart w:id="152" w:name="_Toc169877476"/>
      <w:bookmarkStart w:id="153" w:name="_Toc152583389"/>
      <w:bookmarkStart w:id="154" w:name="_Toc146679650"/>
      <w:bookmarkStart w:id="155" w:name="_Toc168037533"/>
      <w:bookmarkStart w:id="156" w:name="_Toc89791698"/>
      <w:bookmarkStart w:id="157" w:name="_Toc116869901"/>
      <w:bookmarkStart w:id="158" w:name="_Toc89791596"/>
      <w:bookmarkStart w:id="159" w:name="_Toc11845138"/>
      <w:bookmarkStart w:id="160" w:name="_Toc150163485"/>
      <w:bookmarkStart w:id="161" w:name="_Toc189832470"/>
      <w:bookmarkStart w:id="162" w:name="_Toc90180873"/>
      <w:bookmarkStart w:id="163" w:name="_Toc105315000"/>
      <w:bookmarkStart w:id="164" w:name="_Toc145393563"/>
      <w:bookmarkStart w:id="165" w:name="_Toc148496351"/>
      <w:bookmarkStart w:id="166" w:name="_Toc146679241"/>
      <w:bookmarkStart w:id="167" w:name="_Toc116895408"/>
      <w:bookmarkStart w:id="168" w:name="_Toc150852805"/>
      <w:bookmarkStart w:id="169" w:name="_Toc36974340"/>
      <w:bookmarkStart w:id="170" w:name="_Toc36974289"/>
      <w:bookmarkStart w:id="171" w:name="_Toc34471344"/>
      <w:bookmarkStart w:id="172" w:name="_Toc36973198"/>
      <w:bookmarkStart w:id="173" w:name="_Toc36867048"/>
      <w:bookmarkStart w:id="174" w:name="_Toc36974051"/>
      <w:bookmarkStart w:id="175" w:name="_Toc36974207"/>
      <w:bookmarkStart w:id="176" w:name="_Toc36885854"/>
      <w:bookmarkStart w:id="177" w:name="_Toc32815547"/>
      <w:bookmarkStart w:id="178" w:name="_Toc36973985"/>
      <w:bookmarkStart w:id="179" w:name="_Toc37236847"/>
      <w:r>
        <w:rPr>
          <w:rFonts w:hint="eastAsia" w:ascii="宋体" w:hAnsi="宋体" w:cs="宋体"/>
          <w:b w:val="0"/>
          <w:bCs w:val="0"/>
          <w:color w:val="auto"/>
          <w:sz w:val="24"/>
          <w:szCs w:val="24"/>
          <w:highlight w:val="none"/>
          <w:lang w:eastAsia="zh-CN"/>
        </w:rPr>
        <w:t>（三）</w:t>
      </w:r>
      <w:r>
        <w:rPr>
          <w:rFonts w:hint="eastAsia" w:ascii="宋体" w:hAnsi="宋体" w:cs="宋体"/>
          <w:b w:val="0"/>
          <w:bCs w:val="0"/>
          <w:color w:val="auto"/>
          <w:sz w:val="24"/>
          <w:szCs w:val="24"/>
          <w:highlight w:val="none"/>
        </w:rPr>
        <w:t>报价要求</w:t>
      </w:r>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p>
    <w:p w14:paraId="3284AEE8">
      <w:pPr>
        <w:numPr>
          <w:ilvl w:val="-1"/>
          <w:numId w:val="0"/>
        </w:numPr>
        <w:tabs>
          <w:tab w:val="left" w:pos="1050"/>
        </w:tabs>
        <w:spacing w:line="360" w:lineRule="auto"/>
        <w:ind w:left="420" w:leftChars="200" w:firstLine="0" w:firstLineChars="0"/>
        <w:rPr>
          <w:rFonts w:hint="eastAsia" w:ascii="宋体" w:hAnsi="宋体"/>
          <w:bCs/>
          <w:color w:val="auto"/>
          <w:sz w:val="24"/>
          <w:highlight w:val="none"/>
        </w:rPr>
      </w:pPr>
      <w:r>
        <w:rPr>
          <w:rFonts w:hint="eastAsia" w:ascii="宋体" w:hAnsi="宋体"/>
          <w:bCs/>
          <w:color w:val="auto"/>
          <w:sz w:val="24"/>
          <w:highlight w:val="none"/>
          <w:lang w:val="en-US" w:eastAsia="zh-CN"/>
        </w:rPr>
        <w:t>1.</w:t>
      </w:r>
      <w:r>
        <w:rPr>
          <w:rFonts w:hint="eastAsia" w:ascii="宋体" w:hAnsi="宋体"/>
          <w:bCs/>
          <w:color w:val="auto"/>
          <w:sz w:val="24"/>
          <w:highlight w:val="none"/>
        </w:rPr>
        <w:t>本次招标为整体招标，投标人必须对本项目的所有内容及服务进行投标响应。</w:t>
      </w:r>
    </w:p>
    <w:p w14:paraId="0E0B6AE7">
      <w:pPr>
        <w:numPr>
          <w:ilvl w:val="-1"/>
          <w:numId w:val="0"/>
        </w:numPr>
        <w:tabs>
          <w:tab w:val="left" w:pos="1050"/>
        </w:tabs>
        <w:spacing w:line="360" w:lineRule="auto"/>
        <w:ind w:left="420" w:leftChars="200" w:firstLine="0" w:firstLineChars="0"/>
        <w:rPr>
          <w:rFonts w:hint="eastAsia" w:ascii="宋体" w:hAnsi="宋体" w:eastAsia="宋体"/>
          <w:bCs/>
          <w:color w:val="auto"/>
          <w:sz w:val="24"/>
          <w:highlight w:val="none"/>
          <w:lang w:eastAsia="zh-CN"/>
        </w:rPr>
      </w:pPr>
      <w:r>
        <w:rPr>
          <w:rFonts w:hint="eastAsia" w:ascii="宋体" w:hAnsi="宋体"/>
          <w:bCs/>
          <w:color w:val="auto"/>
          <w:sz w:val="24"/>
          <w:highlight w:val="none"/>
          <w:lang w:val="en-US" w:eastAsia="zh-CN"/>
        </w:rPr>
        <w:t>2.</w:t>
      </w:r>
      <w:r>
        <w:rPr>
          <w:rFonts w:hint="eastAsia" w:ascii="宋体" w:hAnsi="宋体"/>
          <w:bCs/>
          <w:color w:val="auto"/>
          <w:sz w:val="24"/>
          <w:highlight w:val="none"/>
        </w:rPr>
        <w:t>报价以人民币为货币单位</w:t>
      </w:r>
      <w:r>
        <w:rPr>
          <w:rFonts w:hint="eastAsia" w:ascii="宋体" w:hAnsi="宋体"/>
          <w:bCs/>
          <w:color w:val="auto"/>
          <w:sz w:val="24"/>
          <w:highlight w:val="none"/>
          <w:lang w:eastAsia="zh-CN"/>
        </w:rPr>
        <w:t>。</w:t>
      </w:r>
    </w:p>
    <w:p w14:paraId="3F9B0703">
      <w:pPr>
        <w:numPr>
          <w:ilvl w:val="-1"/>
          <w:numId w:val="0"/>
        </w:numPr>
        <w:tabs>
          <w:tab w:val="left" w:pos="1050"/>
        </w:tabs>
        <w:spacing w:line="360" w:lineRule="auto"/>
        <w:ind w:left="420" w:leftChars="200" w:firstLine="0" w:firstLineChars="0"/>
        <w:rPr>
          <w:rFonts w:hint="eastAsia" w:ascii="宋体" w:hAnsi="宋体"/>
          <w:bCs/>
          <w:color w:val="auto"/>
          <w:sz w:val="24"/>
          <w:highlight w:val="none"/>
        </w:rPr>
      </w:pPr>
      <w:r>
        <w:rPr>
          <w:rFonts w:hint="eastAsia" w:ascii="宋体" w:hAnsi="宋体"/>
          <w:bCs/>
          <w:color w:val="auto"/>
          <w:sz w:val="24"/>
          <w:highlight w:val="none"/>
          <w:lang w:val="en-US" w:eastAsia="zh-CN"/>
        </w:rPr>
        <w:t>3.</w:t>
      </w:r>
      <w:r>
        <w:rPr>
          <w:rFonts w:hint="eastAsia" w:ascii="宋体" w:hAnsi="宋体"/>
          <w:bCs/>
          <w:color w:val="auto"/>
          <w:sz w:val="24"/>
          <w:highlight w:val="none"/>
        </w:rPr>
        <w:t>本项目为</w:t>
      </w:r>
      <w:r>
        <w:rPr>
          <w:rFonts w:hint="eastAsia" w:ascii="宋体" w:hAnsi="宋体"/>
          <w:bCs/>
          <w:color w:val="auto"/>
          <w:sz w:val="24"/>
          <w:highlight w:val="none"/>
          <w:lang w:val="en-US" w:eastAsia="zh-CN"/>
        </w:rPr>
        <w:t>总价合同</w:t>
      </w:r>
      <w:r>
        <w:rPr>
          <w:rFonts w:hint="eastAsia" w:ascii="宋体" w:hAnsi="宋体"/>
          <w:bCs/>
          <w:color w:val="auto"/>
          <w:sz w:val="24"/>
          <w:highlight w:val="none"/>
        </w:rPr>
        <w:t>招标项目，报价为投标人提供本项目项下所有服务（含服务中应履行的各项义务）应收取的全部费用，其包括但不限于以下费用：员工工资、保洁费用（含消杀，保洁所需用品、易耗品）、绿化养护费、办公费用、交通费、劳动保护费、其他物料消耗费、保险费、垃圾清运费用、服装费、工具设备费、税费、管理费及不可预见费等所有费用。</w:t>
      </w:r>
    </w:p>
    <w:p w14:paraId="639D7872">
      <w:pPr>
        <w:numPr>
          <w:ilvl w:val="0"/>
          <w:numId w:val="0"/>
        </w:numPr>
        <w:tabs>
          <w:tab w:val="left" w:pos="1050"/>
        </w:tabs>
        <w:spacing w:line="360" w:lineRule="auto"/>
        <w:ind w:leftChars="200"/>
        <w:rPr>
          <w:rFonts w:hint="default" w:eastAsia="宋体"/>
          <w:color w:val="auto"/>
          <w:highlight w:val="none"/>
          <w:lang w:val="en-US" w:eastAsia="zh-CN"/>
        </w:rPr>
      </w:pPr>
      <w:r>
        <w:rPr>
          <w:rFonts w:hint="eastAsia" w:ascii="宋体" w:hAnsi="宋体"/>
          <w:bCs/>
          <w:color w:val="auto"/>
          <w:sz w:val="24"/>
          <w:highlight w:val="none"/>
          <w:lang w:val="en-US" w:eastAsia="zh-CN"/>
        </w:rPr>
        <w:t>4.</w:t>
      </w:r>
      <w:r>
        <w:rPr>
          <w:rFonts w:hint="eastAsia" w:ascii="宋体" w:hAnsi="宋体"/>
          <w:bCs/>
          <w:color w:val="auto"/>
          <w:sz w:val="24"/>
          <w:highlight w:val="none"/>
        </w:rPr>
        <w:t>招标人不接受投标人任何因遗漏报价而发生的费用追加，因投标人违反《劳动法》等法律法规而造成招标人的连带责任和损失全部由投标人承担。</w:t>
      </w:r>
    </w:p>
    <w:p w14:paraId="3DB16779">
      <w:pPr>
        <w:adjustRightInd w:val="0"/>
        <w:snapToGrid w:val="0"/>
        <w:spacing w:line="360" w:lineRule="auto"/>
        <w:ind w:firstLine="4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本采购项目的采购预算为人民币肆拾肆万捌仟玖佰玖拾玖元整（￥448999），采购预算为总报价的最高限价，其中</w:t>
      </w:r>
      <w:r>
        <w:rPr>
          <w:rFonts w:hint="eastAsia" w:ascii="宋体" w:hAnsi="宋体" w:cs="宋体"/>
          <w:color w:val="auto"/>
          <w:kern w:val="0"/>
          <w:sz w:val="24"/>
          <w:highlight w:val="none"/>
          <w:lang w:val="en-US" w:eastAsia="zh-CN"/>
        </w:rPr>
        <w:t>古地石指挥部项目保洁最高限价49199元，金尚菜市场项目保洁最高限价140000元，厦大海韵园二期项目保洁最高限价216000、绿化最高限价43800元。</w:t>
      </w:r>
    </w:p>
    <w:p w14:paraId="283AB824">
      <w:pPr>
        <w:numPr>
          <w:ilvl w:val="-1"/>
          <w:numId w:val="0"/>
        </w:numPr>
        <w:adjustRightInd w:val="0"/>
        <w:snapToGrid w:val="0"/>
        <w:spacing w:line="360" w:lineRule="auto"/>
        <w:ind w:firstLine="400"/>
        <w:rPr>
          <w:rFonts w:ascii="宋体" w:hAnsi="宋体" w:cs="宋体"/>
          <w:color w:val="auto"/>
          <w:sz w:val="24"/>
          <w:szCs w:val="24"/>
          <w:highlight w:val="none"/>
        </w:rPr>
      </w:pPr>
      <w:r>
        <w:rPr>
          <w:rFonts w:hint="eastAsia" w:ascii="宋体" w:hAnsi="宋体" w:cs="宋体"/>
          <w:b/>
          <w:bCs/>
          <w:color w:val="auto"/>
          <w:sz w:val="24"/>
          <w:highlight w:val="none"/>
          <w:lang w:val="en-US" w:eastAsia="zh-CN"/>
        </w:rPr>
        <w:t>供应商投标总报价低于最高限价总价，且单项投标报价低于单项最高限价</w:t>
      </w:r>
      <w:r>
        <w:rPr>
          <w:rFonts w:hint="eastAsia" w:ascii="宋体" w:hAnsi="宋体" w:cs="宋体"/>
          <w:b/>
          <w:bCs/>
          <w:color w:val="auto"/>
          <w:sz w:val="24"/>
          <w:szCs w:val="24"/>
          <w:highlight w:val="none"/>
        </w:rPr>
        <w:t>，否则作无效响应处理。</w:t>
      </w:r>
    </w:p>
    <w:bookmarkEnd w:id="169"/>
    <w:bookmarkEnd w:id="170"/>
    <w:bookmarkEnd w:id="171"/>
    <w:bookmarkEnd w:id="172"/>
    <w:bookmarkEnd w:id="173"/>
    <w:bookmarkEnd w:id="174"/>
    <w:bookmarkEnd w:id="175"/>
    <w:bookmarkEnd w:id="176"/>
    <w:bookmarkEnd w:id="177"/>
    <w:bookmarkEnd w:id="178"/>
    <w:bookmarkEnd w:id="179"/>
    <w:p w14:paraId="7C7A98B9">
      <w:pPr>
        <w:pStyle w:val="3"/>
        <w:adjustRightInd w:val="0"/>
        <w:snapToGrid w:val="0"/>
        <w:spacing w:before="0" w:after="0" w:line="360" w:lineRule="auto"/>
        <w:rPr>
          <w:rFonts w:ascii="宋体" w:hAnsi="宋体" w:cs="宋体"/>
          <w:color w:val="auto"/>
          <w:sz w:val="24"/>
          <w:szCs w:val="24"/>
          <w:highlight w:val="none"/>
        </w:rPr>
      </w:pPr>
      <w:bookmarkStart w:id="180" w:name="_Toc168037534"/>
      <w:bookmarkStart w:id="181" w:name="_Toc141847067"/>
      <w:bookmarkStart w:id="182" w:name="_Toc169944024"/>
      <w:bookmarkStart w:id="183" w:name="_Toc89791597"/>
      <w:bookmarkStart w:id="184" w:name="_Toc144818373"/>
      <w:bookmarkStart w:id="185" w:name="_Toc148496352"/>
      <w:bookmarkStart w:id="186" w:name="_Toc146679242"/>
      <w:bookmarkStart w:id="187" w:name="_Toc189832480"/>
      <w:bookmarkStart w:id="188" w:name="_Toc169877477"/>
      <w:bookmarkStart w:id="189" w:name="_Toc148496403"/>
      <w:bookmarkStart w:id="190" w:name="_Toc116869902"/>
      <w:bookmarkStart w:id="191" w:name="_Toc150163486"/>
      <w:bookmarkStart w:id="192" w:name="_Toc116895409"/>
      <w:bookmarkStart w:id="193" w:name="_Toc150852806"/>
      <w:bookmarkStart w:id="194" w:name="_Toc146679651"/>
      <w:bookmarkStart w:id="195" w:name="_Toc105315001"/>
      <w:bookmarkStart w:id="196" w:name="_Toc89791699"/>
      <w:bookmarkStart w:id="197" w:name="_Toc152583390"/>
      <w:bookmarkStart w:id="198" w:name="_Toc90180874"/>
      <w:bookmarkStart w:id="199" w:name="_Toc145393564"/>
      <w:bookmarkStart w:id="200" w:name="_Toc11845145"/>
      <w:r>
        <w:rPr>
          <w:rFonts w:hint="eastAsia" w:ascii="宋体" w:hAnsi="宋体" w:cs="宋体"/>
          <w:color w:val="auto"/>
          <w:sz w:val="24"/>
          <w:szCs w:val="24"/>
          <w:highlight w:val="none"/>
          <w:lang w:val="en-US" w:eastAsia="zh-CN"/>
        </w:rPr>
        <w:t>四、</w:t>
      </w:r>
      <w:r>
        <w:rPr>
          <w:rFonts w:hint="eastAsia" w:ascii="宋体" w:hAnsi="宋体" w:cs="宋体"/>
          <w:color w:val="auto"/>
          <w:sz w:val="24"/>
          <w:szCs w:val="24"/>
          <w:highlight w:val="none"/>
        </w:rPr>
        <w:t>合同签订</w:t>
      </w:r>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r>
        <w:rPr>
          <w:rFonts w:hint="eastAsia" w:ascii="宋体" w:hAnsi="宋体" w:cs="宋体"/>
          <w:color w:val="auto"/>
          <w:sz w:val="24"/>
          <w:szCs w:val="24"/>
          <w:highlight w:val="none"/>
        </w:rPr>
        <w:t>和付款方式</w:t>
      </w:r>
      <w:bookmarkEnd w:id="200"/>
    </w:p>
    <w:p w14:paraId="1A20F7FF">
      <w:pPr>
        <w:pStyle w:val="23"/>
        <w:adjustRightInd w:val="0"/>
        <w:snapToGrid w:val="0"/>
        <w:spacing w:line="360" w:lineRule="auto"/>
        <w:ind w:right="-42" w:firstLine="480"/>
        <w:rPr>
          <w:rFonts w:hint="eastAsia" w:ascii="宋体" w:hAnsi="宋体" w:cs="宋体"/>
          <w:color w:val="auto"/>
          <w:kern w:val="2"/>
          <w:sz w:val="24"/>
          <w:highlight w:val="none"/>
        </w:rPr>
      </w:pPr>
      <w:r>
        <w:rPr>
          <w:rFonts w:hint="eastAsia" w:ascii="宋体" w:hAnsi="宋体" w:cs="宋体"/>
          <w:color w:val="auto"/>
          <w:kern w:val="2"/>
          <w:sz w:val="24"/>
          <w:highlight w:val="none"/>
        </w:rPr>
        <w:t>合同签订时限：自中标通知书发出之日起30个日历日内。</w:t>
      </w:r>
    </w:p>
    <w:p w14:paraId="5DC91E7F">
      <w:pPr>
        <w:pStyle w:val="23"/>
        <w:adjustRightInd w:val="0"/>
        <w:snapToGrid w:val="0"/>
        <w:spacing w:line="360" w:lineRule="auto"/>
        <w:ind w:right="-42" w:firstLine="480"/>
        <w:rPr>
          <w:rFonts w:hint="eastAsia" w:ascii="宋体" w:hAnsi="宋体" w:eastAsia="宋体" w:cs="宋体"/>
          <w:color w:val="auto"/>
          <w:kern w:val="2"/>
          <w:sz w:val="24"/>
          <w:highlight w:val="none"/>
          <w:lang w:eastAsia="zh-CN"/>
        </w:rPr>
      </w:pPr>
      <w:r>
        <w:rPr>
          <w:rFonts w:hint="eastAsia" w:ascii="宋体" w:hAnsi="宋体" w:cs="宋体"/>
          <w:color w:val="auto"/>
          <w:kern w:val="2"/>
          <w:sz w:val="24"/>
          <w:highlight w:val="none"/>
          <w:lang w:eastAsia="zh-CN"/>
        </w:rPr>
        <w:t>其余内容详见</w:t>
      </w:r>
      <w:r>
        <w:rPr>
          <w:rFonts w:hint="eastAsia" w:ascii="宋体" w:hAnsi="宋体" w:cs="宋体"/>
          <w:color w:val="auto"/>
          <w:kern w:val="2"/>
          <w:sz w:val="24"/>
          <w:highlight w:val="none"/>
          <w:lang w:val="en-US" w:eastAsia="zh-CN"/>
        </w:rPr>
        <w:t>采购</w:t>
      </w:r>
      <w:r>
        <w:rPr>
          <w:rFonts w:hint="eastAsia" w:ascii="宋体" w:hAnsi="宋体" w:cs="宋体"/>
          <w:color w:val="auto"/>
          <w:kern w:val="2"/>
          <w:sz w:val="24"/>
          <w:highlight w:val="none"/>
          <w:lang w:eastAsia="zh-CN"/>
        </w:rPr>
        <w:t>合同。</w:t>
      </w:r>
    </w:p>
    <w:bookmarkEnd w:id="140"/>
    <w:bookmarkEnd w:id="141"/>
    <w:p w14:paraId="1B98B50B">
      <w:pPr>
        <w:adjustRightInd w:val="0"/>
        <w:snapToGrid w:val="0"/>
        <w:jc w:val="center"/>
        <w:outlineLvl w:val="1"/>
        <w:rPr>
          <w:rFonts w:hint="default" w:ascii="宋体" w:hAnsi="宋体" w:eastAsia="宋体" w:cs="宋体"/>
          <w:b/>
          <w:bCs/>
          <w:color w:val="auto"/>
          <w:sz w:val="36"/>
          <w:szCs w:val="24"/>
          <w:highlight w:val="none"/>
        </w:rPr>
      </w:pPr>
      <w:r>
        <w:rPr>
          <w:rFonts w:hint="default" w:ascii="宋体" w:hAnsi="宋体" w:eastAsia="宋体" w:cs="宋体"/>
          <w:b/>
          <w:bCs/>
          <w:color w:val="auto"/>
          <w:sz w:val="36"/>
          <w:szCs w:val="24"/>
          <w:highlight w:val="none"/>
        </w:rPr>
        <w:br w:type="page"/>
      </w:r>
    </w:p>
    <w:p w14:paraId="6F362089">
      <w:pPr>
        <w:pStyle w:val="94"/>
        <w:jc w:val="center"/>
        <w:outlineLvl w:val="1"/>
        <w:rPr>
          <w:rFonts w:hint="default" w:ascii="宋体" w:hAnsi="宋体" w:eastAsia="宋体" w:cs="宋体"/>
          <w:color w:val="auto"/>
          <w:highlight w:val="none"/>
        </w:rPr>
      </w:pPr>
      <w:r>
        <w:rPr>
          <w:rFonts w:ascii="宋体" w:hAnsi="宋体" w:eastAsia="宋体" w:cs="宋体"/>
          <w:b/>
          <w:bCs/>
          <w:color w:val="auto"/>
          <w:sz w:val="36"/>
          <w:szCs w:val="24"/>
          <w:highlight w:val="none"/>
        </w:rPr>
        <w:t xml:space="preserve">第四章   </w:t>
      </w:r>
      <w:r>
        <w:rPr>
          <w:rFonts w:ascii="宋体" w:hAnsi="宋体" w:eastAsia="宋体" w:cs="宋体"/>
          <w:b/>
          <w:color w:val="auto"/>
          <w:sz w:val="36"/>
          <w:highlight w:val="none"/>
        </w:rPr>
        <w:t>政府采购合同</w:t>
      </w:r>
    </w:p>
    <w:p w14:paraId="3F5A354C">
      <w:pPr>
        <w:pStyle w:val="94"/>
        <w:jc w:val="center"/>
        <w:outlineLvl w:val="2"/>
        <w:rPr>
          <w:color w:val="auto"/>
          <w:highlight w:val="none"/>
        </w:rPr>
      </w:pPr>
      <w:r>
        <w:rPr>
          <w:rFonts w:ascii="宋体" w:hAnsi="宋体" w:eastAsia="宋体" w:cs="宋体"/>
          <w:b/>
          <w:color w:val="auto"/>
          <w:sz w:val="28"/>
          <w:highlight w:val="none"/>
        </w:rPr>
        <w:t xml:space="preserve">   </w:t>
      </w:r>
      <w:r>
        <w:rPr>
          <w:rFonts w:ascii="仿宋_GB2312" w:hAnsi="仿宋_GB2312" w:eastAsia="仿宋_GB2312" w:cs="仿宋_GB2312"/>
          <w:b/>
          <w:color w:val="auto"/>
          <w:sz w:val="28"/>
          <w:highlight w:val="none"/>
        </w:rPr>
        <w:t>参考文本</w:t>
      </w:r>
    </w:p>
    <w:p w14:paraId="342865ED">
      <w:pPr>
        <w:jc w:val="center"/>
        <w:rPr>
          <w:rFonts w:hint="eastAsia" w:ascii="Times New Roman" w:hAnsi="Times New Roman" w:eastAsia="仿宋_GB2312" w:cs="仿宋_GB2312"/>
          <w:b/>
          <w:color w:val="auto"/>
          <w:sz w:val="52"/>
          <w:szCs w:val="52"/>
          <w:highlight w:val="none"/>
          <w:lang w:bidi="ar"/>
        </w:rPr>
      </w:pPr>
    </w:p>
    <w:p w14:paraId="4B69E135">
      <w:pPr>
        <w:jc w:val="center"/>
        <w:rPr>
          <w:rFonts w:hint="eastAsia" w:ascii="Times New Roman" w:hAnsi="Times New Roman" w:eastAsia="仿宋_GB2312" w:cs="仿宋_GB2312"/>
          <w:b/>
          <w:color w:val="auto"/>
          <w:sz w:val="52"/>
          <w:szCs w:val="52"/>
          <w:highlight w:val="none"/>
          <w:lang w:bidi="ar"/>
        </w:rPr>
      </w:pPr>
    </w:p>
    <w:p w14:paraId="129D6C6A">
      <w:pPr>
        <w:spacing w:line="440" w:lineRule="exact"/>
        <w:jc w:val="left"/>
        <w:rPr>
          <w:rFonts w:ascii="宋体" w:hAnsi="宋体"/>
          <w:color w:val="auto"/>
          <w:sz w:val="28"/>
          <w:szCs w:val="28"/>
          <w:highlight w:val="none"/>
        </w:rPr>
      </w:pPr>
      <w:r>
        <w:rPr>
          <w:rFonts w:hint="eastAsia" w:ascii="楷体_GB2312" w:eastAsia="楷体_GB2312"/>
          <w:color w:val="auto"/>
          <w:sz w:val="24"/>
          <w:highlight w:val="none"/>
        </w:rPr>
        <w:t>合同编号：</w:t>
      </w:r>
    </w:p>
    <w:p w14:paraId="66E7EF17">
      <w:pPr>
        <w:spacing w:line="440" w:lineRule="exact"/>
        <w:jc w:val="center"/>
        <w:rPr>
          <w:rFonts w:ascii="宋体" w:hAnsi="宋体"/>
          <w:color w:val="auto"/>
          <w:sz w:val="28"/>
          <w:szCs w:val="28"/>
          <w:highlight w:val="none"/>
        </w:rPr>
      </w:pPr>
    </w:p>
    <w:p w14:paraId="657668ED">
      <w:pPr>
        <w:jc w:val="center"/>
        <w:rPr>
          <w:rFonts w:ascii="黑体" w:hAnsi="黑体" w:eastAsia="黑体"/>
          <w:color w:val="auto"/>
          <w:sz w:val="36"/>
          <w:szCs w:val="36"/>
          <w:highlight w:val="none"/>
        </w:rPr>
      </w:pPr>
    </w:p>
    <w:p w14:paraId="13BD0E71">
      <w:pPr>
        <w:jc w:val="center"/>
        <w:rPr>
          <w:rFonts w:ascii="黑体" w:hAnsi="黑体" w:eastAsia="黑体"/>
          <w:color w:val="auto"/>
          <w:sz w:val="36"/>
          <w:szCs w:val="36"/>
          <w:highlight w:val="none"/>
        </w:rPr>
      </w:pPr>
    </w:p>
    <w:p w14:paraId="550B73E0">
      <w:pPr>
        <w:jc w:val="center"/>
        <w:rPr>
          <w:rFonts w:ascii="黑体" w:hAnsi="黑体" w:eastAsia="黑体"/>
          <w:color w:val="auto"/>
          <w:sz w:val="36"/>
          <w:szCs w:val="36"/>
          <w:highlight w:val="none"/>
        </w:rPr>
      </w:pPr>
    </w:p>
    <w:p w14:paraId="4E7C17F8">
      <w:pPr>
        <w:jc w:val="center"/>
        <w:rPr>
          <w:b/>
          <w:bCs/>
          <w:color w:val="auto"/>
          <w:sz w:val="36"/>
          <w:highlight w:val="none"/>
        </w:rPr>
      </w:pPr>
      <w:r>
        <w:rPr>
          <w:rFonts w:hint="eastAsia" w:ascii="黑体" w:hAnsi="宋体" w:eastAsia="黑体"/>
          <w:bCs/>
          <w:color w:val="auto"/>
          <w:sz w:val="96"/>
          <w:szCs w:val="96"/>
          <w:highlight w:val="none"/>
        </w:rPr>
        <w:t>环境服务合同</w:t>
      </w:r>
    </w:p>
    <w:p w14:paraId="04DDE35C">
      <w:pPr>
        <w:jc w:val="center"/>
        <w:rPr>
          <w:b/>
          <w:bCs/>
          <w:color w:val="auto"/>
          <w:sz w:val="36"/>
          <w:highlight w:val="none"/>
        </w:rPr>
      </w:pPr>
      <w:r>
        <w:rPr>
          <w:rFonts w:hint="eastAsia"/>
          <w:b/>
          <w:bCs/>
          <w:color w:val="auto"/>
          <w:sz w:val="36"/>
          <w:highlight w:val="none"/>
        </w:rPr>
        <w:t>□ 保洁   □ 绿化</w:t>
      </w:r>
    </w:p>
    <w:p w14:paraId="23262087">
      <w:pPr>
        <w:jc w:val="center"/>
        <w:rPr>
          <w:b/>
          <w:bCs/>
          <w:color w:val="auto"/>
          <w:sz w:val="36"/>
          <w:highlight w:val="none"/>
        </w:rPr>
      </w:pPr>
    </w:p>
    <w:p w14:paraId="624A37F9">
      <w:pPr>
        <w:pStyle w:val="15"/>
        <w:rPr>
          <w:b/>
          <w:bCs/>
          <w:color w:val="auto"/>
          <w:sz w:val="36"/>
          <w:highlight w:val="none"/>
        </w:rPr>
      </w:pPr>
    </w:p>
    <w:p w14:paraId="0405D6AB">
      <w:pPr>
        <w:rPr>
          <w:b/>
          <w:bCs/>
          <w:color w:val="auto"/>
          <w:sz w:val="36"/>
          <w:highlight w:val="none"/>
        </w:rPr>
      </w:pPr>
    </w:p>
    <w:p w14:paraId="45D39DF1">
      <w:pPr>
        <w:pStyle w:val="15"/>
        <w:rPr>
          <w:b/>
          <w:bCs/>
          <w:color w:val="auto"/>
          <w:sz w:val="36"/>
          <w:highlight w:val="none"/>
        </w:rPr>
      </w:pPr>
    </w:p>
    <w:p w14:paraId="64AB7999">
      <w:pPr>
        <w:rPr>
          <w:color w:val="auto"/>
          <w:highlight w:val="none"/>
        </w:rPr>
      </w:pPr>
    </w:p>
    <w:p w14:paraId="00616145">
      <w:pPr>
        <w:adjustRightInd w:val="0"/>
        <w:snapToGrid w:val="0"/>
        <w:spacing w:line="460" w:lineRule="exact"/>
        <w:ind w:firstLine="1280" w:firstLineChars="400"/>
        <w:rPr>
          <w:color w:val="auto"/>
          <w:sz w:val="32"/>
          <w:szCs w:val="32"/>
          <w:highlight w:val="none"/>
        </w:rPr>
      </w:pPr>
      <w:r>
        <w:rPr>
          <w:rFonts w:hint="eastAsia"/>
          <w:color w:val="auto"/>
          <w:sz w:val="32"/>
          <w:szCs w:val="32"/>
          <w:highlight w:val="none"/>
        </w:rPr>
        <w:t>项目名称：</w:t>
      </w:r>
      <w:r>
        <w:rPr>
          <w:rFonts w:hint="eastAsia"/>
          <w:color w:val="auto"/>
          <w:sz w:val="32"/>
          <w:szCs w:val="32"/>
          <w:highlight w:val="none"/>
          <w:u w:val="single"/>
        </w:rPr>
        <w:t xml:space="preserve">                            </w:t>
      </w:r>
    </w:p>
    <w:p w14:paraId="5549CFF5">
      <w:pPr>
        <w:adjustRightInd w:val="0"/>
        <w:snapToGrid w:val="0"/>
        <w:spacing w:line="460" w:lineRule="exact"/>
        <w:ind w:firstLine="640" w:firstLineChars="200"/>
        <w:rPr>
          <w:rFonts w:ascii="宋体" w:hAnsi="宋体"/>
          <w:color w:val="auto"/>
          <w:sz w:val="32"/>
          <w:szCs w:val="32"/>
          <w:highlight w:val="none"/>
        </w:rPr>
      </w:pPr>
    </w:p>
    <w:p w14:paraId="1F94286B">
      <w:pPr>
        <w:tabs>
          <w:tab w:val="left" w:pos="547"/>
        </w:tabs>
        <w:spacing w:line="900" w:lineRule="exact"/>
        <w:ind w:firstLine="1280" w:firstLineChars="400"/>
        <w:rPr>
          <w:color w:val="auto"/>
          <w:sz w:val="32"/>
          <w:szCs w:val="32"/>
          <w:highlight w:val="none"/>
        </w:rPr>
      </w:pPr>
      <w:r>
        <w:rPr>
          <w:rFonts w:hint="eastAsia"/>
          <w:color w:val="auto"/>
          <w:sz w:val="32"/>
          <w:szCs w:val="32"/>
          <w:highlight w:val="none"/>
        </w:rPr>
        <w:t>项目甲方：</w:t>
      </w:r>
      <w:r>
        <w:rPr>
          <w:rFonts w:hint="eastAsia"/>
          <w:color w:val="auto"/>
          <w:sz w:val="32"/>
          <w:szCs w:val="32"/>
          <w:highlight w:val="none"/>
          <w:lang w:val="en-US" w:eastAsia="zh-CN"/>
        </w:rPr>
        <w:t xml:space="preserve">                            </w:t>
      </w:r>
      <w:r>
        <w:rPr>
          <w:rFonts w:hint="eastAsia"/>
          <w:color w:val="auto"/>
          <w:sz w:val="32"/>
          <w:szCs w:val="32"/>
          <w:highlight w:val="none"/>
        </w:rPr>
        <w:t>（盖章）</w:t>
      </w:r>
    </w:p>
    <w:p w14:paraId="4E64F2E1">
      <w:pPr>
        <w:spacing w:line="400" w:lineRule="exact"/>
        <w:ind w:firstLine="640" w:firstLineChars="200"/>
        <w:rPr>
          <w:color w:val="auto"/>
          <w:sz w:val="32"/>
          <w:szCs w:val="32"/>
          <w:highlight w:val="none"/>
          <w:u w:val="single"/>
        </w:rPr>
      </w:pPr>
    </w:p>
    <w:p w14:paraId="53195395">
      <w:pPr>
        <w:spacing w:line="900" w:lineRule="exact"/>
        <w:ind w:firstLine="1280" w:firstLineChars="400"/>
        <w:rPr>
          <w:color w:val="auto"/>
          <w:sz w:val="32"/>
          <w:szCs w:val="32"/>
          <w:highlight w:val="none"/>
        </w:rPr>
      </w:pPr>
      <w:r>
        <w:rPr>
          <w:rFonts w:hint="eastAsia"/>
          <w:color w:val="auto"/>
          <w:sz w:val="32"/>
          <w:szCs w:val="32"/>
          <w:highlight w:val="none"/>
        </w:rPr>
        <w:t>项目乙方：</w:t>
      </w:r>
      <w:r>
        <w:rPr>
          <w:rFonts w:hint="eastAsia"/>
          <w:color w:val="auto"/>
          <w:sz w:val="32"/>
          <w:szCs w:val="32"/>
          <w:highlight w:val="none"/>
          <w:u w:val="single"/>
        </w:rPr>
        <w:t xml:space="preserve">                            </w:t>
      </w:r>
      <w:r>
        <w:rPr>
          <w:rFonts w:hint="eastAsia"/>
          <w:color w:val="auto"/>
          <w:sz w:val="32"/>
          <w:szCs w:val="32"/>
          <w:highlight w:val="none"/>
        </w:rPr>
        <w:t>（盖章）</w:t>
      </w:r>
    </w:p>
    <w:p w14:paraId="5E87C546">
      <w:pPr>
        <w:spacing w:line="900" w:lineRule="exact"/>
        <w:ind w:firstLine="640" w:firstLineChars="200"/>
        <w:rPr>
          <w:color w:val="auto"/>
          <w:sz w:val="32"/>
          <w:szCs w:val="32"/>
          <w:highlight w:val="none"/>
        </w:rPr>
      </w:pPr>
    </w:p>
    <w:p w14:paraId="75C0FC62">
      <w:pPr>
        <w:jc w:val="center"/>
        <w:rPr>
          <w:color w:val="auto"/>
          <w:sz w:val="32"/>
          <w:szCs w:val="32"/>
          <w:highlight w:val="none"/>
        </w:rPr>
      </w:pPr>
      <w:r>
        <w:rPr>
          <w:rFonts w:hint="eastAsia"/>
          <w:color w:val="auto"/>
          <w:sz w:val="32"/>
          <w:szCs w:val="32"/>
          <w:highlight w:val="none"/>
        </w:rPr>
        <w:t xml:space="preserve">编 制 日 期 ：  </w:t>
      </w:r>
      <w:r>
        <w:rPr>
          <w:rFonts w:hint="eastAsia"/>
          <w:color w:val="auto"/>
          <w:sz w:val="32"/>
          <w:szCs w:val="32"/>
          <w:highlight w:val="none"/>
          <w:lang w:val="en-US" w:eastAsia="zh-CN"/>
        </w:rPr>
        <w:t xml:space="preserve">  </w:t>
      </w:r>
      <w:r>
        <w:rPr>
          <w:rFonts w:hint="eastAsia"/>
          <w:color w:val="auto"/>
          <w:sz w:val="32"/>
          <w:szCs w:val="32"/>
          <w:highlight w:val="none"/>
        </w:rPr>
        <w:t xml:space="preserve">   年   月</w:t>
      </w:r>
    </w:p>
    <w:p w14:paraId="263A01F6">
      <w:pPr>
        <w:spacing w:line="520" w:lineRule="exact"/>
        <w:jc w:val="both"/>
        <w:rPr>
          <w:rFonts w:hint="eastAsia" w:ascii="宋体" w:hAnsi="宋体" w:cs="宋体"/>
          <w:b/>
          <w:color w:val="auto"/>
          <w:sz w:val="36"/>
          <w:szCs w:val="36"/>
          <w:highlight w:val="none"/>
        </w:rPr>
      </w:pPr>
    </w:p>
    <w:p w14:paraId="47F78C7B">
      <w:pPr>
        <w:spacing w:line="520" w:lineRule="exact"/>
        <w:jc w:val="both"/>
        <w:rPr>
          <w:rFonts w:hint="eastAsia" w:ascii="宋体" w:hAnsi="宋体" w:cs="宋体"/>
          <w:b/>
          <w:color w:val="auto"/>
          <w:sz w:val="36"/>
          <w:szCs w:val="36"/>
          <w:highlight w:val="none"/>
        </w:rPr>
      </w:pPr>
    </w:p>
    <w:p w14:paraId="04C2D8ED">
      <w:pPr>
        <w:spacing w:line="520" w:lineRule="exact"/>
        <w:jc w:val="center"/>
        <w:rPr>
          <w:rFonts w:hint="eastAsia" w:ascii="宋体" w:hAnsi="宋体" w:cs="宋体"/>
          <w:b/>
          <w:color w:val="auto"/>
          <w:sz w:val="36"/>
          <w:szCs w:val="36"/>
          <w:highlight w:val="none"/>
        </w:rPr>
      </w:pPr>
    </w:p>
    <w:p w14:paraId="64BC6E57">
      <w:pPr>
        <w:spacing w:line="520" w:lineRule="exact"/>
        <w:jc w:val="center"/>
        <w:rPr>
          <w:rFonts w:ascii="宋体" w:hAnsi="宋体" w:cs="宋体"/>
          <w:b/>
          <w:color w:val="auto"/>
          <w:sz w:val="36"/>
          <w:szCs w:val="36"/>
          <w:highlight w:val="none"/>
        </w:rPr>
      </w:pPr>
      <w:r>
        <w:rPr>
          <w:rFonts w:hint="eastAsia" w:ascii="宋体" w:hAnsi="宋体" w:cs="宋体"/>
          <w:b/>
          <w:color w:val="auto"/>
          <w:sz w:val="36"/>
          <w:szCs w:val="36"/>
          <w:highlight w:val="none"/>
        </w:rPr>
        <w:t>环境服务合同</w:t>
      </w:r>
    </w:p>
    <w:p w14:paraId="4C995FE4">
      <w:pPr>
        <w:spacing w:line="520" w:lineRule="exact"/>
        <w:rPr>
          <w:rFonts w:ascii="宋体" w:hAnsi="宋体" w:cs="宋体"/>
          <w:color w:val="auto"/>
          <w:sz w:val="24"/>
          <w:highlight w:val="none"/>
        </w:rPr>
      </w:pPr>
      <w:r>
        <w:rPr>
          <w:rFonts w:hint="eastAsia" w:ascii="宋体" w:hAnsi="宋体" w:cs="宋体"/>
          <w:color w:val="auto"/>
          <w:sz w:val="24"/>
          <w:highlight w:val="none"/>
        </w:rPr>
        <w:t>甲方：</w:t>
      </w:r>
    </w:p>
    <w:tbl>
      <w:tblPr>
        <w:tblStyle w:val="43"/>
        <w:tblW w:w="97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6"/>
        <w:gridCol w:w="7791"/>
      </w:tblGrid>
      <w:tr w14:paraId="0EE6D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6" w:type="dxa"/>
            <w:vAlign w:val="center"/>
          </w:tcPr>
          <w:p w14:paraId="6CE2A337">
            <w:pPr>
              <w:spacing w:line="520" w:lineRule="exact"/>
              <w:jc w:val="center"/>
              <w:rPr>
                <w:rFonts w:ascii="宋体" w:hAnsi="宋体" w:cs="宋体"/>
                <w:color w:val="auto"/>
                <w:sz w:val="24"/>
                <w:highlight w:val="none"/>
              </w:rPr>
            </w:pPr>
            <w:r>
              <w:rPr>
                <w:rFonts w:hint="eastAsia" w:ascii="宋体" w:hAnsi="宋体" w:cs="宋体"/>
                <w:color w:val="auto"/>
                <w:sz w:val="24"/>
                <w:highlight w:val="none"/>
              </w:rPr>
              <w:t>公司名称</w:t>
            </w:r>
          </w:p>
        </w:tc>
        <w:tc>
          <w:tcPr>
            <w:tcW w:w="7791" w:type="dxa"/>
          </w:tcPr>
          <w:p w14:paraId="7174C267">
            <w:pPr>
              <w:spacing w:line="520" w:lineRule="exact"/>
              <w:rPr>
                <w:rFonts w:ascii="宋体" w:hAnsi="宋体" w:cs="宋体"/>
                <w:color w:val="auto"/>
                <w:sz w:val="24"/>
                <w:highlight w:val="none"/>
              </w:rPr>
            </w:pPr>
            <w:r>
              <w:rPr>
                <w:rFonts w:hint="eastAsia" w:ascii="宋体" w:hAnsi="宋体" w:cs="宋体"/>
                <w:color w:val="auto"/>
                <w:sz w:val="24"/>
                <w:highlight w:val="none"/>
              </w:rPr>
              <w:t>厦门湖里国投物业服务有限公司</w:t>
            </w:r>
          </w:p>
        </w:tc>
      </w:tr>
      <w:tr w14:paraId="08635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6" w:type="dxa"/>
            <w:vAlign w:val="center"/>
          </w:tcPr>
          <w:p w14:paraId="1ECC9F62">
            <w:pPr>
              <w:spacing w:line="520" w:lineRule="exact"/>
              <w:jc w:val="center"/>
              <w:rPr>
                <w:rFonts w:ascii="宋体" w:hAnsi="宋体" w:cs="宋体"/>
                <w:color w:val="auto"/>
                <w:sz w:val="24"/>
                <w:highlight w:val="none"/>
              </w:rPr>
            </w:pPr>
            <w:r>
              <w:rPr>
                <w:rFonts w:hint="eastAsia" w:ascii="宋体" w:hAnsi="宋体" w:cs="宋体"/>
                <w:color w:val="auto"/>
                <w:sz w:val="24"/>
                <w:highlight w:val="none"/>
              </w:rPr>
              <w:t>纳税人类型</w:t>
            </w:r>
          </w:p>
        </w:tc>
        <w:tc>
          <w:tcPr>
            <w:tcW w:w="7791" w:type="dxa"/>
          </w:tcPr>
          <w:p w14:paraId="206E3320">
            <w:pPr>
              <w:spacing w:line="520" w:lineRule="exact"/>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一般纳税人</w:t>
            </w:r>
          </w:p>
        </w:tc>
      </w:tr>
      <w:tr w14:paraId="468D0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6" w:type="dxa"/>
            <w:vAlign w:val="center"/>
          </w:tcPr>
          <w:p w14:paraId="0E476F3B">
            <w:pPr>
              <w:spacing w:line="520" w:lineRule="exact"/>
              <w:jc w:val="center"/>
              <w:rPr>
                <w:rFonts w:ascii="宋体" w:hAnsi="宋体" w:cs="宋体"/>
                <w:color w:val="auto"/>
                <w:sz w:val="24"/>
                <w:highlight w:val="none"/>
              </w:rPr>
            </w:pPr>
            <w:r>
              <w:rPr>
                <w:rFonts w:hint="eastAsia" w:ascii="宋体" w:hAnsi="宋体" w:cs="宋体"/>
                <w:color w:val="auto"/>
                <w:sz w:val="24"/>
                <w:highlight w:val="none"/>
              </w:rPr>
              <w:t>纳税人识别号</w:t>
            </w:r>
          </w:p>
        </w:tc>
        <w:tc>
          <w:tcPr>
            <w:tcW w:w="7791" w:type="dxa"/>
          </w:tcPr>
          <w:p w14:paraId="743BFCF2">
            <w:pPr>
              <w:spacing w:line="520" w:lineRule="exact"/>
              <w:rPr>
                <w:rFonts w:ascii="宋体" w:hAnsi="宋体" w:cs="宋体"/>
                <w:color w:val="auto"/>
                <w:sz w:val="24"/>
                <w:highlight w:val="none"/>
              </w:rPr>
            </w:pPr>
            <w:r>
              <w:rPr>
                <w:rFonts w:hint="eastAsia" w:ascii="宋体" w:hAnsi="宋体" w:cs="宋体"/>
                <w:color w:val="auto"/>
                <w:sz w:val="24"/>
                <w:highlight w:val="none"/>
              </w:rPr>
              <w:t>913502066712666862</w:t>
            </w:r>
          </w:p>
        </w:tc>
      </w:tr>
      <w:tr w14:paraId="75CD2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6" w:type="dxa"/>
            <w:vAlign w:val="center"/>
          </w:tcPr>
          <w:p w14:paraId="51F34ACA">
            <w:pPr>
              <w:spacing w:line="520" w:lineRule="exact"/>
              <w:jc w:val="center"/>
              <w:rPr>
                <w:rFonts w:ascii="宋体" w:hAnsi="宋体" w:cs="宋体"/>
                <w:color w:val="auto"/>
                <w:sz w:val="24"/>
                <w:highlight w:val="none"/>
              </w:rPr>
            </w:pPr>
            <w:r>
              <w:rPr>
                <w:rFonts w:hint="eastAsia" w:ascii="宋体" w:hAnsi="宋体" w:cs="宋体"/>
                <w:color w:val="auto"/>
                <w:sz w:val="24"/>
                <w:highlight w:val="none"/>
              </w:rPr>
              <w:t>注册地址</w:t>
            </w:r>
          </w:p>
        </w:tc>
        <w:tc>
          <w:tcPr>
            <w:tcW w:w="7791" w:type="dxa"/>
          </w:tcPr>
          <w:p w14:paraId="5C8F2235">
            <w:pPr>
              <w:spacing w:line="520" w:lineRule="exact"/>
              <w:rPr>
                <w:rFonts w:ascii="宋体" w:hAnsi="宋体" w:cs="宋体"/>
                <w:color w:val="auto"/>
                <w:sz w:val="24"/>
                <w:highlight w:val="none"/>
              </w:rPr>
            </w:pPr>
            <w:r>
              <w:rPr>
                <w:rFonts w:hint="eastAsia" w:ascii="宋体" w:hAnsi="宋体" w:cs="宋体"/>
                <w:color w:val="auto"/>
                <w:sz w:val="24"/>
                <w:highlight w:val="none"/>
              </w:rPr>
              <w:t>厦门市湖里区园山南路792号401室</w:t>
            </w:r>
          </w:p>
        </w:tc>
      </w:tr>
      <w:tr w14:paraId="6A36A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6" w:type="dxa"/>
            <w:vAlign w:val="center"/>
          </w:tcPr>
          <w:p w14:paraId="42D8505A">
            <w:pPr>
              <w:spacing w:line="520" w:lineRule="exact"/>
              <w:jc w:val="center"/>
              <w:rPr>
                <w:rFonts w:ascii="宋体" w:hAnsi="宋体" w:cs="宋体"/>
                <w:color w:val="auto"/>
                <w:sz w:val="24"/>
                <w:highlight w:val="none"/>
              </w:rPr>
            </w:pPr>
            <w:r>
              <w:rPr>
                <w:rFonts w:hint="eastAsia" w:ascii="宋体" w:hAnsi="宋体" w:cs="宋体"/>
                <w:color w:val="auto"/>
                <w:sz w:val="24"/>
                <w:highlight w:val="none"/>
              </w:rPr>
              <w:t>开户银行</w:t>
            </w:r>
          </w:p>
        </w:tc>
        <w:tc>
          <w:tcPr>
            <w:tcW w:w="7791" w:type="dxa"/>
          </w:tcPr>
          <w:p w14:paraId="1CA3268E">
            <w:pPr>
              <w:spacing w:line="520" w:lineRule="exact"/>
              <w:rPr>
                <w:rFonts w:ascii="宋体" w:hAnsi="宋体" w:cs="宋体"/>
                <w:color w:val="auto"/>
                <w:sz w:val="24"/>
                <w:highlight w:val="none"/>
              </w:rPr>
            </w:pPr>
            <w:r>
              <w:rPr>
                <w:rFonts w:hint="eastAsia" w:ascii="宋体" w:hAnsi="宋体" w:cs="宋体"/>
                <w:color w:val="auto"/>
                <w:sz w:val="24"/>
                <w:highlight w:val="none"/>
              </w:rPr>
              <w:t>中国银行枋湖支行</w:t>
            </w:r>
          </w:p>
        </w:tc>
      </w:tr>
      <w:tr w14:paraId="0180A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6" w:type="dxa"/>
            <w:vAlign w:val="center"/>
          </w:tcPr>
          <w:p w14:paraId="62E2FA9E">
            <w:pPr>
              <w:spacing w:line="520" w:lineRule="exact"/>
              <w:jc w:val="center"/>
              <w:rPr>
                <w:rFonts w:ascii="宋体" w:hAnsi="宋体" w:cs="宋体"/>
                <w:color w:val="auto"/>
                <w:sz w:val="24"/>
                <w:highlight w:val="none"/>
              </w:rPr>
            </w:pPr>
            <w:r>
              <w:rPr>
                <w:rFonts w:hint="eastAsia" w:ascii="宋体" w:hAnsi="宋体" w:cs="宋体"/>
                <w:color w:val="auto"/>
                <w:sz w:val="24"/>
                <w:highlight w:val="none"/>
              </w:rPr>
              <w:t>银行账号</w:t>
            </w:r>
          </w:p>
        </w:tc>
        <w:tc>
          <w:tcPr>
            <w:tcW w:w="7791" w:type="dxa"/>
          </w:tcPr>
          <w:p w14:paraId="784B54FC">
            <w:pPr>
              <w:spacing w:line="520" w:lineRule="exact"/>
              <w:rPr>
                <w:rFonts w:ascii="宋体" w:hAnsi="宋体" w:cs="宋体"/>
                <w:color w:val="auto"/>
                <w:sz w:val="24"/>
                <w:highlight w:val="none"/>
              </w:rPr>
            </w:pPr>
            <w:r>
              <w:rPr>
                <w:rFonts w:hint="eastAsia" w:ascii="宋体" w:hAnsi="宋体" w:cs="宋体"/>
                <w:color w:val="auto"/>
                <w:sz w:val="24"/>
                <w:highlight w:val="none"/>
              </w:rPr>
              <w:t>429967185265</w:t>
            </w:r>
          </w:p>
        </w:tc>
      </w:tr>
      <w:tr w14:paraId="6135B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6" w:type="dxa"/>
            <w:vAlign w:val="center"/>
          </w:tcPr>
          <w:p w14:paraId="195378EB">
            <w:pPr>
              <w:spacing w:line="520" w:lineRule="exact"/>
              <w:jc w:val="center"/>
              <w:rPr>
                <w:rFonts w:ascii="宋体" w:hAnsi="宋体" w:cs="宋体"/>
                <w:color w:val="auto"/>
                <w:sz w:val="24"/>
                <w:highlight w:val="none"/>
              </w:rPr>
            </w:pPr>
            <w:r>
              <w:rPr>
                <w:rFonts w:hint="eastAsia" w:ascii="宋体" w:hAnsi="宋体" w:cs="宋体"/>
                <w:color w:val="auto"/>
                <w:sz w:val="24"/>
                <w:highlight w:val="none"/>
              </w:rPr>
              <w:t>联系电话</w:t>
            </w:r>
          </w:p>
        </w:tc>
        <w:tc>
          <w:tcPr>
            <w:tcW w:w="7791" w:type="dxa"/>
          </w:tcPr>
          <w:p w14:paraId="77C7D571">
            <w:pPr>
              <w:spacing w:line="520" w:lineRule="exact"/>
              <w:rPr>
                <w:rFonts w:ascii="宋体" w:hAnsi="宋体" w:cs="宋体"/>
                <w:color w:val="auto"/>
                <w:sz w:val="24"/>
                <w:highlight w:val="none"/>
              </w:rPr>
            </w:pPr>
            <w:r>
              <w:rPr>
                <w:rFonts w:hint="eastAsia" w:ascii="宋体" w:hAnsi="宋体" w:cs="宋体"/>
                <w:color w:val="auto"/>
                <w:sz w:val="24"/>
                <w:highlight w:val="none"/>
              </w:rPr>
              <w:t>0592-5382899</w:t>
            </w:r>
          </w:p>
        </w:tc>
      </w:tr>
    </w:tbl>
    <w:p w14:paraId="726FD85D">
      <w:pPr>
        <w:spacing w:line="520" w:lineRule="exact"/>
        <w:rPr>
          <w:rFonts w:ascii="宋体" w:hAnsi="宋体" w:cs="宋体"/>
          <w:color w:val="auto"/>
          <w:sz w:val="24"/>
          <w:highlight w:val="none"/>
        </w:rPr>
      </w:pPr>
      <w:r>
        <w:rPr>
          <w:rFonts w:hint="eastAsia" w:ascii="宋体" w:hAnsi="宋体" w:cs="宋体"/>
          <w:color w:val="auto"/>
          <w:sz w:val="24"/>
          <w:highlight w:val="none"/>
        </w:rPr>
        <w:t>乙方：</w:t>
      </w:r>
    </w:p>
    <w:tbl>
      <w:tblPr>
        <w:tblStyle w:val="43"/>
        <w:tblW w:w="97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6"/>
        <w:gridCol w:w="7791"/>
      </w:tblGrid>
      <w:tr w14:paraId="2140C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6" w:type="dxa"/>
            <w:vAlign w:val="center"/>
          </w:tcPr>
          <w:p w14:paraId="7FE7DFA7">
            <w:pPr>
              <w:spacing w:line="520" w:lineRule="exact"/>
              <w:jc w:val="center"/>
              <w:rPr>
                <w:rFonts w:ascii="宋体" w:hAnsi="宋体" w:cs="宋体"/>
                <w:color w:val="auto"/>
                <w:sz w:val="24"/>
                <w:highlight w:val="none"/>
              </w:rPr>
            </w:pPr>
            <w:r>
              <w:rPr>
                <w:rFonts w:hint="eastAsia" w:ascii="宋体" w:hAnsi="宋体" w:cs="宋体"/>
                <w:color w:val="auto"/>
                <w:sz w:val="24"/>
                <w:highlight w:val="none"/>
              </w:rPr>
              <w:t>公司名称</w:t>
            </w:r>
          </w:p>
        </w:tc>
        <w:tc>
          <w:tcPr>
            <w:tcW w:w="7791" w:type="dxa"/>
          </w:tcPr>
          <w:p w14:paraId="4603BEF8">
            <w:pPr>
              <w:spacing w:line="520" w:lineRule="exact"/>
              <w:rPr>
                <w:rFonts w:ascii="宋体" w:hAnsi="宋体" w:cs="宋体"/>
                <w:color w:val="auto"/>
                <w:sz w:val="24"/>
                <w:highlight w:val="none"/>
              </w:rPr>
            </w:pPr>
          </w:p>
        </w:tc>
      </w:tr>
      <w:tr w14:paraId="0A2DD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6" w:type="dxa"/>
            <w:vAlign w:val="center"/>
          </w:tcPr>
          <w:p w14:paraId="1B3F0E34">
            <w:pPr>
              <w:spacing w:line="520" w:lineRule="exact"/>
              <w:jc w:val="center"/>
              <w:rPr>
                <w:rFonts w:ascii="宋体" w:hAnsi="宋体" w:cs="宋体"/>
                <w:color w:val="auto"/>
                <w:sz w:val="24"/>
                <w:highlight w:val="none"/>
              </w:rPr>
            </w:pPr>
            <w:r>
              <w:rPr>
                <w:rFonts w:hint="eastAsia" w:ascii="宋体" w:hAnsi="宋体" w:cs="宋体"/>
                <w:color w:val="auto"/>
                <w:sz w:val="24"/>
                <w:highlight w:val="none"/>
              </w:rPr>
              <w:t>纳税人类型</w:t>
            </w:r>
          </w:p>
        </w:tc>
        <w:tc>
          <w:tcPr>
            <w:tcW w:w="7791" w:type="dxa"/>
          </w:tcPr>
          <w:p w14:paraId="4B1C5175">
            <w:pPr>
              <w:spacing w:line="520" w:lineRule="exact"/>
              <w:rPr>
                <w:rFonts w:ascii="宋体" w:hAnsi="宋体" w:cs="宋体"/>
                <w:color w:val="auto"/>
                <w:sz w:val="24"/>
                <w:highlight w:val="none"/>
              </w:rPr>
            </w:pPr>
          </w:p>
        </w:tc>
      </w:tr>
      <w:tr w14:paraId="0CA8F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6" w:type="dxa"/>
            <w:vAlign w:val="center"/>
          </w:tcPr>
          <w:p w14:paraId="22688ABC">
            <w:pPr>
              <w:spacing w:line="520" w:lineRule="exact"/>
              <w:jc w:val="center"/>
              <w:rPr>
                <w:rFonts w:ascii="宋体" w:hAnsi="宋体" w:cs="宋体"/>
                <w:color w:val="auto"/>
                <w:sz w:val="24"/>
                <w:highlight w:val="none"/>
              </w:rPr>
            </w:pPr>
            <w:r>
              <w:rPr>
                <w:rFonts w:hint="eastAsia" w:ascii="宋体" w:hAnsi="宋体" w:cs="宋体"/>
                <w:color w:val="auto"/>
                <w:sz w:val="24"/>
                <w:highlight w:val="none"/>
              </w:rPr>
              <w:t>纳税人识别号</w:t>
            </w:r>
          </w:p>
        </w:tc>
        <w:tc>
          <w:tcPr>
            <w:tcW w:w="7791" w:type="dxa"/>
          </w:tcPr>
          <w:p w14:paraId="7E65094F">
            <w:pPr>
              <w:spacing w:line="520" w:lineRule="exact"/>
              <w:rPr>
                <w:rFonts w:ascii="宋体" w:hAnsi="宋体" w:cs="宋体"/>
                <w:color w:val="auto"/>
                <w:sz w:val="24"/>
                <w:highlight w:val="none"/>
              </w:rPr>
            </w:pPr>
          </w:p>
        </w:tc>
      </w:tr>
      <w:tr w14:paraId="63C47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6" w:type="dxa"/>
            <w:vAlign w:val="center"/>
          </w:tcPr>
          <w:p w14:paraId="011CC326">
            <w:pPr>
              <w:spacing w:line="520" w:lineRule="exact"/>
              <w:jc w:val="center"/>
              <w:rPr>
                <w:rFonts w:ascii="宋体" w:hAnsi="宋体" w:cs="宋体"/>
                <w:color w:val="auto"/>
                <w:sz w:val="24"/>
                <w:highlight w:val="none"/>
              </w:rPr>
            </w:pPr>
            <w:r>
              <w:rPr>
                <w:rFonts w:hint="eastAsia" w:ascii="宋体" w:hAnsi="宋体" w:cs="宋体"/>
                <w:color w:val="auto"/>
                <w:sz w:val="24"/>
                <w:highlight w:val="none"/>
              </w:rPr>
              <w:t>注册地址</w:t>
            </w:r>
          </w:p>
        </w:tc>
        <w:tc>
          <w:tcPr>
            <w:tcW w:w="7791" w:type="dxa"/>
          </w:tcPr>
          <w:p w14:paraId="45474602">
            <w:pPr>
              <w:spacing w:line="520" w:lineRule="exact"/>
              <w:rPr>
                <w:rFonts w:ascii="宋体" w:hAnsi="宋体" w:cs="宋体"/>
                <w:color w:val="auto"/>
                <w:sz w:val="24"/>
                <w:highlight w:val="none"/>
              </w:rPr>
            </w:pPr>
          </w:p>
        </w:tc>
      </w:tr>
      <w:tr w14:paraId="2ECFB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6" w:type="dxa"/>
            <w:vAlign w:val="center"/>
          </w:tcPr>
          <w:p w14:paraId="039F3BD2">
            <w:pPr>
              <w:spacing w:line="520" w:lineRule="exact"/>
              <w:jc w:val="center"/>
              <w:rPr>
                <w:rFonts w:ascii="宋体" w:hAnsi="宋体" w:cs="宋体"/>
                <w:color w:val="auto"/>
                <w:sz w:val="24"/>
                <w:highlight w:val="none"/>
              </w:rPr>
            </w:pPr>
            <w:r>
              <w:rPr>
                <w:rFonts w:hint="eastAsia" w:ascii="宋体" w:hAnsi="宋体" w:cs="宋体"/>
                <w:color w:val="auto"/>
                <w:sz w:val="24"/>
                <w:highlight w:val="none"/>
              </w:rPr>
              <w:t>开户银行</w:t>
            </w:r>
          </w:p>
        </w:tc>
        <w:tc>
          <w:tcPr>
            <w:tcW w:w="7791" w:type="dxa"/>
          </w:tcPr>
          <w:p w14:paraId="7A84A195">
            <w:pPr>
              <w:spacing w:line="520" w:lineRule="exact"/>
              <w:rPr>
                <w:rFonts w:ascii="宋体" w:hAnsi="宋体" w:cs="宋体"/>
                <w:color w:val="auto"/>
                <w:sz w:val="24"/>
                <w:highlight w:val="none"/>
              </w:rPr>
            </w:pPr>
          </w:p>
        </w:tc>
      </w:tr>
      <w:tr w14:paraId="0371D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6" w:type="dxa"/>
            <w:vAlign w:val="center"/>
          </w:tcPr>
          <w:p w14:paraId="2A15F570">
            <w:pPr>
              <w:spacing w:line="520" w:lineRule="exact"/>
              <w:jc w:val="center"/>
              <w:rPr>
                <w:rFonts w:ascii="宋体" w:hAnsi="宋体" w:cs="宋体"/>
                <w:color w:val="auto"/>
                <w:sz w:val="24"/>
                <w:highlight w:val="none"/>
              </w:rPr>
            </w:pPr>
            <w:r>
              <w:rPr>
                <w:rFonts w:hint="eastAsia" w:ascii="宋体" w:hAnsi="宋体" w:cs="宋体"/>
                <w:color w:val="auto"/>
                <w:sz w:val="24"/>
                <w:highlight w:val="none"/>
              </w:rPr>
              <w:t>银行账号</w:t>
            </w:r>
          </w:p>
        </w:tc>
        <w:tc>
          <w:tcPr>
            <w:tcW w:w="7791" w:type="dxa"/>
          </w:tcPr>
          <w:p w14:paraId="72E77690">
            <w:pPr>
              <w:spacing w:line="520" w:lineRule="exact"/>
              <w:rPr>
                <w:rFonts w:ascii="宋体" w:hAnsi="宋体" w:cs="宋体"/>
                <w:color w:val="auto"/>
                <w:sz w:val="24"/>
                <w:highlight w:val="none"/>
              </w:rPr>
            </w:pPr>
          </w:p>
        </w:tc>
      </w:tr>
      <w:tr w14:paraId="736CE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6" w:type="dxa"/>
            <w:vAlign w:val="center"/>
          </w:tcPr>
          <w:p w14:paraId="06AD80B0">
            <w:pPr>
              <w:spacing w:line="520" w:lineRule="exact"/>
              <w:jc w:val="center"/>
              <w:rPr>
                <w:rFonts w:ascii="宋体" w:hAnsi="宋体" w:cs="宋体"/>
                <w:color w:val="auto"/>
                <w:sz w:val="24"/>
                <w:highlight w:val="none"/>
              </w:rPr>
            </w:pPr>
            <w:r>
              <w:rPr>
                <w:rFonts w:hint="eastAsia" w:ascii="宋体" w:hAnsi="宋体" w:cs="宋体"/>
                <w:color w:val="auto"/>
                <w:sz w:val="24"/>
                <w:highlight w:val="none"/>
              </w:rPr>
              <w:t>联系电话</w:t>
            </w:r>
          </w:p>
        </w:tc>
        <w:tc>
          <w:tcPr>
            <w:tcW w:w="7791" w:type="dxa"/>
          </w:tcPr>
          <w:p w14:paraId="7ECB37A0">
            <w:pPr>
              <w:spacing w:line="520" w:lineRule="exact"/>
              <w:rPr>
                <w:rFonts w:ascii="宋体" w:hAnsi="宋体" w:cs="宋体"/>
                <w:color w:val="auto"/>
                <w:sz w:val="24"/>
                <w:highlight w:val="none"/>
              </w:rPr>
            </w:pPr>
          </w:p>
        </w:tc>
      </w:tr>
    </w:tbl>
    <w:p w14:paraId="3D44E256">
      <w:pPr>
        <w:pBdr>
          <w:top w:val="none" w:color="000000" w:sz="0" w:space="0"/>
          <w:left w:val="none" w:color="000000" w:sz="0" w:space="0"/>
          <w:bottom w:val="none" w:color="000000" w:sz="0" w:space="0"/>
          <w:right w:val="none" w:color="000000" w:sz="0" w:space="0"/>
        </w:pBdr>
        <w:shd w:val="solid" w:color="FFFFFF" w:fill="auto"/>
        <w:autoSpaceDN w:val="0"/>
        <w:spacing w:line="52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甲、乙双方根据《中华人民共和国民法典》有关规定，按照</w:t>
      </w:r>
      <w:r>
        <w:rPr>
          <w:rFonts w:hint="eastAsia" w:ascii="宋体" w:hAnsi="宋体" w:cs="宋体"/>
          <w:color w:val="auto"/>
          <w:sz w:val="24"/>
          <w:highlight w:val="none"/>
          <w:lang w:eastAsia="zh-CN"/>
        </w:rPr>
        <w:t>响应供应商</w:t>
      </w:r>
      <w:r>
        <w:rPr>
          <w:rFonts w:hint="eastAsia" w:ascii="宋体" w:hAnsi="宋体" w:cs="宋体"/>
          <w:color w:val="auto"/>
          <w:sz w:val="24"/>
          <w:highlight w:val="none"/>
        </w:rPr>
        <w:t>结果并经友好协商，确定由乙方承接甲方管理的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（项目名）公共区域及办公场所的□保洁服务和□绿化养护服务，统称环境服务。为规范双方的义务并保障双方权益，特制定以下合同条款：</w:t>
      </w:r>
    </w:p>
    <w:p w14:paraId="183F49B8">
      <w:pPr>
        <w:spacing w:line="520" w:lineRule="exact"/>
        <w:ind w:firstLine="472" w:firstLineChars="196"/>
        <w:rPr>
          <w:rFonts w:ascii="宋体" w:hAnsi="宋体" w:cs="宋体"/>
          <w:b/>
          <w:color w:val="auto"/>
          <w:sz w:val="24"/>
          <w:highlight w:val="none"/>
        </w:rPr>
      </w:pPr>
      <w:r>
        <w:rPr>
          <w:rFonts w:hint="eastAsia" w:ascii="宋体" w:hAnsi="宋体" w:cs="宋体"/>
          <w:b/>
          <w:color w:val="auto"/>
          <w:sz w:val="24"/>
          <w:highlight w:val="none"/>
        </w:rPr>
        <w:t>一、乙方承接甲方所管理的</w:t>
      </w:r>
      <w:r>
        <w:rPr>
          <w:rFonts w:hint="eastAsia" w:ascii="宋体" w:hAnsi="宋体" w:cs="宋体"/>
          <w:b/>
          <w:color w:val="auto"/>
          <w:sz w:val="24"/>
          <w:highlight w:val="none"/>
          <w:u w:val="single"/>
        </w:rPr>
        <w:t xml:space="preserve">                 </w:t>
      </w:r>
      <w:r>
        <w:rPr>
          <w:rFonts w:hint="eastAsia" w:ascii="宋体" w:hAnsi="宋体" w:cs="宋体"/>
          <w:b/>
          <w:color w:val="auto"/>
          <w:sz w:val="24"/>
          <w:highlight w:val="none"/>
        </w:rPr>
        <w:t>项目的环境服务业务。</w:t>
      </w:r>
    </w:p>
    <w:p w14:paraId="58290E80">
      <w:pPr>
        <w:spacing w:line="520" w:lineRule="exact"/>
        <w:ind w:firstLine="472" w:firstLineChars="196"/>
        <w:rPr>
          <w:rFonts w:ascii="宋体" w:hAnsi="宋体" w:cs="宋体"/>
          <w:b/>
          <w:color w:val="auto"/>
          <w:sz w:val="24"/>
          <w:highlight w:val="none"/>
        </w:rPr>
      </w:pPr>
      <w:r>
        <w:rPr>
          <w:rFonts w:hint="eastAsia" w:ascii="宋体" w:hAnsi="宋体" w:cs="宋体"/>
          <w:b/>
          <w:color w:val="auto"/>
          <w:sz w:val="24"/>
          <w:highlight w:val="none"/>
        </w:rPr>
        <w:t>二、</w:t>
      </w:r>
      <w:r>
        <w:rPr>
          <w:rFonts w:hint="eastAsia" w:ascii="宋体" w:hAnsi="宋体" w:cs="宋体"/>
          <w:color w:val="auto"/>
          <w:sz w:val="24"/>
          <w:highlight w:val="none"/>
        </w:rPr>
        <w:t>□</w:t>
      </w:r>
      <w:r>
        <w:rPr>
          <w:rFonts w:hint="eastAsia" w:ascii="宋体" w:hAnsi="宋体" w:cs="宋体"/>
          <w:b/>
          <w:color w:val="auto"/>
          <w:sz w:val="24"/>
          <w:highlight w:val="none"/>
        </w:rPr>
        <w:t>保洁服务方式：乙方包工、包料、包工具及洗涤用品（不含洗手液、卷纸、擦手纸、垃圾桶）、包质量的方式。</w:t>
      </w:r>
    </w:p>
    <w:p w14:paraId="18AF89EE">
      <w:pPr>
        <w:spacing w:line="520" w:lineRule="exact"/>
        <w:ind w:firstLine="472" w:firstLineChars="196"/>
        <w:rPr>
          <w:rFonts w:ascii="宋体" w:hAnsi="宋体" w:cs="宋体"/>
          <w:color w:val="auto"/>
          <w:spacing w:val="23"/>
          <w:sz w:val="24"/>
          <w:highlight w:val="none"/>
        </w:rPr>
      </w:pPr>
      <w:r>
        <w:rPr>
          <w:rFonts w:hint="eastAsia" w:ascii="宋体" w:hAnsi="宋体" w:cs="宋体"/>
          <w:b/>
          <w:color w:val="auto"/>
          <w:sz w:val="24"/>
          <w:highlight w:val="none"/>
        </w:rPr>
        <w:t>三、</w:t>
      </w:r>
      <w:r>
        <w:rPr>
          <w:rFonts w:hint="eastAsia" w:ascii="宋体" w:hAnsi="宋体" w:cs="宋体"/>
          <w:color w:val="auto"/>
          <w:sz w:val="24"/>
          <w:highlight w:val="none"/>
        </w:rPr>
        <w:t>□</w:t>
      </w:r>
      <w:r>
        <w:rPr>
          <w:rFonts w:hint="eastAsia" w:ascii="宋体" w:hAnsi="宋体" w:cs="宋体"/>
          <w:b/>
          <w:color w:val="auto"/>
          <w:sz w:val="24"/>
          <w:highlight w:val="none"/>
        </w:rPr>
        <w:t>绿化养护方式：乙方包工包料，包括绿化浇喷水、修剪、施肥、病虫害防治、杂草防除、中耕培土、死苗干枝清理、绿地排积水、绿地保洁、垃圾清运、刷白、喷灌系统及其它园建设施日常保护及简易修理。</w:t>
      </w:r>
    </w:p>
    <w:p w14:paraId="45374E7C">
      <w:pPr>
        <w:spacing w:line="520" w:lineRule="exact"/>
        <w:ind w:firstLine="472" w:firstLineChars="196"/>
        <w:rPr>
          <w:rFonts w:ascii="宋体" w:hAnsi="宋体" w:cs="宋体"/>
          <w:b/>
          <w:color w:val="auto"/>
          <w:sz w:val="24"/>
          <w:highlight w:val="none"/>
        </w:rPr>
      </w:pPr>
      <w:r>
        <w:rPr>
          <w:rFonts w:hint="eastAsia" w:ascii="宋体" w:hAnsi="宋体" w:cs="宋体"/>
          <w:b/>
          <w:color w:val="auto"/>
          <w:sz w:val="24"/>
          <w:highlight w:val="none"/>
        </w:rPr>
        <w:t>四、甲方的权利和义务：</w:t>
      </w:r>
    </w:p>
    <w:p w14:paraId="53AC0F59">
      <w:pPr>
        <w:spacing w:line="520" w:lineRule="exact"/>
        <w:ind w:firstLine="422" w:firstLineChars="175"/>
        <w:rPr>
          <w:rFonts w:ascii="宋体" w:hAnsi="宋体" w:cs="宋体"/>
          <w:b/>
          <w:bCs/>
          <w:color w:val="auto"/>
          <w:sz w:val="24"/>
          <w:highlight w:val="none"/>
        </w:rPr>
      </w:pPr>
      <w:r>
        <w:rPr>
          <w:rFonts w:hint="eastAsia" w:ascii="宋体" w:hAnsi="宋体" w:cs="宋体"/>
          <w:b/>
          <w:bCs/>
          <w:color w:val="auto"/>
          <w:sz w:val="24"/>
          <w:highlight w:val="none"/>
        </w:rPr>
        <w:t>权利：</w:t>
      </w:r>
    </w:p>
    <w:p w14:paraId="6F1E648D">
      <w:pPr>
        <w:numPr>
          <w:ilvl w:val="0"/>
          <w:numId w:val="15"/>
        </w:numPr>
        <w:spacing w:line="520" w:lineRule="exact"/>
        <w:ind w:firstLine="420" w:firstLineChars="175"/>
        <w:rPr>
          <w:rFonts w:ascii="宋体" w:hAnsi="宋体" w:cs="宋体"/>
          <w:color w:val="auto"/>
          <w:sz w:val="24"/>
          <w:highlight w:val="none"/>
        </w:rPr>
      </w:pPr>
      <w:r>
        <w:rPr>
          <w:rFonts w:hint="eastAsia" w:ascii="宋体" w:hAnsi="宋体" w:cs="宋体"/>
          <w:color w:val="auto"/>
          <w:sz w:val="24"/>
          <w:highlight w:val="none"/>
        </w:rPr>
        <w:t>有权制定相应的管理措施，以保证乙方按照合同及其它双方协定要求运作。有权派工作人员监督乙方承接范围内的环境服务质量，发现问题及时通知乙方整改。有权随时抽查乙方现场服务人员的工作质量。</w:t>
      </w:r>
    </w:p>
    <w:p w14:paraId="2BC21D61">
      <w:pPr>
        <w:numPr>
          <w:ilvl w:val="0"/>
          <w:numId w:val="15"/>
        </w:numPr>
        <w:spacing w:line="520" w:lineRule="exact"/>
        <w:ind w:firstLine="420" w:firstLineChars="175"/>
        <w:rPr>
          <w:rFonts w:ascii="宋体" w:hAnsi="宋体" w:cs="宋体"/>
          <w:color w:val="auto"/>
          <w:sz w:val="24"/>
          <w:highlight w:val="none"/>
        </w:rPr>
      </w:pPr>
      <w:r>
        <w:rPr>
          <w:rFonts w:hint="eastAsia" w:ascii="宋体" w:hAnsi="宋体" w:cs="宋体"/>
          <w:color w:val="auto"/>
          <w:sz w:val="24"/>
          <w:highlight w:val="none"/>
        </w:rPr>
        <w:t>甲方要求更换乙方不合格人员，乙方应在15个工作日内给予调换至合适人选。若期限内未完成人员更换，甲方有权从应付乙方的服务费用中扣减人员从本月至更换完成当月的费用（每人每月的费用为总价除以总人数再除12个月），环境实施质量按合同约定执行不得予以降低</w:t>
      </w:r>
      <w:r>
        <w:rPr>
          <w:rFonts w:hint="eastAsia" w:ascii="宋体" w:hAnsi="宋体" w:eastAsia="宋体" w:cs="宋体"/>
          <w:color w:val="auto"/>
          <w:sz w:val="24"/>
          <w:highlight w:val="none"/>
        </w:rPr>
        <w:t>。</w:t>
      </w:r>
    </w:p>
    <w:p w14:paraId="6AD0BF7F">
      <w:pPr>
        <w:numPr>
          <w:ilvl w:val="0"/>
          <w:numId w:val="15"/>
        </w:numPr>
        <w:spacing w:line="520" w:lineRule="exact"/>
        <w:ind w:firstLine="420" w:firstLineChars="175"/>
        <w:rPr>
          <w:rFonts w:ascii="宋体" w:hAnsi="宋体" w:cs="宋体"/>
          <w:color w:val="auto"/>
          <w:sz w:val="24"/>
          <w:highlight w:val="none"/>
        </w:rPr>
      </w:pPr>
      <w:r>
        <w:rPr>
          <w:rFonts w:hint="eastAsia" w:ascii="宋体" w:hAnsi="宋体" w:cs="宋体"/>
          <w:color w:val="auto"/>
          <w:sz w:val="24"/>
          <w:highlight w:val="none"/>
        </w:rPr>
        <w:t>在甲方两次书面通知整改3个工作日内，乙方仍无法按作业要求及标准整改合格的，甲方有权临时请应急队伍处理，相关费用从应付给乙方的服务费中扣除，乙方予以确认。</w:t>
      </w:r>
    </w:p>
    <w:p w14:paraId="4313D34F">
      <w:pPr>
        <w:numPr>
          <w:ilvl w:val="0"/>
          <w:numId w:val="15"/>
        </w:numPr>
        <w:spacing w:line="520" w:lineRule="exact"/>
        <w:ind w:firstLine="420" w:firstLineChars="175"/>
        <w:rPr>
          <w:rFonts w:ascii="宋体" w:hAnsi="宋体" w:cs="宋体"/>
          <w:color w:val="auto"/>
          <w:sz w:val="24"/>
          <w:highlight w:val="none"/>
        </w:rPr>
      </w:pPr>
      <w:r>
        <w:rPr>
          <w:rFonts w:hint="eastAsia" w:ascii="宋体" w:hAnsi="宋体" w:cs="宋体"/>
          <w:color w:val="auto"/>
          <w:sz w:val="24"/>
          <w:highlight w:val="none"/>
        </w:rPr>
        <w:t>每月若有对乙方的投诉（特别是服务质量问题），乙方未及时正确处理和解决的，甲方有权提出书面警告。若因乙方服务质量原因造成甲方损失，乙方需承担相应赔偿责任。</w:t>
      </w:r>
    </w:p>
    <w:p w14:paraId="1798F806">
      <w:pPr>
        <w:spacing w:line="520" w:lineRule="exact"/>
        <w:ind w:firstLine="422" w:firstLineChars="175"/>
        <w:rPr>
          <w:rFonts w:ascii="宋体" w:hAnsi="宋体" w:cs="宋体"/>
          <w:b/>
          <w:bCs/>
          <w:color w:val="auto"/>
          <w:sz w:val="24"/>
          <w:highlight w:val="none"/>
        </w:rPr>
      </w:pPr>
      <w:r>
        <w:rPr>
          <w:rFonts w:hint="eastAsia" w:ascii="宋体" w:hAnsi="宋体" w:cs="宋体"/>
          <w:b/>
          <w:bCs/>
          <w:color w:val="auto"/>
          <w:sz w:val="24"/>
          <w:highlight w:val="none"/>
        </w:rPr>
        <w:t>义务：</w:t>
      </w:r>
    </w:p>
    <w:p w14:paraId="6DF53317">
      <w:pPr>
        <w:numPr>
          <w:ilvl w:val="0"/>
          <w:numId w:val="16"/>
        </w:numPr>
        <w:spacing w:line="520" w:lineRule="exact"/>
        <w:ind w:firstLine="420" w:firstLineChars="175"/>
        <w:rPr>
          <w:rFonts w:ascii="宋体" w:hAnsi="宋体" w:cs="宋体"/>
          <w:color w:val="auto"/>
          <w:sz w:val="24"/>
          <w:highlight w:val="none"/>
        </w:rPr>
      </w:pPr>
      <w:r>
        <w:rPr>
          <w:rFonts w:hint="eastAsia" w:ascii="宋体" w:hAnsi="宋体" w:cs="宋体"/>
          <w:color w:val="auto"/>
          <w:sz w:val="24"/>
          <w:highlight w:val="none"/>
        </w:rPr>
        <w:t>无偿提供环境维护使用的水电，提供贮物房间（场所）供乙方放置工具、材料等物品之用，乙方置放的工具材料应干净整洁,不得产生污染。若对上述场所进行改造或翻新，费用由乙方自理；</w:t>
      </w:r>
    </w:p>
    <w:p w14:paraId="4315F8EB">
      <w:pPr>
        <w:numPr>
          <w:ilvl w:val="0"/>
          <w:numId w:val="16"/>
        </w:numPr>
        <w:spacing w:line="520" w:lineRule="exact"/>
        <w:ind w:firstLine="420" w:firstLineChars="175"/>
        <w:rPr>
          <w:rFonts w:ascii="宋体" w:hAnsi="宋体" w:cs="宋体"/>
          <w:color w:val="auto"/>
          <w:sz w:val="24"/>
          <w:highlight w:val="none"/>
        </w:rPr>
      </w:pPr>
      <w:r>
        <w:rPr>
          <w:rFonts w:hint="eastAsia" w:ascii="宋体" w:hAnsi="宋体" w:cs="宋体"/>
          <w:color w:val="auto"/>
          <w:sz w:val="24"/>
          <w:highlight w:val="none"/>
        </w:rPr>
        <w:t>对于乙方合理的工作协助、要求及建议，甲方应予全力支持。</w:t>
      </w:r>
    </w:p>
    <w:p w14:paraId="008B17F1">
      <w:pPr>
        <w:numPr>
          <w:ilvl w:val="0"/>
          <w:numId w:val="16"/>
        </w:numPr>
        <w:spacing w:line="520" w:lineRule="exact"/>
        <w:ind w:firstLine="420" w:firstLineChars="175"/>
        <w:rPr>
          <w:rFonts w:ascii="宋体" w:hAnsi="宋体" w:cs="宋体"/>
          <w:color w:val="auto"/>
          <w:sz w:val="24"/>
          <w:highlight w:val="none"/>
        </w:rPr>
      </w:pPr>
      <w:r>
        <w:rPr>
          <w:rFonts w:hint="eastAsia" w:ascii="宋体" w:hAnsi="宋体" w:cs="宋体"/>
          <w:color w:val="auto"/>
          <w:sz w:val="24"/>
          <w:highlight w:val="none"/>
        </w:rPr>
        <w:t>如遇特殊环境相关工作需求时，需提前通知乙方安排人员进行作业。</w:t>
      </w:r>
    </w:p>
    <w:p w14:paraId="4D0E942A">
      <w:pPr>
        <w:numPr>
          <w:ilvl w:val="0"/>
          <w:numId w:val="16"/>
        </w:numPr>
        <w:spacing w:line="520" w:lineRule="exact"/>
        <w:ind w:firstLine="420" w:firstLineChars="175"/>
        <w:rPr>
          <w:rFonts w:ascii="宋体" w:hAnsi="宋体" w:cs="宋体"/>
          <w:color w:val="auto"/>
          <w:sz w:val="24"/>
          <w:highlight w:val="none"/>
        </w:rPr>
      </w:pPr>
      <w:r>
        <w:rPr>
          <w:rFonts w:hint="eastAsia" w:ascii="宋体" w:hAnsi="宋体" w:cs="宋体"/>
          <w:color w:val="auto"/>
          <w:sz w:val="24"/>
          <w:highlight w:val="none"/>
        </w:rPr>
        <w:t>教育项目员工自觉维护乙方所承接业务范围的□清洁卫生和□绿化环境，对破坏项目环境之行为应给予及时制止与纠正，屡次违反不改者应予以相应的通告处分。</w:t>
      </w:r>
    </w:p>
    <w:p w14:paraId="7C681E1A">
      <w:pPr>
        <w:numPr>
          <w:ilvl w:val="0"/>
          <w:numId w:val="16"/>
        </w:numPr>
        <w:spacing w:line="520" w:lineRule="exact"/>
        <w:ind w:firstLine="420" w:firstLineChars="175"/>
        <w:rPr>
          <w:rFonts w:ascii="宋体" w:hAnsi="宋体" w:cs="宋体"/>
          <w:color w:val="auto"/>
          <w:sz w:val="24"/>
          <w:highlight w:val="none"/>
        </w:rPr>
      </w:pPr>
      <w:r>
        <w:rPr>
          <w:rFonts w:hint="eastAsia" w:ascii="宋体" w:hAnsi="宋体" w:cs="宋体"/>
          <w:color w:val="auto"/>
          <w:sz w:val="24"/>
          <w:highlight w:val="none"/>
        </w:rPr>
        <w:t>甲方负责提供乙方履行本合同所需的相关材料（包括甲方制定的服务标准制度等）、告知乙方相关环境服务标准，部分设备使用需要环境作业人员特殊注意的，甲方应当尽到提示义务。若甲方未提前告知导致乙方无法正常履行的，乙方有权暂缓履行相关义务，直至甲方告知为止。</w:t>
      </w:r>
    </w:p>
    <w:p w14:paraId="6BAD31AD">
      <w:pPr>
        <w:numPr>
          <w:ilvl w:val="0"/>
          <w:numId w:val="16"/>
        </w:numPr>
        <w:spacing w:line="520" w:lineRule="exact"/>
        <w:ind w:firstLine="420" w:firstLineChars="175"/>
        <w:rPr>
          <w:rFonts w:ascii="宋体" w:hAnsi="宋体" w:cs="宋体"/>
          <w:color w:val="auto"/>
          <w:sz w:val="24"/>
          <w:highlight w:val="none"/>
        </w:rPr>
      </w:pPr>
      <w:r>
        <w:rPr>
          <w:rFonts w:hint="eastAsia" w:ascii="宋体" w:hAnsi="宋体" w:cs="宋体"/>
          <w:color w:val="auto"/>
          <w:sz w:val="24"/>
          <w:highlight w:val="none"/>
        </w:rPr>
        <w:t>在乙方无过错的情况下，甲方有义务协调乙方、乙方作业人员和业主之间的纠纷，确保能按月履行合同义务。</w:t>
      </w:r>
    </w:p>
    <w:p w14:paraId="06DA45D3">
      <w:pPr>
        <w:numPr>
          <w:ilvl w:val="255"/>
          <w:numId w:val="0"/>
        </w:numPr>
        <w:spacing w:line="520" w:lineRule="exact"/>
        <w:ind w:left="428" w:firstLine="0" w:firstLineChars="0"/>
        <w:rPr>
          <w:rFonts w:ascii="宋体" w:hAnsi="宋体" w:cs="宋体"/>
          <w:b/>
          <w:bCs/>
          <w:color w:val="auto"/>
          <w:sz w:val="24"/>
          <w:highlight w:val="none"/>
        </w:rPr>
      </w:pPr>
      <w:r>
        <w:rPr>
          <w:rFonts w:hint="eastAsia" w:ascii="宋体" w:hAnsi="宋体" w:cs="宋体"/>
          <w:b/>
          <w:color w:val="auto"/>
          <w:sz w:val="24"/>
          <w:highlight w:val="none"/>
        </w:rPr>
        <w:t>五、乙方的权利和义务：</w:t>
      </w:r>
    </w:p>
    <w:p w14:paraId="2D07AAA7">
      <w:pPr>
        <w:spacing w:line="52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权利：</w:t>
      </w:r>
    </w:p>
    <w:p w14:paraId="5B788557">
      <w:pPr>
        <w:numPr>
          <w:ilvl w:val="0"/>
          <w:numId w:val="17"/>
        </w:num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自行指定现场负责人，具体安排及全面督导日常环境服务工作，巡检（分自检和参与甲方联检）现场环境情况，及时处理甲方投诉，并保持与甲方相关负责人的日常联系，以便于工作配合与协调；</w:t>
      </w:r>
    </w:p>
    <w:p w14:paraId="78A06524">
      <w:pPr>
        <w:numPr>
          <w:ilvl w:val="0"/>
          <w:numId w:val="17"/>
        </w:num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乙方现场工作人员有权利向甲方反映公共设施、设备的完好状况，要求甲方及时处理，保证乙方能够进行服务；</w:t>
      </w:r>
    </w:p>
    <w:p w14:paraId="3110A8FF">
      <w:pPr>
        <w:numPr>
          <w:ilvl w:val="0"/>
          <w:numId w:val="17"/>
        </w:num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乙方有权利向甲方反映甲方现场工作人员不配合的问题，甲方应予以调查，确实存在问题的应进行协调处理。</w:t>
      </w:r>
    </w:p>
    <w:p w14:paraId="143A6D6E">
      <w:pPr>
        <w:spacing w:line="52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义务：</w:t>
      </w:r>
    </w:p>
    <w:p w14:paraId="570A9550">
      <w:pPr>
        <w:numPr>
          <w:ilvl w:val="0"/>
          <w:numId w:val="18"/>
        </w:num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乙方须严格按照双方所共同制定各项作业标准（具体参照合同附件之相关规定），指派具有相应资质的从业人员提供专业环境服务，并严格组织安全生产教育、培训和管理，承担所有安全生产责任。遵守甲方所订规章制度，保持良好的生活环境和秩序，爱护甲方的财产，维护甲方良好的形象。对有违法乱纪或违反甲方委托服务区域各项规定的乙方员工，乙方须予以严肃处理，并将处理结果通报甲方。甲方要求更换乱纪人员的，乙方应该在当日执行。</w:t>
      </w:r>
    </w:p>
    <w:p w14:paraId="4E92A092">
      <w:pPr>
        <w:numPr>
          <w:ilvl w:val="0"/>
          <w:numId w:val="18"/>
        </w:num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乙方应与指派的环境人员依法订立劳动合同，并依法履行用工单位的义务，不得因劳动合同纠纷而影响本合同的履行，否则，乙方应按本合同第十条第（二）款约定承担违约责任；如对本合同履行有影响，甲方有权解除合同。</w:t>
      </w:r>
    </w:p>
    <w:p w14:paraId="04041100">
      <w:pPr>
        <w:numPr>
          <w:ilvl w:val="0"/>
          <w:numId w:val="18"/>
        </w:num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按照甲乙双方协商结果，选派素质良好、服务热情、形象健康之专业人员（包括常驻现场负责人）进驻现场工作。现场服务人员应满足如下条件：</w:t>
      </w:r>
    </w:p>
    <w:p w14:paraId="4B0AD053">
      <w:pPr>
        <w:numPr>
          <w:ilvl w:val="0"/>
          <w:numId w:val="19"/>
        </w:num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具有小学以上文化；</w:t>
      </w:r>
    </w:p>
    <w:p w14:paraId="24EDC126">
      <w:pPr>
        <w:numPr>
          <w:ilvl w:val="0"/>
          <w:numId w:val="19"/>
        </w:num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无犯罪或其它不良情况记录；</w:t>
      </w:r>
    </w:p>
    <w:p w14:paraId="4B981F4E">
      <w:pPr>
        <w:numPr>
          <w:ilvl w:val="0"/>
          <w:numId w:val="19"/>
        </w:num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身体健康，无传染性疾病、精神类疾病或其它重大疾病的非残疾人士；</w:t>
      </w:r>
    </w:p>
    <w:p w14:paraId="2DF35A46">
      <w:pPr>
        <w:numPr>
          <w:ilvl w:val="0"/>
          <w:numId w:val="19"/>
        </w:num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有统一的制服、着装具有显眼警示标识；</w:t>
      </w:r>
    </w:p>
    <w:p w14:paraId="2579FBB8">
      <w:pPr>
        <w:numPr>
          <w:ilvl w:val="0"/>
          <w:numId w:val="19"/>
        </w:num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合同履行过程中，因人员流动或其它原因，需调换或新招员工的，在员工进场之前，需书面知会甲方。</w:t>
      </w:r>
    </w:p>
    <w:p w14:paraId="6D970390">
      <w:pPr>
        <w:numPr>
          <w:ilvl w:val="0"/>
          <w:numId w:val="18"/>
        </w:num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乙方向甲方提交项目月工作计划（必须含消杀计划），并随时接受甲方的检查。每月28日之前，根据当月现场情况，以书面形式向甲方提交下月环境作业计划，每月10日以前以书面形式向甲方提交上月工作报告及上月问题的整改措施，并接受甲方关于环境作业计划的合理建议和要求。已制定的月度及日常环境作业计划如需修正或调整必须及时书面通知甲方。</w:t>
      </w:r>
    </w:p>
    <w:p w14:paraId="409E985B">
      <w:pPr>
        <w:numPr>
          <w:ilvl w:val="0"/>
          <w:numId w:val="18"/>
        </w:num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乙方每10个日历日至少指派一次高层管理人员到本项目所在地检查承接范围内的环境情况，并积极征询甲方相关负责人意见、加强沟通，不断提高服务品质。若乙方未按要求执行，甲方将从上一次到访之日起算，按100元/次的标准扣除服务费，该扣款不得转嫁至项目现场工作的员工。</w:t>
      </w:r>
    </w:p>
    <w:p w14:paraId="3BE61904">
      <w:pPr>
        <w:numPr>
          <w:ilvl w:val="0"/>
          <w:numId w:val="18"/>
        </w:num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负责承担乙方员工的一切费用及员工工作有关的一切法律问题，管理好员工并严格要求遵守各项规章制度。维护好甲方一切公共设施，损坏物品乙方照价赔偿。</w:t>
      </w:r>
    </w:p>
    <w:p w14:paraId="27A62C90">
      <w:pPr>
        <w:numPr>
          <w:ilvl w:val="0"/>
          <w:numId w:val="18"/>
        </w:num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乙方必须对甲方所委托养护的绿化进行精心管理，保证苗木长势良好，达到甲方所要求的养护质量，修剪前养护方需对修剪人员或相关人员进行培训及交底。修剪时要做好外围警示，绿化垃圾不得影响或降低行人或车辆通行效率，绿化垃圾堆放、装车及运输等不得产生二次污染，在2-3天内清运完成 （特殊情况除外）。严格组织安全生产教育、培训和管理，承担所有安全生产责任。遵守甲方所订规章制度，保持良好的生活环境和秩序，爱护甲方的财产，维护甲方良好的形象。对有违法乱纪或违反委托服务区域各项规定的乙方员工，乙方须予以严肃处理，并将处理结果通报甲方。合同包项目对苗木浇水可结合自身情况自行购置或租赁洒水车进行浇水。</w:t>
      </w:r>
    </w:p>
    <w:p w14:paraId="6A1C1405">
      <w:pPr>
        <w:numPr>
          <w:ilvl w:val="0"/>
          <w:numId w:val="18"/>
        </w:num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乙方负责对协议范围内绿地的主要观赏植物进行挂牌宣传，说明品种原产地，生长特性及养护方法</w:t>
      </w:r>
      <w:r>
        <w:rPr>
          <w:rFonts w:hint="eastAsia" w:ascii="宋体" w:hAnsi="宋体" w:cs="宋体"/>
          <w:b/>
          <w:bCs/>
          <w:color w:val="auto"/>
          <w:sz w:val="24"/>
          <w:highlight w:val="none"/>
        </w:rPr>
        <w:t>（挂牌费用由甲方另行申报支付）</w:t>
      </w:r>
      <w:r>
        <w:rPr>
          <w:rFonts w:hint="eastAsia" w:ascii="宋体" w:hAnsi="宋体" w:cs="宋体"/>
          <w:color w:val="auto"/>
          <w:sz w:val="24"/>
          <w:highlight w:val="none"/>
        </w:rPr>
        <w:t>。</w:t>
      </w:r>
      <w:r>
        <w:rPr>
          <w:rFonts w:hint="eastAsia" w:ascii="宋体" w:hAnsi="宋体" w:cs="宋体"/>
          <w:b/>
          <w:bCs/>
          <w:color w:val="auto"/>
          <w:sz w:val="24"/>
          <w:highlight w:val="none"/>
        </w:rPr>
        <w:t>每年3月前</w:t>
      </w:r>
      <w:r>
        <w:rPr>
          <w:rFonts w:hint="eastAsia" w:ascii="宋体" w:hAnsi="宋体" w:cs="宋体"/>
          <w:color w:val="auto"/>
          <w:sz w:val="24"/>
          <w:highlight w:val="none"/>
        </w:rPr>
        <w:t>完成做好冬季绿化强剪、开沟追施基肥，肥料可采用磨菇土或腐质土。</w:t>
      </w:r>
      <w:r>
        <w:rPr>
          <w:rFonts w:hint="eastAsia" w:ascii="宋体" w:hAnsi="宋体" w:cs="宋体"/>
          <w:b/>
          <w:bCs/>
          <w:color w:val="auto"/>
          <w:sz w:val="24"/>
          <w:highlight w:val="none"/>
        </w:rPr>
        <w:t>每年12月前</w:t>
      </w:r>
      <w:r>
        <w:rPr>
          <w:rFonts w:hint="eastAsia" w:ascii="宋体" w:hAnsi="宋体" w:cs="宋体"/>
          <w:color w:val="auto"/>
          <w:sz w:val="24"/>
          <w:highlight w:val="none"/>
        </w:rPr>
        <w:t>完成做好乔灌木冬季涂白防虫害工作。</w:t>
      </w:r>
    </w:p>
    <w:p w14:paraId="28EF92AA">
      <w:pPr>
        <w:numPr>
          <w:ilvl w:val="0"/>
          <w:numId w:val="18"/>
        </w:num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乙方按合同要求进行养护管理，在植物的正常生长情况下，保证苗木成活率100%。因管养不当等原因造成苗木死亡，设施损毁,乙方应及时无条件补植及维修，费用由乙方自行承担。乙方要加强节约绿化灌溉用水使用，如因工人违规操作产生浪费，当月费用由乙方负责。在台风多发季节乙方应对苗木采取适当修剪等保护措施，若费用不超过该项目当月养护费5%的，则由乙方负责；超过5%部分的则由甲方承担。在台风中损伤倒歪的植物，乙方应尽力扶正、抢救。</w:t>
      </w:r>
      <w:r>
        <w:rPr>
          <w:rFonts w:hint="eastAsia" w:ascii="宋体" w:hAnsi="宋体" w:cs="宋体"/>
          <w:b/>
          <w:bCs/>
          <w:color w:val="auto"/>
          <w:sz w:val="24"/>
          <w:highlight w:val="none"/>
        </w:rPr>
        <w:t>乙方有保护绿地避免遭受破坏、碾压、堆放、占用、缺损苗木及绿化设施被破坏等义务或报告，因乙方对绿地保护未尽责产生的后果由乙方承担。</w:t>
      </w:r>
    </w:p>
    <w:p w14:paraId="53E49B60">
      <w:pPr>
        <w:numPr>
          <w:ilvl w:val="0"/>
          <w:numId w:val="18"/>
        </w:num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绿地需要改造（10㎡以上）和增加种植的，乙方须书面提供具体方案，经甲方书面确认批准后方可施工。</w:t>
      </w:r>
    </w:p>
    <w:p w14:paraId="567CFA7F">
      <w:pPr>
        <w:numPr>
          <w:ilvl w:val="0"/>
          <w:numId w:val="18"/>
        </w:num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如遇甲方临时特殊环境工作需求时，如遇检查、节日或重要活动，根据服务处的要求，乙方负责组织人员配合服务处做好环境工作。甲方需提前通知，乙方必须安排人员进行配合工作；若有产生相应费用，由双方视具体情况商量确定。</w:t>
      </w:r>
    </w:p>
    <w:p w14:paraId="24CC798A">
      <w:pPr>
        <w:numPr>
          <w:ilvl w:val="0"/>
          <w:numId w:val="18"/>
        </w:num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根据政府部门发布（如：台风、暴雨、大气等）应急公告或突发事件，乙方必须在应急时无条件配合甲方。应急等级为一级或相应等级时，乙方必须在2小时内组织所有养护人员或物资到场进行应急抢救或应急处理；应急等级为二级或相应等级时，乙方必须在4小时内组织所有养护人员或物资到场进行应急抢救或应急处理；应急等级为三级及以上或相应等级时，乙方必须在6小时内组织所有养护人员或物资到场进行应急抢救或应急处理；现场情况及甲方同意或甲方要求，需乙方额外增加人员或应急物资时，其额外增加的相应费用，由双方视具体情况商量确定。</w:t>
      </w:r>
    </w:p>
    <w:p w14:paraId="674DACFA">
      <w:pPr>
        <w:numPr>
          <w:ilvl w:val="0"/>
          <w:numId w:val="18"/>
        </w:num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乙方自行负责承接业务所需之全部工具、材料及技术，按合同规定的服务范围和工作要求，高质量完成各项工作，并严守有关安全作业规定，乙方员工在履行本合同过程中的任何安全事故（包括上下班途中交通安全）均由乙方负责。</w:t>
      </w:r>
    </w:p>
    <w:p w14:paraId="7B33E4B4">
      <w:pPr>
        <w:numPr>
          <w:ilvl w:val="0"/>
          <w:numId w:val="18"/>
        </w:num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乙方公司派到甲方的所有工作人员，在工作时间内必须统一身着乙方作业工作服、佩带乙方的工号牌，着装整齐有序，严格遵守甲方之相关管理规定，在工作时间内不得随意离开其工作岗位；非工作时间不在甲方管理区域内私自逗留。</w:t>
      </w:r>
    </w:p>
    <w:p w14:paraId="15857E70">
      <w:pPr>
        <w:numPr>
          <w:ilvl w:val="0"/>
          <w:numId w:val="18"/>
        </w:num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乙方工作人员在进入放置或张贴有甲方规章制度、信息资料等文件的办公场所、会议室等房间进行室内清洁时，不得翻阅、查看上述资料，如因特殊原因获悉上述信息，应严守秘密，不得向外传述/传阅。</w:t>
      </w:r>
    </w:p>
    <w:p w14:paraId="2AB7D18B">
      <w:pPr>
        <w:numPr>
          <w:ilvl w:val="0"/>
          <w:numId w:val="18"/>
        </w:num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乙方派驻甲方的工作人员，应接受甲方主管人员的监督和指导，并接受甲方按双方确定的清洁工作检验标准对其工作进行检查和改正。</w:t>
      </w:r>
    </w:p>
    <w:p w14:paraId="3A8B3F4C">
      <w:pPr>
        <w:numPr>
          <w:ilvl w:val="0"/>
          <w:numId w:val="18"/>
        </w:num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未经甲方许可，乙方不得在上班期间有收集可售卖物品等其它未经允许的行为。保洁员下班后如有收集可售卖物品应注意场合，回避业主，严禁在垃圾桶/车内翻捡可售卖物品，发现一次按一个严重不合格项处理。</w:t>
      </w:r>
    </w:p>
    <w:p w14:paraId="78A75DE7">
      <w:pPr>
        <w:numPr>
          <w:ilvl w:val="0"/>
          <w:numId w:val="18"/>
        </w:num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乙方严禁在上下班高峰时段清理和清运垃圾，不得与客户抢道通行，发现一次按一个严重不合格项处理。</w:t>
      </w:r>
    </w:p>
    <w:p w14:paraId="60816E35">
      <w:pPr>
        <w:numPr>
          <w:ilvl w:val="0"/>
          <w:numId w:val="18"/>
        </w:num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乙方积极听取甲方对清洁工作的意见，认真配合并完成其它特殊清洁事项。如遇台风、水浸等意外情况，有义务在甲方的统一指挥下参加抢险工作。</w:t>
      </w:r>
    </w:p>
    <w:p w14:paraId="287BDE94">
      <w:pPr>
        <w:numPr>
          <w:ilvl w:val="0"/>
          <w:numId w:val="18"/>
        </w:num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乙方应按照法律法规做好清洁卫生及垃圾分类工作，如遇有关部门的工作检查，乙方必须配合做好工作并保证检查合格。</w:t>
      </w:r>
    </w:p>
    <w:p w14:paraId="423A194A">
      <w:pPr>
        <w:numPr>
          <w:ilvl w:val="0"/>
          <w:numId w:val="18"/>
        </w:num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乙方现场工作人员有责任向甲方反映公共设施、设备的完好状况，在甲方管辖范围内发现安全隐患及可疑人员时，应及时通知甲方安全员，配合甲方做好安全防范工作。乙方现场工作人员不得向项目服务对象索取小费及财物，因此造成的投诉或负面影响由乙方负责，甲方将视情节轻重做出相应的</w:t>
      </w:r>
      <w:r>
        <w:rPr>
          <w:rFonts w:hint="eastAsia" w:ascii="宋体" w:hAnsi="宋体" w:eastAsia="宋体" w:cs="宋体"/>
          <w:color w:val="auto"/>
          <w:sz w:val="24"/>
          <w:highlight w:val="none"/>
        </w:rPr>
        <w:t>处罚</w:t>
      </w:r>
      <w:r>
        <w:rPr>
          <w:rFonts w:hint="eastAsia" w:ascii="宋体" w:hAnsi="宋体" w:cs="宋体"/>
          <w:color w:val="auto"/>
          <w:sz w:val="24"/>
          <w:highlight w:val="none"/>
        </w:rPr>
        <w:t>，且有权解除本合同。</w:t>
      </w:r>
    </w:p>
    <w:p w14:paraId="0EF46372">
      <w:pPr>
        <w:numPr>
          <w:ilvl w:val="0"/>
          <w:numId w:val="18"/>
        </w:num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乙方须定期对员工进行消防知识培训，并有义务参与甲方组织的消防演习。</w:t>
      </w:r>
    </w:p>
    <w:p w14:paraId="2B7BD21D">
      <w:pPr>
        <w:numPr>
          <w:ilvl w:val="0"/>
          <w:numId w:val="18"/>
        </w:num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乙方应每周组织保洁员开展不少于二次的工作效果讲评，对保洁员每周不少于一次进行业务培训，并保存相关讲评和培训记录备查。</w:t>
      </w:r>
    </w:p>
    <w:p w14:paraId="39586D85">
      <w:pPr>
        <w:numPr>
          <w:ilvl w:val="0"/>
          <w:numId w:val="18"/>
        </w:num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为控制老鼠、苍蝇、蚊子、蟑螂的密度(简称"四害"),营造良好的工作和生活环境，乙方需指定专人负责消杀工作及所需药品的管理工作，乙方每次消杀前必须把消杀时间、范围及所用药品提供给甲方现场管理人员进行登记造册，并且在消杀区域作明显标示，以保证消杀工作的安全性、有效性。</w:t>
      </w:r>
    </w:p>
    <w:p w14:paraId="20BC9F83">
      <w:pPr>
        <w:numPr>
          <w:ilvl w:val="0"/>
          <w:numId w:val="18"/>
        </w:num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乙方每年要定期对绿化进行全面施肥及病虫害防治，乔木每年施有机肥料一次，追肥（复合肥、混尿素）一次。灌木每年施基肥一次，追肥（复合肥、混尿素）二次；草坪每年追肥（复合肥、混尿素）二次，病虫害防治应根据植物生长规律及季节性气候坚持“以防为主、综合防治”的原则，病虫害防治所使用的药品成份及配比应按国家规定的要求实施，防治前应把当次需要防治内容提前三天书面报送到服务处，以便服务处做好告知业主的通知，施肥、药前乙方需对操作人员或相关人员进行培训及交底，且需向甲方报备肥料（药剂）品种、数量、施用范围、施用时间、操作人员等数据或资料，肥料（药剂）达到现场时必须经甲方验收合格，乙方必须立即组织人员进行施肥、药。所防治的药品及药品容器应按国家规定储存和回收。若不按国家相关规定所产生一切责任由乙方自行承担。</w:t>
      </w:r>
    </w:p>
    <w:p w14:paraId="5922A14D">
      <w:pPr>
        <w:spacing w:line="520" w:lineRule="exact"/>
        <w:rPr>
          <w:rFonts w:ascii="宋体" w:hAnsi="宋体" w:cs="宋体"/>
          <w:b/>
          <w:color w:val="auto"/>
          <w:sz w:val="24"/>
          <w:highlight w:val="none"/>
        </w:rPr>
      </w:pPr>
      <w:r>
        <w:rPr>
          <w:rFonts w:hint="eastAsia" w:ascii="宋体" w:hAnsi="宋体" w:cs="宋体"/>
          <w:b/>
          <w:color w:val="auto"/>
          <w:sz w:val="24"/>
          <w:highlight w:val="none"/>
        </w:rPr>
        <w:t>六、清洁服务范围：</w:t>
      </w:r>
    </w:p>
    <w:p w14:paraId="4F322C89">
      <w:pPr>
        <w:pStyle w:val="23"/>
        <w:spacing w:line="520" w:lineRule="exact"/>
        <w:ind w:firstLine="560" w:firstLineChars="200"/>
        <w:rPr>
          <w:rFonts w:ascii="宋体" w:hAnsi="宋体" w:eastAsia="宋体" w:cs="宋体"/>
          <w:color w:val="auto"/>
          <w:highlight w:val="none"/>
        </w:rPr>
      </w:pPr>
      <w:r>
        <w:rPr>
          <w:rFonts w:hint="eastAsia" w:ascii="宋体" w:hAnsi="宋体" w:eastAsia="宋体" w:cs="宋体"/>
          <w:color w:val="auto"/>
          <w:highlight w:val="none"/>
        </w:rPr>
        <w:t>总体服务范围：甲方管理的</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红线范围内公共区域的环境服务。</w:t>
      </w:r>
    </w:p>
    <w:p w14:paraId="07373E08">
      <w:pPr>
        <w:spacing w:line="520" w:lineRule="exact"/>
        <w:rPr>
          <w:rFonts w:ascii="宋体" w:hAnsi="宋体" w:cs="宋体"/>
          <w:b/>
          <w:color w:val="auto"/>
          <w:sz w:val="24"/>
          <w:highlight w:val="none"/>
        </w:rPr>
      </w:pPr>
      <w:r>
        <w:rPr>
          <w:rFonts w:hint="eastAsia" w:ascii="宋体" w:hAnsi="宋体" w:cs="宋体"/>
          <w:b/>
          <w:color w:val="auto"/>
          <w:sz w:val="24"/>
          <w:highlight w:val="none"/>
        </w:rPr>
        <w:t>七、工作人员安排、工作要求和工作质量标准：</w:t>
      </w:r>
    </w:p>
    <w:p w14:paraId="6F573910">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（一）乙方从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起安排人员开始进驻甲方现场。其中现场负责人为1人。为有效确保环境服务质量即管理的延续性，该人选需由乙方总部派出，在协议期内需更换现场负责人时，乙方应提前七天书面告知甲方，在征得甲方项目服务处的同意后方可更换现场负责人，否则甲方有权扣除乙方当月服务费20%作为违约金。</w:t>
      </w:r>
    </w:p>
    <w:p w14:paraId="2B3D8FE5">
      <w:pPr>
        <w:spacing w:line="52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（二）乙方正常保洁服务时间为每日</w:t>
      </w:r>
      <w:r>
        <w:rPr>
          <w:rFonts w:hint="eastAsia" w:ascii="宋体" w:hAnsi="宋体" w:cs="宋体"/>
          <w:color w:val="auto"/>
          <w:sz w:val="24"/>
          <w:highlight w:val="none"/>
          <w:u w:val="single"/>
        </w:rPr>
        <w:t>8个小时</w:t>
      </w:r>
      <w:r>
        <w:rPr>
          <w:rFonts w:hint="eastAsia" w:ascii="宋体" w:hAnsi="宋体" w:cs="宋体"/>
          <w:color w:val="auto"/>
          <w:sz w:val="24"/>
          <w:highlight w:val="none"/>
        </w:rPr>
        <w:t>。如甲方根据项目需对保洁时间进行调整时，乙方应尽力配合甲方的工作共同协商解决。</w:t>
      </w:r>
    </w:p>
    <w:p w14:paraId="10A9815A">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（三）根据项目现场的实际情况，乙方应负责每天清理、收集</w:t>
      </w:r>
      <w:r>
        <w:rPr>
          <w:rFonts w:hint="eastAsia" w:ascii="宋体" w:hAnsi="宋体" w:cs="宋体"/>
          <w:color w:val="auto"/>
          <w:sz w:val="24"/>
          <w:highlight w:val="none"/>
          <w:u w:val="single"/>
        </w:rPr>
        <w:t>二</w:t>
      </w:r>
      <w:r>
        <w:rPr>
          <w:rFonts w:hint="eastAsia" w:ascii="宋体" w:hAnsi="宋体" w:cs="宋体"/>
          <w:color w:val="auto"/>
          <w:sz w:val="24"/>
          <w:highlight w:val="none"/>
        </w:rPr>
        <w:t>次垃圾，具体情况具体安排。生活垃圾清运至市政清洁楼或甲方指定地点，因特殊项目垃圾清运双方另行协商所增加相关人员及费用。同时，须根据甲方项目特点，制订环境管理相关制度和应急措施，报甲方备案。其中必须涉及内容如下：</w:t>
      </w:r>
    </w:p>
    <w:p w14:paraId="706F56BD">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禁止将垃圾存放在垃圾中转站以外，中转站内垃圾分类处理、按时清运并按相关规定存放，做到不渗漏、不挥发、不扬洒。制订严格、科学的清洗垃圾桶、清洁器具的方法，避免在此过程中对环境造成二次污染，清洁方法须经甲方书面确认；</w:t>
      </w:r>
    </w:p>
    <w:p w14:paraId="16F31FE5">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2、乙方所使用的设备及清洁中使用一些毒性和各种可燃性清洁剂，按要求存放在固定区域。做好相关标识、标签，并向甲方报告存放品种、数量，甲方有权随时检查；</w:t>
      </w:r>
    </w:p>
    <w:p w14:paraId="4B0CF954">
      <w:pPr>
        <w:spacing w:line="520" w:lineRule="exact"/>
        <w:rPr>
          <w:rFonts w:ascii="宋体" w:hAnsi="宋体" w:cs="宋体"/>
          <w:color w:val="auto"/>
          <w:sz w:val="24"/>
          <w:highlight w:val="none"/>
        </w:rPr>
      </w:pPr>
      <w:r>
        <w:rPr>
          <w:rFonts w:hint="eastAsia" w:ascii="宋体" w:hAnsi="宋体" w:cs="宋体"/>
          <w:color w:val="auto"/>
          <w:sz w:val="24"/>
          <w:highlight w:val="none"/>
        </w:rPr>
        <w:t xml:space="preserve">    3、乙方应严格遵守国家法律法规要求，不使用相关规定中禁止使用或限制使用的药品；</w:t>
      </w:r>
    </w:p>
    <w:p w14:paraId="7ADB49F8">
      <w:pPr>
        <w:numPr>
          <w:ilvl w:val="0"/>
          <w:numId w:val="20"/>
        </w:num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乙方清洁废水不可随意倾倒，只能倒入指定的管道中；</w:t>
      </w:r>
    </w:p>
    <w:p w14:paraId="02882F29">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5、垃圾统一收集到指定的垃圾桶内，由乙方每日二次（上午10点开始，下午2点30分开始）负责清运到政府的垃圾中转站。乙方负责车辆和驾驶员以及在产生过程中产生的一切人身损害和其他安全事故；</w:t>
      </w:r>
    </w:p>
    <w:p w14:paraId="3D99C22C">
      <w:pPr>
        <w:spacing w:line="520" w:lineRule="exact"/>
        <w:rPr>
          <w:rFonts w:ascii="宋体" w:hAnsi="宋体" w:cs="宋体"/>
          <w:color w:val="auto"/>
          <w:sz w:val="24"/>
          <w:highlight w:val="none"/>
        </w:rPr>
      </w:pPr>
      <w:r>
        <w:rPr>
          <w:rFonts w:hint="eastAsia" w:ascii="宋体" w:hAnsi="宋体" w:cs="宋体"/>
          <w:color w:val="auto"/>
          <w:sz w:val="24"/>
          <w:highlight w:val="none"/>
        </w:rPr>
        <w:t xml:space="preserve">    6、乙方需为地库及外围岗人员配置多功能清洁车,员工工具配置详见附件三；</w:t>
      </w:r>
    </w:p>
    <w:p w14:paraId="7AC0B8F7">
      <w:pPr>
        <w:spacing w:line="520" w:lineRule="exact"/>
        <w:rPr>
          <w:rFonts w:ascii="宋体" w:hAnsi="宋体" w:cs="宋体"/>
          <w:color w:val="auto"/>
          <w:sz w:val="24"/>
          <w:highlight w:val="none"/>
        </w:rPr>
      </w:pPr>
      <w:r>
        <w:rPr>
          <w:rFonts w:hint="eastAsia" w:ascii="宋体" w:hAnsi="宋体" w:cs="宋体"/>
          <w:color w:val="auto"/>
          <w:sz w:val="24"/>
          <w:highlight w:val="none"/>
        </w:rPr>
        <w:t xml:space="preserve">    7、要求配备专业的石材护理人员定点轮回的对大堂石材进行护理（定员定岗）。</w:t>
      </w:r>
    </w:p>
    <w:p w14:paraId="55735009">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（四）除非双方另行议定，乙方派出的环境服务人员不能向甲方以外的任何单位和个人提供环境服务。</w:t>
      </w:r>
    </w:p>
    <w:p w14:paraId="59C0B9AC">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（五）具体按环境作业标准书、环境服务质量评审细则等事项详见合同附件。</w:t>
      </w:r>
    </w:p>
    <w:p w14:paraId="2BBDB4AD">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（六）乔灌木养护内容：浇水、施肥、整穴、中耕除草、松土、修剪塑型、防治病虫害等；</w:t>
      </w:r>
    </w:p>
    <w:p w14:paraId="009BC809">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（七）草坪养护内容：施肥、修剪、除杂草、病虫害防治等；</w:t>
      </w:r>
    </w:p>
    <w:p w14:paraId="42F07B90">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（八）花坛、花境养护内容：布置、灌排水、补种、修剪塑型、施肥、病虫害防治；</w:t>
      </w:r>
    </w:p>
    <w:p w14:paraId="6B013B38">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（九）清理剪草、修枝等养护作业产生的垃圾，乙方须先放在指定地点，养护完成后应及时清运。</w:t>
      </w:r>
    </w:p>
    <w:p w14:paraId="093940B9">
      <w:pPr>
        <w:spacing w:line="520" w:lineRule="exact"/>
        <w:ind w:firstLine="472" w:firstLineChars="196"/>
        <w:rPr>
          <w:rFonts w:ascii="宋体" w:hAnsi="宋体" w:cs="宋体"/>
          <w:b/>
          <w:color w:val="auto"/>
          <w:sz w:val="24"/>
          <w:highlight w:val="none"/>
        </w:rPr>
      </w:pPr>
      <w:r>
        <w:rPr>
          <w:rFonts w:hint="eastAsia" w:ascii="宋体" w:hAnsi="宋体" w:cs="宋体"/>
          <w:b/>
          <w:color w:val="auto"/>
          <w:sz w:val="24"/>
          <w:highlight w:val="none"/>
        </w:rPr>
        <w:t>八、合同金额及发票事宜</w:t>
      </w:r>
    </w:p>
    <w:p w14:paraId="6AFDE17E">
      <w:pPr>
        <w:spacing w:line="520" w:lineRule="exact"/>
        <w:ind w:firstLine="480"/>
        <w:rPr>
          <w:rFonts w:ascii="宋体" w:hAnsi="宋体" w:cs="宋体"/>
          <w:color w:val="auto"/>
          <w:sz w:val="24"/>
          <w:highlight w:val="none"/>
          <w:u w:val="single"/>
        </w:rPr>
      </w:pPr>
      <w:r>
        <w:rPr>
          <w:rFonts w:hint="eastAsia" w:ascii="宋体" w:hAnsi="宋体" w:cs="宋体"/>
          <w:color w:val="auto"/>
          <w:sz w:val="24"/>
          <w:highlight w:val="none"/>
        </w:rPr>
        <w:t>1、环境服务费标准：</w:t>
      </w:r>
      <w:r>
        <w:rPr>
          <w:rFonts w:hint="eastAsia" w:ascii="宋体" w:hAnsi="宋体" w:cs="宋体"/>
          <w:color w:val="auto"/>
          <w:sz w:val="24"/>
          <w:highlight w:val="none"/>
          <w:u w:val="single"/>
        </w:rPr>
        <w:t>（含税）         元/年（平均人民币:        /月）；</w:t>
      </w:r>
    </w:p>
    <w:p w14:paraId="5B764790">
      <w:pPr>
        <w:spacing w:line="520" w:lineRule="exact"/>
        <w:ind w:firstLine="480"/>
        <w:rPr>
          <w:rFonts w:ascii="宋体" w:hAnsi="宋体" w:cs="宋体"/>
          <w:color w:val="auto"/>
          <w:sz w:val="24"/>
          <w:highlight w:val="none"/>
        </w:rPr>
      </w:pPr>
      <w:r>
        <w:rPr>
          <w:rFonts w:hint="eastAsia" w:ascii="宋体" w:hAnsi="宋体" w:cs="宋体"/>
          <w:color w:val="auto"/>
          <w:sz w:val="24"/>
          <w:highlight w:val="none"/>
        </w:rPr>
        <w:t>2、乙方应向甲方开具正规增值税专用发票,税率</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72FD2A04">
      <w:pPr>
        <w:spacing w:line="520" w:lineRule="exact"/>
        <w:ind w:firstLine="480"/>
        <w:rPr>
          <w:rFonts w:ascii="宋体" w:hAnsi="宋体" w:cs="宋体"/>
          <w:color w:val="auto"/>
          <w:sz w:val="24"/>
          <w:highlight w:val="none"/>
        </w:rPr>
      </w:pPr>
      <w:r>
        <w:rPr>
          <w:rFonts w:hint="eastAsia" w:ascii="宋体" w:hAnsi="宋体" w:cs="宋体"/>
          <w:color w:val="auto"/>
          <w:sz w:val="24"/>
          <w:highlight w:val="none"/>
        </w:rPr>
        <w:t>3、甲乙双方在本合同签订时均应向对方提供开票信息。</w:t>
      </w:r>
    </w:p>
    <w:p w14:paraId="4B0659D4">
      <w:pPr>
        <w:spacing w:line="520" w:lineRule="exact"/>
        <w:ind w:firstLine="472" w:firstLineChars="196"/>
        <w:rPr>
          <w:rFonts w:ascii="宋体" w:hAnsi="宋体" w:cs="宋体"/>
          <w:b/>
          <w:color w:val="auto"/>
          <w:sz w:val="24"/>
          <w:highlight w:val="none"/>
        </w:rPr>
      </w:pPr>
      <w:r>
        <w:rPr>
          <w:rFonts w:hint="eastAsia" w:ascii="宋体" w:hAnsi="宋体" w:cs="宋体"/>
          <w:b/>
          <w:color w:val="auto"/>
          <w:sz w:val="24"/>
          <w:highlight w:val="none"/>
        </w:rPr>
        <w:t>九、付款方式：</w:t>
      </w:r>
    </w:p>
    <w:p w14:paraId="44FB61A6">
      <w:pPr>
        <w:spacing w:line="520" w:lineRule="exact"/>
        <w:ind w:firstLine="420" w:firstLineChars="175"/>
        <w:rPr>
          <w:rFonts w:ascii="宋体" w:hAnsi="宋体" w:cs="宋体"/>
          <w:color w:val="auto"/>
          <w:sz w:val="24"/>
          <w:highlight w:val="none"/>
        </w:rPr>
      </w:pPr>
      <w:r>
        <w:rPr>
          <w:rFonts w:hint="eastAsia" w:ascii="宋体" w:hAnsi="宋体" w:cs="宋体"/>
          <w:color w:val="auto"/>
          <w:sz w:val="24"/>
          <w:highlight w:val="none"/>
        </w:rPr>
        <w:t>1、乙方应在合同签订前向甲方提供合同金额总额的5%的金额作为保证金，如因乙方自身原因在服务期间单方面终止合同或无法继续履行合同义务或服务标准达不到甲方要求的，甲方有权没收履约保证金；如乙方无违约行为，甲方无息无条件退还；</w:t>
      </w:r>
    </w:p>
    <w:p w14:paraId="62C94BEB">
      <w:pPr>
        <w:spacing w:line="520" w:lineRule="exact"/>
        <w:ind w:firstLine="422" w:firstLineChars="175"/>
        <w:rPr>
          <w:rFonts w:ascii="宋体" w:hAnsi="宋体" w:cs="宋体"/>
          <w:color w:val="auto"/>
          <w:sz w:val="24"/>
          <w:highlight w:val="none"/>
        </w:rPr>
      </w:pPr>
      <w:r>
        <w:rPr>
          <w:rFonts w:hint="eastAsia" w:ascii="宋体" w:hAnsi="宋体" w:cs="宋体"/>
          <w:b/>
          <w:bCs/>
          <w:color w:val="auto"/>
          <w:sz w:val="24"/>
          <w:highlight w:val="none"/>
        </w:rPr>
        <w:t>2、</w:t>
      </w:r>
      <w:r>
        <w:rPr>
          <w:rFonts w:hint="eastAsia" w:ascii="宋体" w:hAnsi="宋体" w:cs="宋体"/>
          <w:color w:val="auto"/>
          <w:sz w:val="24"/>
          <w:highlight w:val="none"/>
        </w:rPr>
        <w:t>环境服务费每期付款时间为每季度考核结束后，根据考核结果，乙方向甲方提交正式有效发票。甲方于收到发票之日起10个工作日内，将应付乙方上季度之环境服务费转划到乙方指定账户,账户若有变更乙方需提前一个月以书面形式通知甲方。（考核标准有异议，乙方有权提请重新考核）：</w:t>
      </w:r>
    </w:p>
    <w:p w14:paraId="7B3B16AD">
      <w:pPr>
        <w:spacing w:line="520" w:lineRule="exact"/>
        <w:ind w:firstLine="420" w:firstLineChars="175"/>
        <w:rPr>
          <w:rFonts w:ascii="宋体" w:hAnsi="宋体" w:cs="宋体"/>
          <w:color w:val="auto"/>
          <w:sz w:val="24"/>
          <w:highlight w:val="none"/>
        </w:rPr>
      </w:pPr>
      <w:r>
        <w:rPr>
          <w:rFonts w:hint="eastAsia" w:ascii="宋体" w:hAnsi="宋体" w:cs="宋体"/>
          <w:color w:val="auto"/>
          <w:sz w:val="24"/>
          <w:highlight w:val="none"/>
        </w:rPr>
        <w:t>（1）环境考核评分≥90分的为优秀，按合同及时付款；</w:t>
      </w:r>
    </w:p>
    <w:p w14:paraId="7263CF0E">
      <w:pPr>
        <w:spacing w:line="520" w:lineRule="exact"/>
        <w:ind w:firstLine="420" w:firstLineChars="175"/>
        <w:rPr>
          <w:rFonts w:ascii="宋体" w:hAnsi="宋体" w:cs="宋体"/>
          <w:color w:val="auto"/>
          <w:sz w:val="24"/>
          <w:highlight w:val="none"/>
        </w:rPr>
      </w:pPr>
      <w:r>
        <w:rPr>
          <w:rFonts w:hint="eastAsia" w:ascii="宋体" w:hAnsi="宋体" w:cs="宋体"/>
          <w:color w:val="auto"/>
          <w:sz w:val="24"/>
          <w:highlight w:val="none"/>
        </w:rPr>
        <w:t>（2）环境考核评分在90(不含)-70分(含)的，每减少一分，扣除□保洁、□绿化所占合同月结款一个百分点；</w:t>
      </w:r>
    </w:p>
    <w:p w14:paraId="1ED90C11">
      <w:pPr>
        <w:spacing w:line="520" w:lineRule="exact"/>
        <w:ind w:firstLine="420" w:firstLineChars="175"/>
        <w:rPr>
          <w:rFonts w:ascii="宋体" w:hAnsi="宋体" w:cs="宋体"/>
          <w:color w:val="auto"/>
          <w:sz w:val="24"/>
          <w:highlight w:val="none"/>
        </w:rPr>
      </w:pPr>
      <w:r>
        <w:rPr>
          <w:rFonts w:hint="eastAsia" w:ascii="宋体" w:hAnsi="宋体" w:cs="宋体"/>
          <w:color w:val="auto"/>
          <w:sz w:val="24"/>
          <w:highlight w:val="none"/>
        </w:rPr>
        <w:t>（3）环境考核连续二个月考核分数低于70分（不含）的视为服务质量严重不合格，甲方有权单方终止合同，不予支付任何费用；</w:t>
      </w:r>
    </w:p>
    <w:p w14:paraId="197693F9">
      <w:pPr>
        <w:spacing w:line="520" w:lineRule="exact"/>
        <w:ind w:firstLine="420" w:firstLineChars="175"/>
        <w:rPr>
          <w:rFonts w:hint="eastAsia" w:ascii="宋体" w:hAnsi="宋体" w:cs="宋体"/>
          <w:color w:val="auto"/>
          <w:sz w:val="24"/>
          <w:highlight w:val="none"/>
        </w:rPr>
      </w:pPr>
      <w:r>
        <w:rPr>
          <w:rFonts w:hint="eastAsia" w:ascii="宋体" w:hAnsi="宋体" w:cs="宋体"/>
          <w:color w:val="auto"/>
          <w:sz w:val="24"/>
          <w:highlight w:val="none"/>
        </w:rPr>
        <w:t>4.乙方应提供银行账号、开户行及正式发票，甲方以转账方式支付服务费用。</w:t>
      </w:r>
    </w:p>
    <w:p w14:paraId="6EF3A792">
      <w:pPr>
        <w:spacing w:line="520" w:lineRule="exact"/>
        <w:ind w:firstLine="420" w:firstLineChars="175"/>
        <w:rPr>
          <w:rFonts w:hint="eastAsia" w:ascii="宋体" w:hAnsi="宋体" w:cs="宋体"/>
          <w:color w:val="auto"/>
          <w:kern w:val="2"/>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kern w:val="2"/>
          <w:sz w:val="24"/>
          <w:highlight w:val="none"/>
        </w:rPr>
        <w:t>本</w:t>
      </w:r>
      <w:r>
        <w:rPr>
          <w:rFonts w:hint="eastAsia" w:ascii="宋体" w:hAnsi="宋体" w:cs="宋体"/>
          <w:color w:val="auto"/>
          <w:kern w:val="2"/>
          <w:sz w:val="24"/>
          <w:highlight w:val="none"/>
          <w:lang w:val="en-US" w:eastAsia="zh-CN"/>
        </w:rPr>
        <w:t>项目</w:t>
      </w:r>
      <w:r>
        <w:rPr>
          <w:rFonts w:hint="eastAsia" w:ascii="宋体" w:hAnsi="宋体" w:cs="宋体"/>
          <w:color w:val="auto"/>
          <w:kern w:val="2"/>
          <w:sz w:val="24"/>
          <w:highlight w:val="none"/>
        </w:rPr>
        <w:t>履约保证金为合同金额的5%</w:t>
      </w:r>
    </w:p>
    <w:p w14:paraId="30C0DB23">
      <w:pPr>
        <w:spacing w:line="520" w:lineRule="exact"/>
        <w:ind w:firstLine="420" w:firstLineChars="175"/>
        <w:rPr>
          <w:rFonts w:hint="eastAsia" w:ascii="宋体" w:hAnsi="宋体" w:cs="宋体"/>
          <w:color w:val="auto"/>
          <w:kern w:val="2"/>
          <w:sz w:val="24"/>
          <w:highlight w:val="none"/>
        </w:rPr>
      </w:pPr>
      <w:r>
        <w:rPr>
          <w:rFonts w:hint="eastAsia" w:ascii="宋体" w:hAnsi="宋体" w:cs="宋体"/>
          <w:color w:val="auto"/>
          <w:kern w:val="2"/>
          <w:sz w:val="24"/>
          <w:highlight w:val="none"/>
        </w:rPr>
        <w:t>缴纳方式：银行转账，支票/汇票/本票，保函/保险</w:t>
      </w:r>
    </w:p>
    <w:p w14:paraId="32FA8ED8">
      <w:pPr>
        <w:spacing w:line="520" w:lineRule="exact"/>
        <w:ind w:firstLine="420" w:firstLineChars="175"/>
        <w:rPr>
          <w:rFonts w:ascii="宋体" w:hAnsi="宋体" w:cs="宋体"/>
          <w:color w:val="auto"/>
          <w:sz w:val="24"/>
          <w:highlight w:val="none"/>
        </w:rPr>
      </w:pPr>
      <w:r>
        <w:rPr>
          <w:rFonts w:hint="eastAsia" w:ascii="宋体" w:hAnsi="宋体" w:cs="宋体"/>
          <w:color w:val="auto"/>
          <w:kern w:val="2"/>
          <w:sz w:val="24"/>
          <w:highlight w:val="none"/>
        </w:rPr>
        <w:t>履约保证金在合同签订后5个工作日之内，以银行保函等形式提交给采购人（缴交方式不限），服务期满无合同履约相关问题后</w:t>
      </w:r>
      <w:r>
        <w:rPr>
          <w:rFonts w:hint="eastAsia" w:ascii="宋体" w:hAnsi="宋体" w:cs="宋体"/>
          <w:color w:val="auto"/>
          <w:kern w:val="2"/>
          <w:sz w:val="24"/>
          <w:highlight w:val="none"/>
          <w:lang w:val="en-US" w:eastAsia="zh-CN"/>
        </w:rPr>
        <w:t>15</w:t>
      </w:r>
      <w:r>
        <w:rPr>
          <w:rFonts w:hint="eastAsia" w:ascii="宋体" w:hAnsi="宋体" w:cs="宋体"/>
          <w:color w:val="auto"/>
          <w:kern w:val="2"/>
          <w:sz w:val="24"/>
          <w:highlight w:val="none"/>
        </w:rPr>
        <w:t>个工作日内无息退还。</w:t>
      </w:r>
    </w:p>
    <w:p w14:paraId="6D1FFFB7">
      <w:pPr>
        <w:spacing w:line="520" w:lineRule="exact"/>
        <w:ind w:firstLine="354" w:firstLineChars="147"/>
        <w:rPr>
          <w:rFonts w:ascii="宋体" w:hAnsi="宋体" w:cs="宋体"/>
          <w:b/>
          <w:color w:val="auto"/>
          <w:sz w:val="24"/>
          <w:highlight w:val="none"/>
        </w:rPr>
      </w:pPr>
      <w:r>
        <w:rPr>
          <w:rFonts w:hint="eastAsia" w:ascii="宋体" w:hAnsi="宋体" w:cs="宋体"/>
          <w:b/>
          <w:color w:val="auto"/>
          <w:sz w:val="24"/>
          <w:highlight w:val="none"/>
        </w:rPr>
        <w:t>十、合同期限及违约责任：</w:t>
      </w:r>
    </w:p>
    <w:p w14:paraId="210BAFDE">
      <w:pPr>
        <w:spacing w:line="520" w:lineRule="exact"/>
        <w:ind w:firstLine="420" w:firstLineChars="175"/>
        <w:rPr>
          <w:rFonts w:ascii="宋体" w:hAnsi="宋体" w:cs="宋体"/>
          <w:color w:val="auto"/>
          <w:sz w:val="24"/>
          <w:highlight w:val="none"/>
        </w:rPr>
      </w:pPr>
      <w:r>
        <w:rPr>
          <w:rFonts w:hint="eastAsia" w:ascii="宋体" w:hAnsi="宋体" w:cs="宋体"/>
          <w:color w:val="auto"/>
          <w:sz w:val="24"/>
          <w:highlight w:val="none"/>
        </w:rPr>
        <w:t>（一）本合同有效期自</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日起至</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日止。</w:t>
      </w:r>
    </w:p>
    <w:p w14:paraId="226A7A05">
      <w:pPr>
        <w:spacing w:line="520" w:lineRule="exact"/>
        <w:ind w:firstLine="417" w:firstLineChars="174"/>
        <w:rPr>
          <w:rFonts w:ascii="宋体" w:hAnsi="宋体" w:cs="宋体"/>
          <w:color w:val="auto"/>
          <w:sz w:val="24"/>
          <w:highlight w:val="none"/>
        </w:rPr>
      </w:pPr>
      <w:r>
        <w:rPr>
          <w:rFonts w:hint="eastAsia" w:ascii="宋体" w:hAnsi="宋体" w:cs="宋体"/>
          <w:color w:val="auto"/>
          <w:sz w:val="24"/>
          <w:highlight w:val="none"/>
        </w:rPr>
        <w:t>（二）甲乙双方共同约定，本合同生效之日后前三个月为承接试用期，在此期间内因乙方服务质量不合格时甲方可随时解除合约，甲方不承担任何合同责任。试用期过后，任何一方一般不得无故单方面终止合同，如因甲乙任何一方因故无法履行合同时，需提前两个月以书面形式通知对方，在取得对方同意后方可终止合同，否则均需赔偿对方一个月环境服务费作为违约金。唯如下情况发生，则一方可单独解除合同。</w:t>
      </w:r>
    </w:p>
    <w:p w14:paraId="7D9AE2F2">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乙方严重违反合同所规定之乙方责任，影响或导致甲方声誉、财产等方面的严重损害，经甲方三次书面警告及罚款仍无效果，甲方有权单方终止合同，并没收合同履约保证金，给甲方造成经济损失的，乙方应予以赔偿（因人力不可抗力即自然灾害、人为恶意破坏等因素所引起的环境脏污，不在此列）。</w:t>
      </w:r>
    </w:p>
    <w:p w14:paraId="61F2B816">
      <w:pPr>
        <w:spacing w:line="520" w:lineRule="exact"/>
        <w:ind w:left="1" w:firstLine="477" w:firstLineChars="199"/>
        <w:rPr>
          <w:rFonts w:ascii="宋体" w:hAnsi="宋体" w:cs="宋体"/>
          <w:color w:val="auto"/>
          <w:sz w:val="24"/>
          <w:highlight w:val="none"/>
        </w:rPr>
      </w:pPr>
      <w:r>
        <w:rPr>
          <w:rFonts w:hint="eastAsia" w:ascii="宋体" w:hAnsi="宋体" w:cs="宋体"/>
          <w:color w:val="auto"/>
          <w:sz w:val="24"/>
          <w:highlight w:val="none"/>
        </w:rPr>
        <w:t>2、甲方连续两个月及以上无故未能支付乙方清洁服务费用。</w:t>
      </w:r>
    </w:p>
    <w:p w14:paraId="6766ACD3">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3、若乙方保洁服务、垃圾分类工作在国家、省、市、区卫生检查中不达标，或因保洁、垃圾分类问题影响甲方其它各项达标，甲方有权解除本合同，并没收合同履约保证金。</w:t>
      </w:r>
    </w:p>
    <w:p w14:paraId="49530AA9">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4、乙方将业务转包给第三方的，甲方有权解除本合同，并没收合同履约保证金。</w:t>
      </w:r>
    </w:p>
    <w:p w14:paraId="17BFE919">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5、若甲方按时付费后，乙方未按规定给人员发放工资超过2个月，并影响到环境工作质量的，甲方有权解除本合同，并没收合同履约保证金。</w:t>
      </w:r>
    </w:p>
    <w:p w14:paraId="7E947AA3">
      <w:pPr>
        <w:spacing w:line="52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（三）因甲方未如期付款，导致乙方受资金不足影响无法采购常用清洁用品，进而难以开展定期作业的，甲方在未付款期间不得对乙方进行任何罚款。</w:t>
      </w:r>
    </w:p>
    <w:p w14:paraId="3D8DD1EE">
      <w:pPr>
        <w:spacing w:line="52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四）如乙方向甲方开具的增值税专用发票是无效虚假发票、或者无故延迟开具增值税专用发票的情况，乙方应负责赔偿因开具虚假发票和延迟开具发票造成甲方的一切损失或损害，包括但不限于税金、附加费、罚金、滞纳金和法律费用。</w:t>
      </w:r>
    </w:p>
    <w:p w14:paraId="39761748">
      <w:pPr>
        <w:spacing w:line="520" w:lineRule="exact"/>
        <w:rPr>
          <w:rFonts w:ascii="宋体" w:hAnsi="宋体" w:cs="宋体"/>
          <w:b/>
          <w:color w:val="auto"/>
          <w:sz w:val="24"/>
          <w:highlight w:val="none"/>
        </w:rPr>
      </w:pPr>
      <w:r>
        <w:rPr>
          <w:rFonts w:hint="eastAsia" w:ascii="宋体" w:hAnsi="宋体" w:cs="宋体"/>
          <w:b/>
          <w:color w:val="auto"/>
          <w:sz w:val="24"/>
          <w:highlight w:val="none"/>
        </w:rPr>
        <w:t>十一、保密条款</w:t>
      </w:r>
    </w:p>
    <w:p w14:paraId="4A491048">
      <w:pPr>
        <w:spacing w:line="520" w:lineRule="exact"/>
        <w:ind w:firstLine="480" w:firstLineChars="200"/>
        <w:rPr>
          <w:rFonts w:ascii="宋体" w:hAnsi="宋体" w:eastAsia="宋体" w:cs="宋体"/>
          <w:b w:val="0"/>
          <w:bCs/>
          <w:color w:val="auto"/>
          <w:sz w:val="24"/>
          <w:highlight w:val="none"/>
        </w:rPr>
      </w:pPr>
      <w:r>
        <w:rPr>
          <w:rFonts w:hint="eastAsia" w:ascii="宋体" w:hAnsi="宋体" w:eastAsia="宋体" w:cs="宋体"/>
          <w:b w:val="0"/>
          <w:bCs/>
          <w:color w:val="auto"/>
          <w:sz w:val="24"/>
          <w:highlight w:val="none"/>
        </w:rPr>
        <w:t>乙方应对在合同履行过程中知悉的甲方的商业秘密、技术信息、项目信息及本合同内容等承担保密义务。未经甲方书面同意，乙方不得向任何第三方泄露，且该保密义务在本合同终止后持续有效。若乙方违反本保密义务，应赔偿甲方因此遭受的全部损失，包括但不限于直接损失、间接损失及为追索损失而支出的合理费用（如律师费、诉讼费</w:t>
      </w:r>
      <w:r>
        <w:rPr>
          <w:rFonts w:hint="eastAsia" w:ascii="宋体" w:hAnsi="宋体" w:cs="宋体"/>
          <w:bCs/>
          <w:color w:val="auto"/>
          <w:sz w:val="24"/>
          <w:highlight w:val="none"/>
        </w:rPr>
        <w:t>、保全费、保全保险费、差旅费</w:t>
      </w:r>
      <w:r>
        <w:rPr>
          <w:rFonts w:hint="eastAsia" w:ascii="宋体" w:hAnsi="宋体" w:eastAsia="宋体" w:cs="宋体"/>
          <w:b w:val="0"/>
          <w:bCs/>
          <w:color w:val="auto"/>
          <w:sz w:val="24"/>
          <w:highlight w:val="none"/>
        </w:rPr>
        <w:t>等）。</w:t>
      </w:r>
    </w:p>
    <w:p w14:paraId="2AE737CF">
      <w:pPr>
        <w:spacing w:line="520" w:lineRule="exact"/>
        <w:rPr>
          <w:rFonts w:ascii="宋体" w:hAnsi="宋体" w:cs="宋体"/>
          <w:b/>
          <w:color w:val="auto"/>
          <w:sz w:val="24"/>
          <w:highlight w:val="none"/>
        </w:rPr>
      </w:pPr>
      <w:r>
        <w:rPr>
          <w:rFonts w:hint="eastAsia" w:ascii="宋体" w:hAnsi="宋体" w:cs="宋体"/>
          <w:b/>
          <w:color w:val="auto"/>
          <w:sz w:val="24"/>
          <w:highlight w:val="none"/>
        </w:rPr>
        <w:t>十二、不可抗力</w:t>
      </w:r>
    </w:p>
    <w:p w14:paraId="40311CF8">
      <w:pPr>
        <w:spacing w:line="520" w:lineRule="exact"/>
        <w:ind w:firstLine="480" w:firstLineChars="200"/>
        <w:rPr>
          <w:rFonts w:ascii="宋体" w:hAnsi="宋体" w:eastAsia="宋体" w:cs="宋体"/>
          <w:b w:val="0"/>
          <w:bCs/>
          <w:color w:val="auto"/>
          <w:sz w:val="24"/>
          <w:highlight w:val="none"/>
        </w:rPr>
      </w:pPr>
      <w:r>
        <w:rPr>
          <w:rFonts w:hint="eastAsia" w:ascii="宋体" w:hAnsi="宋体" w:eastAsia="宋体" w:cs="宋体"/>
          <w:b w:val="0"/>
          <w:bCs/>
          <w:color w:val="auto"/>
          <w:sz w:val="24"/>
          <w:highlight w:val="none"/>
        </w:rPr>
        <w:t>任何一方由于不可抗力原因不能履行合同时，应在不可抗力事件发生后</w:t>
      </w:r>
      <w:r>
        <w:rPr>
          <w:rFonts w:ascii="宋体" w:hAnsi="宋体" w:eastAsia="宋体" w:cs="宋体"/>
          <w:b w:val="0"/>
          <w:bCs/>
          <w:color w:val="auto"/>
          <w:sz w:val="24"/>
          <w:highlight w:val="none"/>
        </w:rPr>
        <w:t>15</w:t>
      </w:r>
      <w:r>
        <w:rPr>
          <w:rFonts w:hint="eastAsia" w:ascii="宋体" w:hAnsi="宋体" w:eastAsia="宋体" w:cs="宋体"/>
          <w:b w:val="0"/>
          <w:bCs/>
          <w:color w:val="auto"/>
          <w:sz w:val="24"/>
          <w:highlight w:val="none"/>
        </w:rPr>
        <w:t>日内向对方通报，以减轻可能给对方造成的损失，在取得有关机构的不可抗力证明后，允许延期履行、部分履行或者不履行合同，并根据情况可部分或全部免予承担违约责任。</w:t>
      </w:r>
    </w:p>
    <w:p w14:paraId="315FA53F">
      <w:pPr>
        <w:numPr>
          <w:ilvl w:val="0"/>
          <w:numId w:val="21"/>
        </w:numPr>
        <w:spacing w:line="520" w:lineRule="exact"/>
        <w:rPr>
          <w:rFonts w:ascii="宋体" w:hAnsi="宋体" w:cs="宋体"/>
          <w:b/>
          <w:color w:val="auto"/>
          <w:sz w:val="24"/>
          <w:highlight w:val="none"/>
        </w:rPr>
      </w:pPr>
      <w:r>
        <w:rPr>
          <w:rFonts w:hint="eastAsia" w:ascii="宋体" w:hAnsi="宋体" w:cs="宋体"/>
          <w:b/>
          <w:color w:val="auto"/>
          <w:sz w:val="24"/>
          <w:highlight w:val="none"/>
        </w:rPr>
        <w:t>送达条款</w:t>
      </w:r>
    </w:p>
    <w:p w14:paraId="578BD12C">
      <w:pPr>
        <w:numPr>
          <w:ilvl w:val="255"/>
          <w:numId w:val="0"/>
        </w:numPr>
        <w:spacing w:line="520" w:lineRule="exact"/>
        <w:ind w:firstLine="480" w:firstLineChars="200"/>
        <w:rPr>
          <w:rFonts w:ascii="宋体" w:hAnsi="宋体" w:eastAsia="宋体" w:cs="宋体"/>
          <w:b w:val="0"/>
          <w:bCs/>
          <w:color w:val="auto"/>
          <w:sz w:val="24"/>
          <w:highlight w:val="none"/>
        </w:rPr>
      </w:pPr>
      <w:r>
        <w:rPr>
          <w:rFonts w:hint="eastAsia" w:ascii="宋体" w:hAnsi="宋体" w:eastAsia="宋体" w:cs="宋体"/>
          <w:b w:val="0"/>
          <w:bCs/>
          <w:color w:val="auto"/>
          <w:sz w:val="24"/>
          <w:highlight w:val="none"/>
        </w:rPr>
        <w:t>任何一方或法院按对方本合同中载明的地址发出通知或文件的，在发出起</w:t>
      </w:r>
      <w:r>
        <w:rPr>
          <w:rFonts w:ascii="宋体" w:hAnsi="宋体" w:eastAsia="宋体" w:cs="宋体"/>
          <w:b w:val="0"/>
          <w:bCs/>
          <w:color w:val="auto"/>
          <w:sz w:val="24"/>
          <w:highlight w:val="none"/>
        </w:rPr>
        <w:t>24</w:t>
      </w:r>
      <w:r>
        <w:rPr>
          <w:rFonts w:hint="eastAsia" w:ascii="宋体" w:hAnsi="宋体" w:eastAsia="宋体" w:cs="宋体"/>
          <w:b w:val="0"/>
          <w:bCs/>
          <w:color w:val="auto"/>
          <w:sz w:val="24"/>
          <w:highlight w:val="none"/>
        </w:rPr>
        <w:t>小时视为已经送达；任何一方地址或电话有变更的，变更方应在变更前</w:t>
      </w:r>
      <w:r>
        <w:rPr>
          <w:rFonts w:ascii="宋体" w:hAnsi="宋体" w:eastAsia="宋体" w:cs="宋体"/>
          <w:b w:val="0"/>
          <w:bCs/>
          <w:color w:val="auto"/>
          <w:sz w:val="24"/>
          <w:highlight w:val="none"/>
        </w:rPr>
        <w:t>3</w:t>
      </w:r>
      <w:r>
        <w:rPr>
          <w:rFonts w:hint="eastAsia" w:ascii="宋体" w:hAnsi="宋体" w:eastAsia="宋体" w:cs="宋体"/>
          <w:b w:val="0"/>
          <w:bCs/>
          <w:color w:val="auto"/>
          <w:sz w:val="24"/>
          <w:highlight w:val="none"/>
        </w:rPr>
        <w:t>日内以书面通知对方（仅限书面方式通知），否则自行承担所有不利后果。</w:t>
      </w:r>
    </w:p>
    <w:p w14:paraId="30336E2F">
      <w:pPr>
        <w:spacing w:line="520" w:lineRule="exact"/>
        <w:rPr>
          <w:rFonts w:ascii="宋体" w:hAnsi="宋体" w:cs="宋体"/>
          <w:b/>
          <w:color w:val="auto"/>
          <w:sz w:val="24"/>
          <w:highlight w:val="none"/>
        </w:rPr>
      </w:pPr>
      <w:r>
        <w:rPr>
          <w:rFonts w:hint="eastAsia" w:ascii="宋体" w:hAnsi="宋体" w:cs="宋体"/>
          <w:b/>
          <w:color w:val="auto"/>
          <w:sz w:val="24"/>
          <w:highlight w:val="none"/>
        </w:rPr>
        <w:t>十四、其它事项：</w:t>
      </w:r>
    </w:p>
    <w:p w14:paraId="4AF54EF0">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（一）双方本着友好合作原则商定，乙方进驻甲方现场后，若因服务范围扩大/减少或工作增加/减少，需增加/减少费用时，由双方协商议定。</w:t>
      </w:r>
    </w:p>
    <w:p w14:paraId="31550FC5">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二）其它未尽事宜，由双方协商解决，并可另行签订补充协议。若协商不成，任何一方可向甲方所在地有管辖权的人民法院提起诉讼。守约方为维护权利而支出的合理费用，包括但不限于案件受理费、保全费、保全保险费、公告费、评估费、拍卖费、律师费、差旅费等，均由违约方承担。</w:t>
      </w:r>
    </w:p>
    <w:p w14:paraId="177F420E">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（三）本合同一式</w:t>
      </w:r>
      <w:r>
        <w:rPr>
          <w:rFonts w:hint="eastAsia" w:ascii="宋体" w:hAnsi="宋体" w:cs="宋体"/>
          <w:color w:val="auto"/>
          <w:sz w:val="24"/>
          <w:highlight w:val="none"/>
          <w:lang w:val="en-US" w:eastAsia="zh-CN"/>
        </w:rPr>
        <w:t>伍</w:t>
      </w:r>
      <w:r>
        <w:rPr>
          <w:rFonts w:hint="eastAsia" w:ascii="宋体" w:hAnsi="宋体" w:cs="宋体"/>
          <w:color w:val="auto"/>
          <w:sz w:val="24"/>
          <w:highlight w:val="none"/>
        </w:rPr>
        <w:t>份，具同等法律效力，本合同自双方签字盖章之日起生效。</w:t>
      </w:r>
    </w:p>
    <w:p w14:paraId="000A6262">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（四）本合同附件与合同正文同为合同之组成部分，具有同等法律效力，并自合同签订之日起一并生效。</w:t>
      </w:r>
    </w:p>
    <w:p w14:paraId="7E7C4E19">
      <w:pPr>
        <w:spacing w:line="520" w:lineRule="exact"/>
        <w:rPr>
          <w:rFonts w:ascii="宋体" w:hAnsi="宋体" w:cs="宋体"/>
          <w:color w:val="auto"/>
          <w:sz w:val="24"/>
          <w:highlight w:val="none"/>
        </w:rPr>
      </w:pPr>
      <w:r>
        <w:rPr>
          <w:rFonts w:hint="eastAsia" w:ascii="宋体" w:hAnsi="宋体" w:cs="宋体"/>
          <w:color w:val="auto"/>
          <w:sz w:val="24"/>
          <w:highlight w:val="none"/>
        </w:rPr>
        <w:t>附件：1.《保洁工作内容及标准》</w:t>
      </w:r>
    </w:p>
    <w:p w14:paraId="702FDB74">
      <w:pPr>
        <w:spacing w:line="520" w:lineRule="exact"/>
        <w:ind w:firstLine="720" w:firstLineChars="300"/>
        <w:rPr>
          <w:rFonts w:ascii="宋体" w:hAnsi="宋体" w:cs="宋体"/>
          <w:color w:val="auto"/>
          <w:sz w:val="24"/>
          <w:highlight w:val="none"/>
        </w:rPr>
      </w:pPr>
      <w:r>
        <w:rPr>
          <w:rFonts w:hint="eastAsia" w:ascii="宋体" w:hAnsi="宋体" w:cs="宋体"/>
          <w:color w:val="auto"/>
          <w:sz w:val="24"/>
          <w:highlight w:val="none"/>
        </w:rPr>
        <w:t>2.《环境考核量化表》</w:t>
      </w:r>
    </w:p>
    <w:p w14:paraId="3ECFE14A">
      <w:pPr>
        <w:spacing w:line="520" w:lineRule="exact"/>
        <w:ind w:firstLine="720" w:firstLineChars="300"/>
        <w:rPr>
          <w:rFonts w:ascii="宋体" w:hAnsi="宋体" w:cs="宋体"/>
          <w:color w:val="auto"/>
          <w:sz w:val="24"/>
          <w:highlight w:val="none"/>
        </w:rPr>
      </w:pPr>
      <w:r>
        <w:rPr>
          <w:rFonts w:hint="eastAsia" w:ascii="宋体" w:hAnsi="宋体" w:cs="宋体"/>
          <w:color w:val="auto"/>
          <w:sz w:val="24"/>
          <w:highlight w:val="none"/>
        </w:rPr>
        <w:t>3.《员工岗位物料配备表》</w:t>
      </w:r>
    </w:p>
    <w:p w14:paraId="28EAF9F9">
      <w:pPr>
        <w:spacing w:line="520" w:lineRule="exact"/>
        <w:ind w:left="7440" w:hanging="7440" w:hangingChars="3100"/>
        <w:rPr>
          <w:rFonts w:ascii="宋体" w:hAnsi="宋体" w:cs="宋体"/>
          <w:color w:val="auto"/>
          <w:sz w:val="24"/>
          <w:highlight w:val="none"/>
        </w:rPr>
      </w:pPr>
    </w:p>
    <w:p w14:paraId="7717177F">
      <w:pPr>
        <w:spacing w:line="520" w:lineRule="exact"/>
        <w:rPr>
          <w:rFonts w:ascii="宋体" w:hAnsi="宋体" w:cs="宋体"/>
          <w:color w:val="auto"/>
          <w:sz w:val="24"/>
          <w:highlight w:val="none"/>
        </w:rPr>
      </w:pPr>
    </w:p>
    <w:p w14:paraId="5C9870E8">
      <w:pPr>
        <w:spacing w:line="520" w:lineRule="exact"/>
        <w:ind w:left="6200" w:hanging="6200" w:hangingChars="3100"/>
        <w:rPr>
          <w:rFonts w:ascii="宋体" w:hAnsi="宋体" w:cs="宋体"/>
          <w:color w:val="auto"/>
          <w:sz w:val="24"/>
          <w:highlight w:val="none"/>
          <w:u w:val="single"/>
        </w:rPr>
      </w:pPr>
      <w:r>
        <w:rPr>
          <w:rFonts w:hint="eastAsia" w:ascii="宋体" w:hAnsi="宋体" w:cs="宋体"/>
          <w:color w:val="auto"/>
          <w:spacing w:val="-20"/>
          <w:sz w:val="24"/>
          <w:highlight w:val="none"/>
        </w:rPr>
        <w:t>甲方（盖章）：</w:t>
      </w:r>
      <w:r>
        <w:rPr>
          <w:rFonts w:hint="eastAsia" w:ascii="宋体" w:hAnsi="宋体" w:cs="宋体"/>
          <w:color w:val="auto"/>
          <w:spacing w:val="-20"/>
          <w:sz w:val="24"/>
          <w:highlight w:val="none"/>
          <w:u w:val="single"/>
          <w:lang w:val="en-US" w:eastAsia="zh-CN"/>
        </w:rPr>
        <w:t xml:space="preserve">                             </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 xml:space="preserve">         乙方（盖章）：</w:t>
      </w:r>
    </w:p>
    <w:p w14:paraId="536F7F65">
      <w:pPr>
        <w:spacing w:line="520" w:lineRule="exact"/>
        <w:ind w:firstLine="1400" w:firstLineChars="700"/>
        <w:rPr>
          <w:rFonts w:ascii="宋体" w:hAnsi="宋体" w:cs="宋体"/>
          <w:color w:val="auto"/>
          <w:spacing w:val="-20"/>
          <w:sz w:val="24"/>
          <w:highlight w:val="none"/>
          <w:u w:val="single"/>
        </w:rPr>
      </w:pPr>
    </w:p>
    <w:p w14:paraId="7E7A5D48">
      <w:pPr>
        <w:spacing w:line="520" w:lineRule="exact"/>
        <w:ind w:firstLine="1400" w:firstLineChars="700"/>
        <w:rPr>
          <w:rFonts w:ascii="宋体" w:hAnsi="宋体" w:cs="宋体"/>
          <w:color w:val="auto"/>
          <w:spacing w:val="-20"/>
          <w:sz w:val="24"/>
          <w:highlight w:val="none"/>
          <w:u w:val="single"/>
        </w:rPr>
      </w:pPr>
    </w:p>
    <w:p w14:paraId="3AE0190A">
      <w:pPr>
        <w:spacing w:line="520" w:lineRule="exact"/>
        <w:rPr>
          <w:rFonts w:ascii="宋体" w:hAnsi="宋体" w:cs="宋体"/>
          <w:color w:val="auto"/>
          <w:sz w:val="24"/>
          <w:highlight w:val="none"/>
        </w:rPr>
      </w:pPr>
      <w:r>
        <w:rPr>
          <w:rFonts w:hint="eastAsia" w:ascii="宋体" w:hAnsi="宋体" w:cs="宋体"/>
          <w:color w:val="auto"/>
          <w:sz w:val="24"/>
          <w:highlight w:val="none"/>
        </w:rPr>
        <w:t>代表（签名）：                            代表（签名）：</w:t>
      </w:r>
      <w:r>
        <w:rPr>
          <w:rFonts w:hint="eastAsia" w:ascii="宋体" w:hAnsi="宋体" w:cs="宋体"/>
          <w:color w:val="auto"/>
          <w:sz w:val="24"/>
          <w:highlight w:val="none"/>
        </w:rPr>
        <w:tab/>
      </w:r>
      <w:r>
        <w:rPr>
          <w:rFonts w:hint="eastAsia" w:ascii="宋体" w:hAnsi="宋体" w:cs="宋体"/>
          <w:color w:val="auto"/>
          <w:sz w:val="24"/>
          <w:highlight w:val="none"/>
        </w:rPr>
        <w:tab/>
      </w:r>
    </w:p>
    <w:p w14:paraId="28B97FF3">
      <w:pPr>
        <w:spacing w:line="520" w:lineRule="exact"/>
        <w:rPr>
          <w:rFonts w:ascii="宋体" w:hAnsi="宋体" w:cs="宋体"/>
          <w:b/>
          <w:color w:val="auto"/>
          <w:sz w:val="24"/>
          <w:highlight w:val="none"/>
        </w:rPr>
        <w:sectPr>
          <w:headerReference r:id="rId7" w:type="default"/>
          <w:footerReference r:id="rId8" w:type="default"/>
          <w:footerReference r:id="rId9" w:type="even"/>
          <w:pgSz w:w="11906" w:h="16838"/>
          <w:pgMar w:top="851" w:right="1134" w:bottom="1134" w:left="1134" w:header="851" w:footer="992" w:gutter="0"/>
          <w:cols w:space="720" w:num="1"/>
          <w:docGrid w:linePitch="312" w:charSpace="855"/>
        </w:sectPr>
      </w:pPr>
      <w:r>
        <w:rPr>
          <w:rFonts w:hint="eastAsia" w:ascii="宋体" w:hAnsi="宋体" w:cs="宋体"/>
          <w:color w:val="auto"/>
          <w:sz w:val="24"/>
          <w:highlight w:val="none"/>
        </w:rPr>
        <w:t>签订日期：            年   月   日</w:t>
      </w:r>
      <w:r>
        <w:rPr>
          <w:rFonts w:hint="eastAsia" w:ascii="宋体" w:hAnsi="宋体" w:cs="宋体"/>
          <w:color w:val="auto"/>
          <w:sz w:val="24"/>
          <w:highlight w:val="none"/>
        </w:rPr>
        <w:tab/>
      </w:r>
      <w:r>
        <w:rPr>
          <w:rFonts w:hint="eastAsia" w:ascii="宋体" w:hAnsi="宋体" w:cs="宋体"/>
          <w:color w:val="auto"/>
          <w:sz w:val="24"/>
          <w:highlight w:val="none"/>
        </w:rPr>
        <w:tab/>
      </w:r>
      <w:r>
        <w:rPr>
          <w:rFonts w:hint="eastAsia" w:ascii="宋体" w:hAnsi="宋体" w:cs="宋体"/>
          <w:color w:val="auto"/>
          <w:sz w:val="24"/>
          <w:highlight w:val="none"/>
        </w:rPr>
        <w:t xml:space="preserve">  签订日期：                  年   月   日</w:t>
      </w:r>
    </w:p>
    <w:p w14:paraId="6E9C9E03">
      <w:pPr>
        <w:pStyle w:val="2"/>
        <w:spacing w:after="0" w:line="240" w:lineRule="auto"/>
        <w:rPr>
          <w:rFonts w:ascii="楷体" w:hAnsi="楷体" w:eastAsia="楷体" w:cs="楷体"/>
          <w:b w:val="0"/>
          <w:color w:val="auto"/>
          <w:sz w:val="32"/>
          <w:szCs w:val="32"/>
          <w:highlight w:val="none"/>
        </w:rPr>
      </w:pPr>
      <w:r>
        <w:rPr>
          <w:rFonts w:hint="eastAsia" w:ascii="楷体" w:hAnsi="楷体" w:eastAsia="楷体" w:cs="楷体"/>
          <w:b w:val="0"/>
          <w:color w:val="auto"/>
          <w:sz w:val="32"/>
          <w:szCs w:val="32"/>
          <w:highlight w:val="none"/>
        </w:rPr>
        <w:t>保洁工作内容及标准</w:t>
      </w:r>
    </w:p>
    <w:tbl>
      <w:tblPr>
        <w:tblStyle w:val="4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897"/>
        <w:gridCol w:w="2627"/>
        <w:gridCol w:w="4704"/>
      </w:tblGrid>
      <w:tr w14:paraId="69A5D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457" w:type="pct"/>
            <w:vAlign w:val="center"/>
          </w:tcPr>
          <w:p w14:paraId="556AEE93">
            <w:pPr>
              <w:jc w:val="center"/>
              <w:rPr>
                <w:rFonts w:ascii="楷体_GB2312" w:eastAsia="楷体_GB2312"/>
                <w:color w:val="auto"/>
                <w:sz w:val="24"/>
                <w:highlight w:val="none"/>
              </w:rPr>
            </w:pPr>
            <w:r>
              <w:rPr>
                <w:rFonts w:hint="eastAsia" w:ascii="楷体_GB2312" w:eastAsia="楷体_GB2312"/>
                <w:color w:val="auto"/>
                <w:sz w:val="24"/>
                <w:highlight w:val="none"/>
              </w:rPr>
              <w:t>项目</w:t>
            </w:r>
          </w:p>
        </w:tc>
        <w:tc>
          <w:tcPr>
            <w:tcW w:w="495" w:type="pct"/>
            <w:vAlign w:val="center"/>
          </w:tcPr>
          <w:p w14:paraId="66A72401">
            <w:pPr>
              <w:jc w:val="center"/>
              <w:rPr>
                <w:rFonts w:ascii="楷体_GB2312" w:eastAsia="楷体_GB2312"/>
                <w:color w:val="auto"/>
                <w:sz w:val="24"/>
                <w:highlight w:val="none"/>
              </w:rPr>
            </w:pPr>
            <w:r>
              <w:rPr>
                <w:rFonts w:hint="eastAsia" w:ascii="楷体_GB2312" w:eastAsia="楷体_GB2312"/>
                <w:color w:val="auto"/>
                <w:sz w:val="24"/>
                <w:highlight w:val="none"/>
              </w:rPr>
              <w:t>序号</w:t>
            </w:r>
          </w:p>
        </w:tc>
        <w:tc>
          <w:tcPr>
            <w:tcW w:w="1450" w:type="pct"/>
            <w:vAlign w:val="center"/>
          </w:tcPr>
          <w:p w14:paraId="1CACCB51">
            <w:pPr>
              <w:rPr>
                <w:rFonts w:ascii="楷体_GB2312" w:eastAsia="楷体_GB2312"/>
                <w:color w:val="auto"/>
                <w:sz w:val="24"/>
                <w:highlight w:val="none"/>
              </w:rPr>
            </w:pPr>
            <w:r>
              <w:rPr>
                <w:rFonts w:hint="eastAsia" w:ascii="楷体_GB2312" w:eastAsia="楷体_GB2312"/>
                <w:color w:val="auto"/>
                <w:sz w:val="24"/>
                <w:highlight w:val="none"/>
              </w:rPr>
              <w:t>保洁内容</w:t>
            </w:r>
          </w:p>
        </w:tc>
        <w:tc>
          <w:tcPr>
            <w:tcW w:w="2596" w:type="pct"/>
            <w:vAlign w:val="center"/>
          </w:tcPr>
          <w:p w14:paraId="5D494E97">
            <w:pPr>
              <w:rPr>
                <w:rFonts w:ascii="楷体_GB2312" w:eastAsia="楷体_GB2312"/>
                <w:color w:val="auto"/>
                <w:sz w:val="24"/>
                <w:highlight w:val="none"/>
              </w:rPr>
            </w:pPr>
            <w:r>
              <w:rPr>
                <w:rFonts w:hint="eastAsia" w:ascii="楷体_GB2312" w:eastAsia="楷体_GB2312"/>
                <w:color w:val="auto"/>
                <w:sz w:val="24"/>
                <w:highlight w:val="none"/>
              </w:rPr>
              <w:t>标准</w:t>
            </w:r>
          </w:p>
        </w:tc>
      </w:tr>
      <w:tr w14:paraId="552F4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457" w:type="pct"/>
            <w:vMerge w:val="restart"/>
            <w:vAlign w:val="center"/>
          </w:tcPr>
          <w:p w14:paraId="340BDA3C">
            <w:pPr>
              <w:jc w:val="center"/>
              <w:rPr>
                <w:rFonts w:ascii="楷体_GB2312" w:eastAsia="楷体_GB2312"/>
                <w:color w:val="auto"/>
                <w:sz w:val="24"/>
                <w:highlight w:val="none"/>
              </w:rPr>
            </w:pPr>
            <w:r>
              <w:rPr>
                <w:rFonts w:hint="eastAsia" w:ascii="楷体_GB2312" w:eastAsia="楷体_GB2312"/>
                <w:color w:val="auto"/>
                <w:sz w:val="24"/>
                <w:highlight w:val="none"/>
              </w:rPr>
              <w:t>生活</w:t>
            </w:r>
          </w:p>
          <w:p w14:paraId="240A60EB">
            <w:pPr>
              <w:jc w:val="center"/>
              <w:rPr>
                <w:rFonts w:ascii="楷体_GB2312" w:eastAsia="楷体_GB2312"/>
                <w:color w:val="auto"/>
                <w:sz w:val="24"/>
                <w:highlight w:val="none"/>
              </w:rPr>
            </w:pPr>
            <w:r>
              <w:rPr>
                <w:rFonts w:hint="eastAsia" w:ascii="楷体_GB2312" w:eastAsia="楷体_GB2312"/>
                <w:color w:val="auto"/>
                <w:sz w:val="24"/>
                <w:highlight w:val="none"/>
              </w:rPr>
              <w:t>垃圾</w:t>
            </w:r>
          </w:p>
          <w:p w14:paraId="04260AB0">
            <w:pPr>
              <w:jc w:val="center"/>
              <w:rPr>
                <w:rFonts w:ascii="楷体_GB2312" w:eastAsia="楷体_GB2312"/>
                <w:color w:val="auto"/>
                <w:sz w:val="24"/>
                <w:highlight w:val="none"/>
              </w:rPr>
            </w:pPr>
            <w:r>
              <w:rPr>
                <w:rFonts w:hint="eastAsia" w:ascii="楷体_GB2312" w:eastAsia="楷体_GB2312"/>
                <w:color w:val="auto"/>
                <w:sz w:val="24"/>
                <w:highlight w:val="none"/>
              </w:rPr>
              <w:t>收集</w:t>
            </w:r>
          </w:p>
        </w:tc>
        <w:tc>
          <w:tcPr>
            <w:tcW w:w="495" w:type="pct"/>
            <w:vAlign w:val="center"/>
          </w:tcPr>
          <w:p w14:paraId="723C52A9">
            <w:pPr>
              <w:jc w:val="center"/>
              <w:rPr>
                <w:rFonts w:ascii="楷体_GB2312" w:eastAsia="楷体_GB2312"/>
                <w:color w:val="auto"/>
                <w:sz w:val="24"/>
                <w:highlight w:val="none"/>
              </w:rPr>
            </w:pPr>
            <w:r>
              <w:rPr>
                <w:rFonts w:hint="eastAsia" w:ascii="楷体_GB2312" w:eastAsia="楷体_GB2312"/>
                <w:color w:val="auto"/>
                <w:sz w:val="24"/>
                <w:highlight w:val="none"/>
              </w:rPr>
              <w:t>1</w:t>
            </w:r>
          </w:p>
        </w:tc>
        <w:tc>
          <w:tcPr>
            <w:tcW w:w="1450" w:type="pct"/>
            <w:vAlign w:val="center"/>
          </w:tcPr>
          <w:p w14:paraId="789CC09A">
            <w:pPr>
              <w:rPr>
                <w:rFonts w:ascii="楷体_GB2312" w:eastAsia="楷体_GB2312"/>
                <w:color w:val="auto"/>
                <w:sz w:val="24"/>
                <w:highlight w:val="none"/>
              </w:rPr>
            </w:pPr>
            <w:r>
              <w:rPr>
                <w:rFonts w:hint="eastAsia" w:ascii="楷体_GB2312" w:eastAsia="楷体_GB2312"/>
                <w:color w:val="auto"/>
                <w:sz w:val="24"/>
                <w:highlight w:val="none"/>
              </w:rPr>
              <w:t>收生活垃圾</w:t>
            </w:r>
          </w:p>
        </w:tc>
        <w:tc>
          <w:tcPr>
            <w:tcW w:w="2596" w:type="pct"/>
            <w:vAlign w:val="center"/>
          </w:tcPr>
          <w:p w14:paraId="37CDCE67">
            <w:pPr>
              <w:rPr>
                <w:rFonts w:ascii="楷体_GB2312" w:eastAsia="楷体_GB2312"/>
                <w:color w:val="auto"/>
                <w:sz w:val="24"/>
                <w:highlight w:val="none"/>
              </w:rPr>
            </w:pPr>
            <w:r>
              <w:rPr>
                <w:rFonts w:hint="eastAsia" w:ascii="楷体_GB2312" w:eastAsia="楷体_GB2312"/>
                <w:color w:val="auto"/>
                <w:sz w:val="24"/>
                <w:highlight w:val="none"/>
              </w:rPr>
              <w:t>垃圾桶无满溢</w:t>
            </w:r>
          </w:p>
        </w:tc>
      </w:tr>
      <w:tr w14:paraId="26198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457" w:type="pct"/>
            <w:vMerge w:val="continue"/>
            <w:vAlign w:val="center"/>
          </w:tcPr>
          <w:p w14:paraId="4F0AED27">
            <w:pPr>
              <w:jc w:val="center"/>
              <w:rPr>
                <w:rFonts w:ascii="楷体_GB2312" w:eastAsia="楷体_GB2312"/>
                <w:color w:val="auto"/>
                <w:sz w:val="24"/>
                <w:highlight w:val="none"/>
              </w:rPr>
            </w:pPr>
          </w:p>
        </w:tc>
        <w:tc>
          <w:tcPr>
            <w:tcW w:w="495" w:type="pct"/>
            <w:vAlign w:val="center"/>
          </w:tcPr>
          <w:p w14:paraId="6BE2C5AA">
            <w:pPr>
              <w:jc w:val="center"/>
              <w:rPr>
                <w:rFonts w:ascii="楷体_GB2312" w:eastAsia="楷体_GB2312"/>
                <w:color w:val="auto"/>
                <w:sz w:val="24"/>
                <w:highlight w:val="none"/>
              </w:rPr>
            </w:pPr>
            <w:r>
              <w:rPr>
                <w:rFonts w:hint="eastAsia" w:ascii="楷体_GB2312" w:eastAsia="楷体_GB2312"/>
                <w:color w:val="auto"/>
                <w:sz w:val="24"/>
                <w:highlight w:val="none"/>
              </w:rPr>
              <w:t>2</w:t>
            </w:r>
          </w:p>
        </w:tc>
        <w:tc>
          <w:tcPr>
            <w:tcW w:w="1450" w:type="pct"/>
            <w:vAlign w:val="center"/>
          </w:tcPr>
          <w:p w14:paraId="145BB19E">
            <w:pPr>
              <w:rPr>
                <w:rFonts w:ascii="楷体_GB2312" w:eastAsia="楷体_GB2312"/>
                <w:color w:val="auto"/>
                <w:sz w:val="24"/>
                <w:highlight w:val="none"/>
              </w:rPr>
            </w:pPr>
            <w:r>
              <w:rPr>
                <w:rFonts w:hint="eastAsia" w:ascii="楷体_GB2312" w:eastAsia="楷体_GB2312"/>
                <w:color w:val="auto"/>
                <w:sz w:val="24"/>
                <w:highlight w:val="none"/>
              </w:rPr>
              <w:t>洗垃圾桶</w:t>
            </w:r>
          </w:p>
        </w:tc>
        <w:tc>
          <w:tcPr>
            <w:tcW w:w="2596" w:type="pct"/>
            <w:vAlign w:val="center"/>
          </w:tcPr>
          <w:p w14:paraId="63BF34BC">
            <w:pPr>
              <w:rPr>
                <w:rFonts w:ascii="楷体_GB2312" w:eastAsia="楷体_GB2312"/>
                <w:color w:val="auto"/>
                <w:sz w:val="24"/>
                <w:highlight w:val="none"/>
              </w:rPr>
            </w:pPr>
            <w:r>
              <w:rPr>
                <w:rFonts w:hint="eastAsia" w:ascii="楷体_GB2312" w:eastAsia="楷体_GB2312"/>
                <w:color w:val="auto"/>
                <w:sz w:val="24"/>
                <w:highlight w:val="none"/>
              </w:rPr>
              <w:t>干净无臭味</w:t>
            </w:r>
          </w:p>
        </w:tc>
      </w:tr>
      <w:tr w14:paraId="51501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457" w:type="pct"/>
            <w:vMerge w:val="continue"/>
            <w:vAlign w:val="center"/>
          </w:tcPr>
          <w:p w14:paraId="66E572D9">
            <w:pPr>
              <w:jc w:val="center"/>
              <w:rPr>
                <w:rFonts w:ascii="楷体_GB2312" w:eastAsia="楷体_GB2312"/>
                <w:color w:val="auto"/>
                <w:sz w:val="24"/>
                <w:highlight w:val="none"/>
              </w:rPr>
            </w:pPr>
          </w:p>
        </w:tc>
        <w:tc>
          <w:tcPr>
            <w:tcW w:w="495" w:type="pct"/>
            <w:vAlign w:val="center"/>
          </w:tcPr>
          <w:p w14:paraId="372DE95E">
            <w:pPr>
              <w:jc w:val="center"/>
              <w:rPr>
                <w:rFonts w:ascii="楷体_GB2312" w:eastAsia="楷体_GB2312"/>
                <w:color w:val="auto"/>
                <w:sz w:val="24"/>
                <w:highlight w:val="none"/>
              </w:rPr>
            </w:pPr>
            <w:r>
              <w:rPr>
                <w:rFonts w:hint="eastAsia" w:ascii="楷体_GB2312" w:eastAsia="楷体_GB2312"/>
                <w:color w:val="auto"/>
                <w:sz w:val="24"/>
                <w:highlight w:val="none"/>
              </w:rPr>
              <w:t>3</w:t>
            </w:r>
          </w:p>
        </w:tc>
        <w:tc>
          <w:tcPr>
            <w:tcW w:w="1450" w:type="pct"/>
            <w:vAlign w:val="center"/>
          </w:tcPr>
          <w:p w14:paraId="3134835A">
            <w:pPr>
              <w:rPr>
                <w:rFonts w:ascii="楷体_GB2312" w:eastAsia="楷体_GB2312"/>
                <w:color w:val="auto"/>
                <w:sz w:val="24"/>
                <w:highlight w:val="none"/>
              </w:rPr>
            </w:pPr>
            <w:r>
              <w:rPr>
                <w:rFonts w:hint="eastAsia" w:ascii="楷体_GB2312" w:eastAsia="楷体_GB2312"/>
                <w:color w:val="auto"/>
                <w:sz w:val="24"/>
                <w:highlight w:val="none"/>
              </w:rPr>
              <w:t>烟灰缸</w:t>
            </w:r>
          </w:p>
        </w:tc>
        <w:tc>
          <w:tcPr>
            <w:tcW w:w="2596" w:type="pct"/>
            <w:vAlign w:val="center"/>
          </w:tcPr>
          <w:p w14:paraId="62EBBCA7">
            <w:pPr>
              <w:rPr>
                <w:rFonts w:ascii="楷体_GB2312" w:eastAsia="楷体_GB2312"/>
                <w:color w:val="auto"/>
                <w:sz w:val="24"/>
                <w:highlight w:val="none"/>
              </w:rPr>
            </w:pPr>
            <w:r>
              <w:rPr>
                <w:rFonts w:hint="eastAsia" w:ascii="楷体_GB2312" w:eastAsia="楷体_GB2312"/>
                <w:color w:val="auto"/>
                <w:sz w:val="24"/>
                <w:highlight w:val="none"/>
              </w:rPr>
              <w:t>外观无尘、干净、桶无满溢</w:t>
            </w:r>
          </w:p>
        </w:tc>
      </w:tr>
      <w:tr w14:paraId="0A8BF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457" w:type="pct"/>
            <w:vMerge w:val="restart"/>
            <w:vAlign w:val="center"/>
          </w:tcPr>
          <w:p w14:paraId="71BB1B20">
            <w:pPr>
              <w:jc w:val="center"/>
              <w:rPr>
                <w:rFonts w:ascii="楷体_GB2312" w:eastAsia="楷体_GB2312"/>
                <w:color w:val="auto"/>
                <w:sz w:val="24"/>
                <w:highlight w:val="none"/>
              </w:rPr>
            </w:pPr>
            <w:r>
              <w:rPr>
                <w:rFonts w:hint="eastAsia" w:ascii="楷体_GB2312" w:eastAsia="楷体_GB2312"/>
                <w:color w:val="auto"/>
                <w:sz w:val="24"/>
                <w:highlight w:val="none"/>
              </w:rPr>
              <w:t>大</w:t>
            </w:r>
          </w:p>
          <w:p w14:paraId="09B8A9A1">
            <w:pPr>
              <w:jc w:val="center"/>
              <w:rPr>
                <w:rFonts w:ascii="楷体_GB2312" w:eastAsia="楷体_GB2312"/>
                <w:color w:val="auto"/>
                <w:sz w:val="24"/>
                <w:highlight w:val="none"/>
              </w:rPr>
            </w:pPr>
          </w:p>
          <w:p w14:paraId="31A0A4EA">
            <w:pPr>
              <w:jc w:val="center"/>
              <w:rPr>
                <w:rFonts w:ascii="楷体_GB2312" w:eastAsia="楷体_GB2312"/>
                <w:color w:val="auto"/>
                <w:sz w:val="24"/>
                <w:highlight w:val="none"/>
              </w:rPr>
            </w:pPr>
          </w:p>
          <w:p w14:paraId="4D1E2AE5">
            <w:pPr>
              <w:jc w:val="center"/>
              <w:rPr>
                <w:rFonts w:ascii="楷体_GB2312" w:eastAsia="楷体_GB2312"/>
                <w:color w:val="auto"/>
                <w:sz w:val="24"/>
                <w:highlight w:val="none"/>
              </w:rPr>
            </w:pPr>
          </w:p>
          <w:p w14:paraId="30DE9A2B">
            <w:pPr>
              <w:jc w:val="center"/>
              <w:rPr>
                <w:rFonts w:ascii="楷体_GB2312" w:eastAsia="楷体_GB2312"/>
                <w:color w:val="auto"/>
                <w:sz w:val="24"/>
                <w:highlight w:val="none"/>
              </w:rPr>
            </w:pPr>
            <w:r>
              <w:rPr>
                <w:rFonts w:hint="eastAsia" w:ascii="楷体_GB2312" w:eastAsia="楷体_GB2312"/>
                <w:color w:val="auto"/>
                <w:sz w:val="24"/>
                <w:highlight w:val="none"/>
              </w:rPr>
              <w:t>堂</w:t>
            </w:r>
          </w:p>
        </w:tc>
        <w:tc>
          <w:tcPr>
            <w:tcW w:w="495" w:type="pct"/>
            <w:vAlign w:val="center"/>
          </w:tcPr>
          <w:p w14:paraId="49A7A8B3">
            <w:pPr>
              <w:jc w:val="center"/>
              <w:rPr>
                <w:rFonts w:ascii="楷体_GB2312" w:eastAsia="楷体_GB2312"/>
                <w:color w:val="auto"/>
                <w:sz w:val="24"/>
                <w:highlight w:val="none"/>
              </w:rPr>
            </w:pPr>
            <w:r>
              <w:rPr>
                <w:rFonts w:hint="eastAsia" w:ascii="楷体_GB2312" w:eastAsia="楷体_GB2312"/>
                <w:color w:val="auto"/>
                <w:sz w:val="24"/>
                <w:highlight w:val="none"/>
              </w:rPr>
              <w:t>1</w:t>
            </w:r>
          </w:p>
        </w:tc>
        <w:tc>
          <w:tcPr>
            <w:tcW w:w="1450" w:type="pct"/>
            <w:vAlign w:val="center"/>
          </w:tcPr>
          <w:p w14:paraId="60DA4395">
            <w:pPr>
              <w:rPr>
                <w:rFonts w:ascii="楷体_GB2312" w:eastAsia="楷体_GB2312"/>
                <w:color w:val="auto"/>
                <w:sz w:val="24"/>
                <w:highlight w:val="none"/>
              </w:rPr>
            </w:pPr>
            <w:r>
              <w:rPr>
                <w:rFonts w:hint="eastAsia" w:ascii="楷体_GB2312" w:eastAsia="楷体_GB2312"/>
                <w:color w:val="auto"/>
                <w:sz w:val="24"/>
                <w:highlight w:val="none"/>
              </w:rPr>
              <w:t>拖洗大堂</w:t>
            </w:r>
          </w:p>
        </w:tc>
        <w:tc>
          <w:tcPr>
            <w:tcW w:w="2596" w:type="pct"/>
            <w:vAlign w:val="center"/>
          </w:tcPr>
          <w:p w14:paraId="51BF82EF">
            <w:pPr>
              <w:rPr>
                <w:rFonts w:ascii="楷体_GB2312" w:eastAsia="楷体_GB2312"/>
                <w:color w:val="auto"/>
                <w:sz w:val="24"/>
                <w:highlight w:val="none"/>
              </w:rPr>
            </w:pPr>
            <w:r>
              <w:rPr>
                <w:rFonts w:hint="eastAsia" w:ascii="楷体_GB2312" w:eastAsia="楷体_GB2312"/>
                <w:color w:val="auto"/>
                <w:sz w:val="24"/>
                <w:highlight w:val="none"/>
              </w:rPr>
              <w:t>放防滑标示、干净、整洁、无明显灰尘</w:t>
            </w:r>
          </w:p>
        </w:tc>
      </w:tr>
      <w:tr w14:paraId="7BF23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457" w:type="pct"/>
            <w:vMerge w:val="continue"/>
            <w:vAlign w:val="center"/>
          </w:tcPr>
          <w:p w14:paraId="727DB762">
            <w:pPr>
              <w:jc w:val="center"/>
              <w:rPr>
                <w:rFonts w:ascii="楷体_GB2312" w:eastAsia="楷体_GB2312"/>
                <w:color w:val="auto"/>
                <w:sz w:val="24"/>
                <w:highlight w:val="none"/>
              </w:rPr>
            </w:pPr>
          </w:p>
        </w:tc>
        <w:tc>
          <w:tcPr>
            <w:tcW w:w="495" w:type="pct"/>
            <w:vAlign w:val="center"/>
          </w:tcPr>
          <w:p w14:paraId="2BEB1390">
            <w:pPr>
              <w:jc w:val="center"/>
              <w:rPr>
                <w:rFonts w:ascii="楷体_GB2312" w:eastAsia="楷体_GB2312"/>
                <w:color w:val="auto"/>
                <w:sz w:val="24"/>
                <w:highlight w:val="none"/>
              </w:rPr>
            </w:pPr>
            <w:r>
              <w:rPr>
                <w:rFonts w:hint="eastAsia" w:ascii="楷体_GB2312" w:eastAsia="楷体_GB2312"/>
                <w:color w:val="auto"/>
                <w:sz w:val="24"/>
                <w:highlight w:val="none"/>
              </w:rPr>
              <w:t>2</w:t>
            </w:r>
          </w:p>
        </w:tc>
        <w:tc>
          <w:tcPr>
            <w:tcW w:w="1450" w:type="pct"/>
            <w:vAlign w:val="center"/>
          </w:tcPr>
          <w:p w14:paraId="3027EF05">
            <w:pPr>
              <w:rPr>
                <w:rFonts w:ascii="楷体_GB2312" w:eastAsia="楷体_GB2312"/>
                <w:color w:val="auto"/>
                <w:sz w:val="24"/>
                <w:highlight w:val="none"/>
              </w:rPr>
            </w:pPr>
            <w:r>
              <w:rPr>
                <w:rFonts w:hint="eastAsia" w:ascii="楷体_GB2312" w:eastAsia="楷体_GB2312"/>
                <w:color w:val="auto"/>
                <w:sz w:val="24"/>
                <w:highlight w:val="none"/>
              </w:rPr>
              <w:t>清扫大堂</w:t>
            </w:r>
          </w:p>
        </w:tc>
        <w:tc>
          <w:tcPr>
            <w:tcW w:w="2596" w:type="pct"/>
            <w:vAlign w:val="center"/>
          </w:tcPr>
          <w:p w14:paraId="42505812">
            <w:pPr>
              <w:rPr>
                <w:rFonts w:ascii="楷体_GB2312" w:eastAsia="楷体_GB2312"/>
                <w:color w:val="auto"/>
                <w:sz w:val="24"/>
                <w:highlight w:val="none"/>
              </w:rPr>
            </w:pPr>
            <w:r>
              <w:rPr>
                <w:rFonts w:hint="eastAsia" w:ascii="楷体_GB2312" w:eastAsia="楷体_GB2312"/>
                <w:color w:val="auto"/>
                <w:sz w:val="24"/>
                <w:highlight w:val="none"/>
              </w:rPr>
              <w:t>无明显杂物</w:t>
            </w:r>
          </w:p>
        </w:tc>
      </w:tr>
      <w:tr w14:paraId="3C15D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457" w:type="pct"/>
            <w:vMerge w:val="continue"/>
            <w:vAlign w:val="center"/>
          </w:tcPr>
          <w:p w14:paraId="497AB202">
            <w:pPr>
              <w:jc w:val="center"/>
              <w:rPr>
                <w:rFonts w:ascii="楷体_GB2312" w:eastAsia="楷体_GB2312"/>
                <w:color w:val="auto"/>
                <w:sz w:val="24"/>
                <w:highlight w:val="none"/>
              </w:rPr>
            </w:pPr>
          </w:p>
        </w:tc>
        <w:tc>
          <w:tcPr>
            <w:tcW w:w="495" w:type="pct"/>
            <w:vAlign w:val="center"/>
          </w:tcPr>
          <w:p w14:paraId="1B3FAAB2">
            <w:pPr>
              <w:jc w:val="center"/>
              <w:rPr>
                <w:rFonts w:ascii="楷体_GB2312" w:eastAsia="楷体_GB2312"/>
                <w:color w:val="auto"/>
                <w:sz w:val="24"/>
                <w:highlight w:val="none"/>
              </w:rPr>
            </w:pPr>
            <w:r>
              <w:rPr>
                <w:rFonts w:hint="eastAsia" w:ascii="楷体_GB2312" w:eastAsia="楷体_GB2312"/>
                <w:color w:val="auto"/>
                <w:sz w:val="24"/>
                <w:highlight w:val="none"/>
              </w:rPr>
              <w:t>3</w:t>
            </w:r>
          </w:p>
        </w:tc>
        <w:tc>
          <w:tcPr>
            <w:tcW w:w="1450" w:type="pct"/>
            <w:vAlign w:val="center"/>
          </w:tcPr>
          <w:p w14:paraId="6B123AFB">
            <w:pPr>
              <w:rPr>
                <w:rFonts w:ascii="楷体_GB2312" w:eastAsia="楷体_GB2312"/>
                <w:color w:val="auto"/>
                <w:sz w:val="24"/>
                <w:highlight w:val="none"/>
              </w:rPr>
            </w:pPr>
            <w:r>
              <w:rPr>
                <w:rFonts w:hint="eastAsia" w:ascii="楷体_GB2312" w:eastAsia="楷体_GB2312"/>
                <w:color w:val="auto"/>
                <w:sz w:val="24"/>
                <w:highlight w:val="none"/>
              </w:rPr>
              <w:t>擦大堂及楼梯防盗门</w:t>
            </w:r>
          </w:p>
        </w:tc>
        <w:tc>
          <w:tcPr>
            <w:tcW w:w="2596" w:type="pct"/>
            <w:vAlign w:val="center"/>
          </w:tcPr>
          <w:p w14:paraId="4DBDDB7A">
            <w:pPr>
              <w:rPr>
                <w:rFonts w:ascii="楷体_GB2312" w:eastAsia="楷体_GB2312"/>
                <w:color w:val="auto"/>
                <w:sz w:val="24"/>
                <w:highlight w:val="none"/>
              </w:rPr>
            </w:pPr>
            <w:r>
              <w:rPr>
                <w:rFonts w:hint="eastAsia" w:ascii="楷体_GB2312" w:eastAsia="楷体_GB2312"/>
                <w:color w:val="auto"/>
                <w:sz w:val="24"/>
                <w:highlight w:val="none"/>
              </w:rPr>
              <w:t>无明显灰尘、无手印</w:t>
            </w:r>
          </w:p>
        </w:tc>
      </w:tr>
      <w:tr w14:paraId="4A410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457" w:type="pct"/>
            <w:vMerge w:val="continue"/>
            <w:vAlign w:val="center"/>
          </w:tcPr>
          <w:p w14:paraId="2B6FDC45">
            <w:pPr>
              <w:jc w:val="center"/>
              <w:rPr>
                <w:rFonts w:ascii="楷体_GB2312" w:eastAsia="楷体_GB2312"/>
                <w:color w:val="auto"/>
                <w:sz w:val="24"/>
                <w:highlight w:val="none"/>
              </w:rPr>
            </w:pPr>
          </w:p>
        </w:tc>
        <w:tc>
          <w:tcPr>
            <w:tcW w:w="495" w:type="pct"/>
            <w:vAlign w:val="center"/>
          </w:tcPr>
          <w:p w14:paraId="7AFCCB67">
            <w:pPr>
              <w:jc w:val="center"/>
              <w:rPr>
                <w:rFonts w:ascii="楷体_GB2312" w:eastAsia="楷体_GB2312"/>
                <w:color w:val="auto"/>
                <w:sz w:val="24"/>
                <w:highlight w:val="none"/>
              </w:rPr>
            </w:pPr>
            <w:r>
              <w:rPr>
                <w:rFonts w:hint="eastAsia" w:ascii="楷体_GB2312" w:eastAsia="楷体_GB2312"/>
                <w:color w:val="auto"/>
                <w:sz w:val="24"/>
                <w:highlight w:val="none"/>
              </w:rPr>
              <w:t>4</w:t>
            </w:r>
          </w:p>
        </w:tc>
        <w:tc>
          <w:tcPr>
            <w:tcW w:w="1450" w:type="pct"/>
            <w:vAlign w:val="center"/>
          </w:tcPr>
          <w:p w14:paraId="074BBCE2">
            <w:pPr>
              <w:rPr>
                <w:rFonts w:ascii="楷体_GB2312" w:eastAsia="楷体_GB2312"/>
                <w:color w:val="auto"/>
                <w:sz w:val="24"/>
                <w:highlight w:val="none"/>
              </w:rPr>
            </w:pPr>
            <w:r>
              <w:rPr>
                <w:rFonts w:hint="eastAsia" w:ascii="楷体_GB2312" w:eastAsia="楷体_GB2312"/>
                <w:color w:val="auto"/>
                <w:sz w:val="24"/>
                <w:highlight w:val="none"/>
              </w:rPr>
              <w:t>大堂玻璃</w:t>
            </w:r>
          </w:p>
        </w:tc>
        <w:tc>
          <w:tcPr>
            <w:tcW w:w="2596" w:type="pct"/>
            <w:vAlign w:val="center"/>
          </w:tcPr>
          <w:p w14:paraId="182AF7D2">
            <w:pPr>
              <w:rPr>
                <w:rFonts w:ascii="楷体_GB2312" w:eastAsia="楷体_GB2312"/>
                <w:color w:val="auto"/>
                <w:sz w:val="24"/>
                <w:highlight w:val="none"/>
              </w:rPr>
            </w:pPr>
            <w:r>
              <w:rPr>
                <w:rFonts w:hint="eastAsia" w:ascii="楷体_GB2312" w:eastAsia="楷体_GB2312"/>
                <w:color w:val="auto"/>
                <w:sz w:val="24"/>
                <w:highlight w:val="none"/>
              </w:rPr>
              <w:t>无张贴物、光亮无明显灰尘</w:t>
            </w:r>
          </w:p>
        </w:tc>
      </w:tr>
      <w:tr w14:paraId="51410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457" w:type="pct"/>
            <w:vMerge w:val="continue"/>
            <w:vAlign w:val="center"/>
          </w:tcPr>
          <w:p w14:paraId="1E1AFE32">
            <w:pPr>
              <w:jc w:val="center"/>
              <w:rPr>
                <w:rFonts w:ascii="楷体_GB2312" w:eastAsia="楷体_GB2312"/>
                <w:color w:val="auto"/>
                <w:sz w:val="24"/>
                <w:highlight w:val="none"/>
              </w:rPr>
            </w:pPr>
          </w:p>
        </w:tc>
        <w:tc>
          <w:tcPr>
            <w:tcW w:w="495" w:type="pct"/>
            <w:vAlign w:val="center"/>
          </w:tcPr>
          <w:p w14:paraId="54A0A1C3">
            <w:pPr>
              <w:jc w:val="center"/>
              <w:rPr>
                <w:rFonts w:ascii="楷体_GB2312" w:eastAsia="楷体_GB2312"/>
                <w:color w:val="auto"/>
                <w:sz w:val="24"/>
                <w:highlight w:val="none"/>
              </w:rPr>
            </w:pPr>
            <w:r>
              <w:rPr>
                <w:rFonts w:hint="eastAsia" w:ascii="楷体_GB2312" w:eastAsia="楷体_GB2312"/>
                <w:color w:val="auto"/>
                <w:sz w:val="24"/>
                <w:highlight w:val="none"/>
              </w:rPr>
              <w:t>5</w:t>
            </w:r>
          </w:p>
        </w:tc>
        <w:tc>
          <w:tcPr>
            <w:tcW w:w="1450" w:type="pct"/>
            <w:vAlign w:val="center"/>
          </w:tcPr>
          <w:p w14:paraId="046DA292">
            <w:pPr>
              <w:rPr>
                <w:rFonts w:ascii="楷体_GB2312" w:eastAsia="楷体_GB2312"/>
                <w:color w:val="auto"/>
                <w:sz w:val="24"/>
                <w:highlight w:val="none"/>
              </w:rPr>
            </w:pPr>
            <w:r>
              <w:rPr>
                <w:rFonts w:hint="eastAsia" w:ascii="楷体_GB2312" w:eastAsia="楷体_GB2312"/>
                <w:color w:val="auto"/>
                <w:sz w:val="24"/>
                <w:highlight w:val="none"/>
              </w:rPr>
              <w:t>清理烟灰盅</w:t>
            </w:r>
          </w:p>
        </w:tc>
        <w:tc>
          <w:tcPr>
            <w:tcW w:w="2596" w:type="pct"/>
            <w:vAlign w:val="center"/>
          </w:tcPr>
          <w:p w14:paraId="1784F99B">
            <w:pPr>
              <w:rPr>
                <w:rFonts w:ascii="楷体_GB2312" w:eastAsia="楷体_GB2312"/>
                <w:color w:val="auto"/>
                <w:sz w:val="24"/>
                <w:highlight w:val="none"/>
              </w:rPr>
            </w:pPr>
            <w:r>
              <w:rPr>
                <w:rFonts w:hint="eastAsia" w:ascii="楷体_GB2312" w:eastAsia="楷体_GB2312"/>
                <w:color w:val="auto"/>
                <w:sz w:val="24"/>
                <w:highlight w:val="none"/>
              </w:rPr>
              <w:t>干净、整洁</w:t>
            </w:r>
          </w:p>
        </w:tc>
      </w:tr>
      <w:tr w14:paraId="7A48A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457" w:type="pct"/>
            <w:vMerge w:val="continue"/>
            <w:vAlign w:val="center"/>
          </w:tcPr>
          <w:p w14:paraId="0AAC22E6">
            <w:pPr>
              <w:jc w:val="center"/>
              <w:rPr>
                <w:rFonts w:ascii="楷体_GB2312" w:eastAsia="楷体_GB2312"/>
                <w:color w:val="auto"/>
                <w:sz w:val="24"/>
                <w:highlight w:val="none"/>
              </w:rPr>
            </w:pPr>
          </w:p>
        </w:tc>
        <w:tc>
          <w:tcPr>
            <w:tcW w:w="495" w:type="pct"/>
            <w:vAlign w:val="center"/>
          </w:tcPr>
          <w:p w14:paraId="160847D5">
            <w:pPr>
              <w:jc w:val="center"/>
              <w:rPr>
                <w:rFonts w:ascii="楷体_GB2312" w:eastAsia="楷体_GB2312"/>
                <w:color w:val="auto"/>
                <w:sz w:val="24"/>
                <w:highlight w:val="none"/>
              </w:rPr>
            </w:pPr>
            <w:r>
              <w:rPr>
                <w:rFonts w:hint="eastAsia" w:ascii="楷体_GB2312" w:eastAsia="楷体_GB2312"/>
                <w:color w:val="auto"/>
                <w:sz w:val="24"/>
                <w:highlight w:val="none"/>
              </w:rPr>
              <w:t>6</w:t>
            </w:r>
          </w:p>
        </w:tc>
        <w:tc>
          <w:tcPr>
            <w:tcW w:w="1450" w:type="pct"/>
            <w:vAlign w:val="center"/>
          </w:tcPr>
          <w:p w14:paraId="2E828A12">
            <w:pPr>
              <w:rPr>
                <w:rFonts w:ascii="楷体_GB2312" w:eastAsia="楷体_GB2312"/>
                <w:color w:val="auto"/>
                <w:sz w:val="24"/>
                <w:highlight w:val="none"/>
              </w:rPr>
            </w:pPr>
            <w:r>
              <w:rPr>
                <w:rFonts w:hint="eastAsia" w:ascii="楷体_GB2312" w:eastAsia="楷体_GB2312"/>
                <w:color w:val="auto"/>
                <w:sz w:val="24"/>
                <w:highlight w:val="none"/>
              </w:rPr>
              <w:t>擦公告栏、标示</w:t>
            </w:r>
          </w:p>
        </w:tc>
        <w:tc>
          <w:tcPr>
            <w:tcW w:w="2596" w:type="pct"/>
            <w:vAlign w:val="center"/>
          </w:tcPr>
          <w:p w14:paraId="6075C92D">
            <w:pPr>
              <w:rPr>
                <w:rFonts w:ascii="楷体_GB2312" w:eastAsia="楷体_GB2312"/>
                <w:color w:val="auto"/>
                <w:sz w:val="24"/>
                <w:highlight w:val="none"/>
              </w:rPr>
            </w:pPr>
            <w:r>
              <w:rPr>
                <w:rFonts w:hint="eastAsia" w:ascii="楷体_GB2312" w:eastAsia="楷体_GB2312"/>
                <w:color w:val="auto"/>
                <w:sz w:val="24"/>
                <w:highlight w:val="none"/>
              </w:rPr>
              <w:t>干净、无明显灰尘</w:t>
            </w:r>
          </w:p>
        </w:tc>
      </w:tr>
      <w:tr w14:paraId="2A04B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457" w:type="pct"/>
            <w:vMerge w:val="continue"/>
            <w:vAlign w:val="center"/>
          </w:tcPr>
          <w:p w14:paraId="64151E0B">
            <w:pPr>
              <w:jc w:val="center"/>
              <w:rPr>
                <w:rFonts w:ascii="楷体_GB2312" w:eastAsia="楷体_GB2312"/>
                <w:color w:val="auto"/>
                <w:sz w:val="24"/>
                <w:highlight w:val="none"/>
              </w:rPr>
            </w:pPr>
          </w:p>
        </w:tc>
        <w:tc>
          <w:tcPr>
            <w:tcW w:w="495" w:type="pct"/>
            <w:vAlign w:val="center"/>
          </w:tcPr>
          <w:p w14:paraId="7E6E964B">
            <w:pPr>
              <w:jc w:val="center"/>
              <w:rPr>
                <w:rFonts w:ascii="楷体_GB2312" w:eastAsia="楷体_GB2312"/>
                <w:color w:val="auto"/>
                <w:sz w:val="24"/>
                <w:highlight w:val="none"/>
              </w:rPr>
            </w:pPr>
            <w:r>
              <w:rPr>
                <w:rFonts w:hint="eastAsia" w:ascii="楷体_GB2312" w:eastAsia="楷体_GB2312"/>
                <w:color w:val="auto"/>
                <w:sz w:val="24"/>
                <w:highlight w:val="none"/>
              </w:rPr>
              <w:t>7</w:t>
            </w:r>
          </w:p>
        </w:tc>
        <w:tc>
          <w:tcPr>
            <w:tcW w:w="1450" w:type="pct"/>
            <w:vAlign w:val="center"/>
          </w:tcPr>
          <w:p w14:paraId="6B11D2FB">
            <w:pPr>
              <w:rPr>
                <w:rFonts w:ascii="楷体_GB2312" w:eastAsia="楷体_GB2312"/>
                <w:color w:val="auto"/>
                <w:sz w:val="24"/>
                <w:highlight w:val="none"/>
              </w:rPr>
            </w:pPr>
            <w:r>
              <w:rPr>
                <w:rFonts w:hint="eastAsia" w:ascii="楷体_GB2312" w:eastAsia="楷体_GB2312"/>
                <w:color w:val="auto"/>
                <w:sz w:val="24"/>
                <w:highlight w:val="none"/>
              </w:rPr>
              <w:t>信报箱</w:t>
            </w:r>
          </w:p>
        </w:tc>
        <w:tc>
          <w:tcPr>
            <w:tcW w:w="2596" w:type="pct"/>
            <w:vAlign w:val="center"/>
          </w:tcPr>
          <w:p w14:paraId="317B17C2">
            <w:pPr>
              <w:rPr>
                <w:rFonts w:ascii="楷体_GB2312" w:eastAsia="楷体_GB2312"/>
                <w:color w:val="auto"/>
                <w:sz w:val="24"/>
                <w:highlight w:val="none"/>
              </w:rPr>
            </w:pPr>
            <w:r>
              <w:rPr>
                <w:rFonts w:hint="eastAsia" w:ascii="楷体_GB2312" w:eastAsia="楷体_GB2312"/>
                <w:color w:val="auto"/>
                <w:sz w:val="24"/>
                <w:highlight w:val="none"/>
              </w:rPr>
              <w:t>干净、无明显灰尘</w:t>
            </w:r>
          </w:p>
        </w:tc>
      </w:tr>
      <w:tr w14:paraId="40119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457" w:type="pct"/>
            <w:vMerge w:val="continue"/>
            <w:vAlign w:val="center"/>
          </w:tcPr>
          <w:p w14:paraId="797506ED">
            <w:pPr>
              <w:jc w:val="center"/>
              <w:rPr>
                <w:rFonts w:ascii="楷体_GB2312" w:eastAsia="楷体_GB2312"/>
                <w:color w:val="auto"/>
                <w:sz w:val="24"/>
                <w:highlight w:val="none"/>
              </w:rPr>
            </w:pPr>
          </w:p>
        </w:tc>
        <w:tc>
          <w:tcPr>
            <w:tcW w:w="495" w:type="pct"/>
            <w:vAlign w:val="center"/>
          </w:tcPr>
          <w:p w14:paraId="525D73C4">
            <w:pPr>
              <w:jc w:val="center"/>
              <w:rPr>
                <w:rFonts w:ascii="楷体_GB2312" w:eastAsia="楷体_GB2312"/>
                <w:color w:val="auto"/>
                <w:sz w:val="24"/>
                <w:highlight w:val="none"/>
              </w:rPr>
            </w:pPr>
            <w:r>
              <w:rPr>
                <w:rFonts w:hint="eastAsia" w:ascii="楷体_GB2312" w:eastAsia="楷体_GB2312"/>
                <w:color w:val="auto"/>
                <w:sz w:val="24"/>
                <w:highlight w:val="none"/>
              </w:rPr>
              <w:t>8</w:t>
            </w:r>
          </w:p>
        </w:tc>
        <w:tc>
          <w:tcPr>
            <w:tcW w:w="1450" w:type="pct"/>
            <w:vAlign w:val="center"/>
          </w:tcPr>
          <w:p w14:paraId="2AB3C255">
            <w:pPr>
              <w:rPr>
                <w:rFonts w:ascii="楷体_GB2312" w:eastAsia="楷体_GB2312"/>
                <w:color w:val="auto"/>
                <w:sz w:val="24"/>
                <w:highlight w:val="none"/>
              </w:rPr>
            </w:pPr>
            <w:r>
              <w:rPr>
                <w:rFonts w:hint="eastAsia" w:ascii="楷体_GB2312" w:eastAsia="楷体_GB2312"/>
                <w:color w:val="auto"/>
                <w:sz w:val="24"/>
                <w:highlight w:val="none"/>
              </w:rPr>
              <w:t>擦洗大堂墙壁</w:t>
            </w:r>
          </w:p>
        </w:tc>
        <w:tc>
          <w:tcPr>
            <w:tcW w:w="2596" w:type="pct"/>
            <w:vAlign w:val="center"/>
          </w:tcPr>
          <w:p w14:paraId="297A8A11">
            <w:pPr>
              <w:rPr>
                <w:rFonts w:ascii="楷体_GB2312" w:eastAsia="楷体_GB2312"/>
                <w:color w:val="auto"/>
                <w:sz w:val="24"/>
                <w:highlight w:val="none"/>
              </w:rPr>
            </w:pPr>
            <w:r>
              <w:rPr>
                <w:rFonts w:hint="eastAsia" w:ascii="楷体_GB2312" w:eastAsia="楷体_GB2312"/>
                <w:color w:val="auto"/>
                <w:sz w:val="24"/>
                <w:highlight w:val="none"/>
              </w:rPr>
              <w:t>干净.无明显灰尘</w:t>
            </w:r>
          </w:p>
        </w:tc>
      </w:tr>
      <w:tr w14:paraId="74866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457" w:type="pct"/>
            <w:vMerge w:val="continue"/>
            <w:vAlign w:val="center"/>
          </w:tcPr>
          <w:p w14:paraId="3560E12B">
            <w:pPr>
              <w:jc w:val="center"/>
              <w:rPr>
                <w:rFonts w:ascii="楷体_GB2312" w:eastAsia="楷体_GB2312"/>
                <w:color w:val="auto"/>
                <w:sz w:val="24"/>
                <w:highlight w:val="none"/>
              </w:rPr>
            </w:pPr>
          </w:p>
        </w:tc>
        <w:tc>
          <w:tcPr>
            <w:tcW w:w="495" w:type="pct"/>
            <w:vAlign w:val="center"/>
          </w:tcPr>
          <w:p w14:paraId="1F0B91C1">
            <w:pPr>
              <w:jc w:val="center"/>
              <w:rPr>
                <w:rFonts w:ascii="楷体_GB2312" w:eastAsia="楷体_GB2312"/>
                <w:color w:val="auto"/>
                <w:sz w:val="24"/>
                <w:highlight w:val="none"/>
              </w:rPr>
            </w:pPr>
            <w:r>
              <w:rPr>
                <w:rFonts w:hint="eastAsia" w:ascii="楷体_GB2312" w:eastAsia="楷体_GB2312"/>
                <w:color w:val="auto"/>
                <w:sz w:val="24"/>
                <w:highlight w:val="none"/>
              </w:rPr>
              <w:t>9</w:t>
            </w:r>
          </w:p>
        </w:tc>
        <w:tc>
          <w:tcPr>
            <w:tcW w:w="1450" w:type="pct"/>
            <w:vAlign w:val="center"/>
          </w:tcPr>
          <w:p w14:paraId="29C913D4">
            <w:pPr>
              <w:rPr>
                <w:rFonts w:ascii="楷体_GB2312" w:eastAsia="楷体_GB2312"/>
                <w:color w:val="auto"/>
                <w:sz w:val="24"/>
                <w:highlight w:val="none"/>
              </w:rPr>
            </w:pPr>
            <w:r>
              <w:rPr>
                <w:rFonts w:hint="eastAsia" w:ascii="楷体_GB2312" w:eastAsia="楷体_GB2312"/>
                <w:color w:val="auto"/>
                <w:sz w:val="24"/>
                <w:highlight w:val="none"/>
              </w:rPr>
              <w:t>清理蜘蛛网</w:t>
            </w:r>
          </w:p>
        </w:tc>
        <w:tc>
          <w:tcPr>
            <w:tcW w:w="2596" w:type="pct"/>
            <w:vAlign w:val="center"/>
          </w:tcPr>
          <w:p w14:paraId="4E36650D">
            <w:pPr>
              <w:rPr>
                <w:rFonts w:ascii="楷体_GB2312" w:eastAsia="楷体_GB2312"/>
                <w:color w:val="auto"/>
                <w:sz w:val="24"/>
                <w:highlight w:val="none"/>
              </w:rPr>
            </w:pPr>
            <w:r>
              <w:rPr>
                <w:rFonts w:hint="eastAsia" w:ascii="楷体_GB2312" w:eastAsia="楷体_GB2312"/>
                <w:color w:val="auto"/>
                <w:sz w:val="24"/>
                <w:highlight w:val="none"/>
              </w:rPr>
              <w:t>无明显蜘蛛网</w:t>
            </w:r>
          </w:p>
        </w:tc>
      </w:tr>
      <w:tr w14:paraId="4CFA2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457" w:type="pct"/>
            <w:vMerge w:val="restart"/>
            <w:vAlign w:val="center"/>
          </w:tcPr>
          <w:p w14:paraId="37628F13">
            <w:pPr>
              <w:jc w:val="center"/>
              <w:rPr>
                <w:rFonts w:ascii="楷体_GB2312" w:eastAsia="楷体_GB2312"/>
                <w:color w:val="auto"/>
                <w:sz w:val="24"/>
                <w:highlight w:val="none"/>
              </w:rPr>
            </w:pPr>
            <w:r>
              <w:rPr>
                <w:rFonts w:hint="eastAsia" w:ascii="楷体_GB2312" w:eastAsia="楷体_GB2312"/>
                <w:color w:val="auto"/>
                <w:sz w:val="24"/>
                <w:highlight w:val="none"/>
              </w:rPr>
              <w:t>电</w:t>
            </w:r>
          </w:p>
          <w:p w14:paraId="4039EF21">
            <w:pPr>
              <w:jc w:val="center"/>
              <w:rPr>
                <w:rFonts w:ascii="楷体_GB2312" w:eastAsia="楷体_GB2312"/>
                <w:color w:val="auto"/>
                <w:sz w:val="24"/>
                <w:highlight w:val="none"/>
              </w:rPr>
            </w:pPr>
            <w:r>
              <w:rPr>
                <w:rFonts w:hint="eastAsia" w:ascii="楷体_GB2312" w:eastAsia="楷体_GB2312"/>
                <w:color w:val="auto"/>
                <w:sz w:val="24"/>
                <w:highlight w:val="none"/>
              </w:rPr>
              <w:t>梯</w:t>
            </w:r>
          </w:p>
        </w:tc>
        <w:tc>
          <w:tcPr>
            <w:tcW w:w="495" w:type="pct"/>
            <w:vAlign w:val="center"/>
          </w:tcPr>
          <w:p w14:paraId="1F658FD3">
            <w:pPr>
              <w:jc w:val="center"/>
              <w:rPr>
                <w:rFonts w:ascii="楷体_GB2312" w:eastAsia="楷体_GB2312"/>
                <w:color w:val="auto"/>
                <w:sz w:val="24"/>
                <w:highlight w:val="none"/>
              </w:rPr>
            </w:pPr>
            <w:r>
              <w:rPr>
                <w:rFonts w:hint="eastAsia" w:ascii="楷体_GB2312" w:eastAsia="楷体_GB2312"/>
                <w:color w:val="auto"/>
                <w:sz w:val="24"/>
                <w:highlight w:val="none"/>
              </w:rPr>
              <w:t>1</w:t>
            </w:r>
          </w:p>
        </w:tc>
        <w:tc>
          <w:tcPr>
            <w:tcW w:w="1450" w:type="pct"/>
            <w:vAlign w:val="center"/>
          </w:tcPr>
          <w:p w14:paraId="0DCA6187">
            <w:pPr>
              <w:rPr>
                <w:rFonts w:ascii="楷体_GB2312" w:eastAsia="楷体_GB2312"/>
                <w:color w:val="auto"/>
                <w:sz w:val="24"/>
                <w:highlight w:val="none"/>
              </w:rPr>
            </w:pPr>
            <w:r>
              <w:rPr>
                <w:rFonts w:hint="eastAsia" w:ascii="楷体_GB2312" w:eastAsia="楷体_GB2312"/>
                <w:color w:val="auto"/>
                <w:sz w:val="24"/>
                <w:highlight w:val="none"/>
              </w:rPr>
              <w:t>拖洗电梯踏板</w:t>
            </w:r>
          </w:p>
        </w:tc>
        <w:tc>
          <w:tcPr>
            <w:tcW w:w="2596" w:type="pct"/>
            <w:vAlign w:val="center"/>
          </w:tcPr>
          <w:p w14:paraId="597A46FA">
            <w:pPr>
              <w:rPr>
                <w:rFonts w:ascii="楷体_GB2312" w:eastAsia="楷体_GB2312"/>
                <w:color w:val="auto"/>
                <w:sz w:val="24"/>
                <w:highlight w:val="none"/>
              </w:rPr>
            </w:pPr>
            <w:r>
              <w:rPr>
                <w:rFonts w:hint="eastAsia" w:ascii="楷体_GB2312" w:eastAsia="楷体_GB2312"/>
                <w:color w:val="auto"/>
                <w:sz w:val="24"/>
                <w:highlight w:val="none"/>
              </w:rPr>
              <w:t>无明显灰尘、杂物</w:t>
            </w:r>
          </w:p>
        </w:tc>
      </w:tr>
      <w:tr w14:paraId="06EA7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457" w:type="pct"/>
            <w:vMerge w:val="continue"/>
            <w:vAlign w:val="center"/>
          </w:tcPr>
          <w:p w14:paraId="388DC8E4">
            <w:pPr>
              <w:jc w:val="center"/>
              <w:rPr>
                <w:rFonts w:ascii="楷体_GB2312" w:eastAsia="楷体_GB2312"/>
                <w:color w:val="auto"/>
                <w:sz w:val="24"/>
                <w:highlight w:val="none"/>
              </w:rPr>
            </w:pPr>
          </w:p>
        </w:tc>
        <w:tc>
          <w:tcPr>
            <w:tcW w:w="495" w:type="pct"/>
            <w:vAlign w:val="center"/>
          </w:tcPr>
          <w:p w14:paraId="6984E3AF">
            <w:pPr>
              <w:jc w:val="center"/>
              <w:rPr>
                <w:rFonts w:ascii="楷体_GB2312" w:eastAsia="楷体_GB2312"/>
                <w:color w:val="auto"/>
                <w:sz w:val="24"/>
                <w:highlight w:val="none"/>
              </w:rPr>
            </w:pPr>
            <w:r>
              <w:rPr>
                <w:rFonts w:hint="eastAsia" w:ascii="楷体_GB2312" w:eastAsia="楷体_GB2312"/>
                <w:color w:val="auto"/>
                <w:sz w:val="24"/>
                <w:highlight w:val="none"/>
              </w:rPr>
              <w:t>2</w:t>
            </w:r>
          </w:p>
        </w:tc>
        <w:tc>
          <w:tcPr>
            <w:tcW w:w="1450" w:type="pct"/>
            <w:vAlign w:val="center"/>
          </w:tcPr>
          <w:p w14:paraId="50E6150C">
            <w:pPr>
              <w:rPr>
                <w:rFonts w:ascii="楷体_GB2312" w:eastAsia="楷体_GB2312"/>
                <w:color w:val="auto"/>
                <w:sz w:val="24"/>
                <w:highlight w:val="none"/>
              </w:rPr>
            </w:pPr>
            <w:r>
              <w:rPr>
                <w:rFonts w:hint="eastAsia" w:ascii="楷体_GB2312" w:eastAsia="楷体_GB2312"/>
                <w:color w:val="auto"/>
                <w:sz w:val="24"/>
                <w:highlight w:val="none"/>
              </w:rPr>
              <w:t>擦洗电梯轿厢内壁</w:t>
            </w:r>
          </w:p>
        </w:tc>
        <w:tc>
          <w:tcPr>
            <w:tcW w:w="2596" w:type="pct"/>
            <w:vAlign w:val="center"/>
          </w:tcPr>
          <w:p w14:paraId="7EDB89B5">
            <w:pPr>
              <w:rPr>
                <w:rFonts w:ascii="楷体_GB2312" w:eastAsia="楷体_GB2312"/>
                <w:color w:val="auto"/>
                <w:sz w:val="24"/>
                <w:highlight w:val="none"/>
              </w:rPr>
            </w:pPr>
            <w:r>
              <w:rPr>
                <w:rFonts w:hint="eastAsia" w:ascii="楷体_GB2312" w:eastAsia="楷体_GB2312"/>
                <w:color w:val="auto"/>
                <w:sz w:val="24"/>
                <w:highlight w:val="none"/>
              </w:rPr>
              <w:t>光亮无灰尘</w:t>
            </w:r>
          </w:p>
        </w:tc>
      </w:tr>
      <w:tr w14:paraId="32CDB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457" w:type="pct"/>
            <w:vMerge w:val="continue"/>
            <w:vAlign w:val="center"/>
          </w:tcPr>
          <w:p w14:paraId="127CC3CA">
            <w:pPr>
              <w:jc w:val="center"/>
              <w:rPr>
                <w:rFonts w:ascii="楷体_GB2312" w:eastAsia="楷体_GB2312"/>
                <w:color w:val="auto"/>
                <w:sz w:val="24"/>
                <w:highlight w:val="none"/>
              </w:rPr>
            </w:pPr>
          </w:p>
        </w:tc>
        <w:tc>
          <w:tcPr>
            <w:tcW w:w="495" w:type="pct"/>
            <w:vAlign w:val="center"/>
          </w:tcPr>
          <w:p w14:paraId="47F93F04">
            <w:pPr>
              <w:jc w:val="center"/>
              <w:rPr>
                <w:rFonts w:ascii="楷体_GB2312" w:eastAsia="楷体_GB2312"/>
                <w:color w:val="auto"/>
                <w:sz w:val="24"/>
                <w:highlight w:val="none"/>
              </w:rPr>
            </w:pPr>
            <w:r>
              <w:rPr>
                <w:rFonts w:hint="eastAsia" w:ascii="楷体_GB2312" w:eastAsia="楷体_GB2312"/>
                <w:color w:val="auto"/>
                <w:sz w:val="24"/>
                <w:highlight w:val="none"/>
              </w:rPr>
              <w:t>3</w:t>
            </w:r>
          </w:p>
        </w:tc>
        <w:tc>
          <w:tcPr>
            <w:tcW w:w="1450" w:type="pct"/>
            <w:vAlign w:val="center"/>
          </w:tcPr>
          <w:p w14:paraId="175AA38C">
            <w:pPr>
              <w:rPr>
                <w:rFonts w:ascii="楷体_GB2312" w:eastAsia="楷体_GB2312"/>
                <w:color w:val="auto"/>
                <w:sz w:val="24"/>
                <w:highlight w:val="none"/>
              </w:rPr>
            </w:pPr>
            <w:r>
              <w:rPr>
                <w:rFonts w:hint="eastAsia" w:ascii="楷体_GB2312" w:eastAsia="楷体_GB2312"/>
                <w:color w:val="auto"/>
                <w:sz w:val="24"/>
                <w:highlight w:val="none"/>
              </w:rPr>
              <w:t>清理电梯门地槽</w:t>
            </w:r>
          </w:p>
        </w:tc>
        <w:tc>
          <w:tcPr>
            <w:tcW w:w="2596" w:type="pct"/>
            <w:vAlign w:val="center"/>
          </w:tcPr>
          <w:p w14:paraId="529597B9">
            <w:pPr>
              <w:rPr>
                <w:rFonts w:ascii="楷体_GB2312" w:eastAsia="楷体_GB2312"/>
                <w:color w:val="auto"/>
                <w:sz w:val="24"/>
                <w:highlight w:val="none"/>
              </w:rPr>
            </w:pPr>
            <w:r>
              <w:rPr>
                <w:rFonts w:hint="eastAsia" w:ascii="楷体_GB2312" w:eastAsia="楷体_GB2312"/>
                <w:color w:val="auto"/>
                <w:sz w:val="24"/>
                <w:highlight w:val="none"/>
              </w:rPr>
              <w:t>干净、无明显灰尘、杂物</w:t>
            </w:r>
          </w:p>
        </w:tc>
      </w:tr>
      <w:tr w14:paraId="359B2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457" w:type="pct"/>
            <w:vMerge w:val="restart"/>
            <w:vAlign w:val="center"/>
          </w:tcPr>
          <w:p w14:paraId="73F1B842">
            <w:pPr>
              <w:jc w:val="center"/>
              <w:rPr>
                <w:rFonts w:ascii="楷体_GB2312" w:eastAsia="楷体_GB2312"/>
                <w:color w:val="auto"/>
                <w:sz w:val="24"/>
                <w:highlight w:val="none"/>
              </w:rPr>
            </w:pPr>
          </w:p>
          <w:p w14:paraId="6A8F37B7">
            <w:pPr>
              <w:jc w:val="center"/>
              <w:rPr>
                <w:rFonts w:ascii="楷体_GB2312" w:eastAsia="楷体_GB2312"/>
                <w:color w:val="auto"/>
                <w:sz w:val="24"/>
                <w:highlight w:val="none"/>
              </w:rPr>
            </w:pPr>
            <w:r>
              <w:rPr>
                <w:rFonts w:hint="eastAsia" w:ascii="楷体_GB2312" w:eastAsia="楷体_GB2312"/>
                <w:color w:val="auto"/>
                <w:sz w:val="24"/>
                <w:highlight w:val="none"/>
              </w:rPr>
              <w:t>电梯</w:t>
            </w:r>
          </w:p>
          <w:p w14:paraId="7BB1D1D1">
            <w:pPr>
              <w:jc w:val="center"/>
              <w:rPr>
                <w:rFonts w:ascii="楷体_GB2312" w:eastAsia="楷体_GB2312"/>
                <w:color w:val="auto"/>
                <w:sz w:val="24"/>
                <w:highlight w:val="none"/>
              </w:rPr>
            </w:pPr>
            <w:r>
              <w:rPr>
                <w:rFonts w:hint="eastAsia" w:ascii="楷体_GB2312" w:eastAsia="楷体_GB2312"/>
                <w:color w:val="auto"/>
                <w:sz w:val="24"/>
                <w:highlight w:val="none"/>
              </w:rPr>
              <w:t>层及</w:t>
            </w:r>
          </w:p>
          <w:p w14:paraId="0EF949F6">
            <w:pPr>
              <w:jc w:val="center"/>
              <w:rPr>
                <w:rFonts w:ascii="楷体_GB2312" w:eastAsia="楷体_GB2312"/>
                <w:color w:val="auto"/>
                <w:sz w:val="24"/>
                <w:highlight w:val="none"/>
              </w:rPr>
            </w:pPr>
            <w:r>
              <w:rPr>
                <w:rFonts w:hint="eastAsia" w:ascii="楷体_GB2312" w:eastAsia="楷体_GB2312"/>
                <w:color w:val="auto"/>
                <w:sz w:val="24"/>
                <w:highlight w:val="none"/>
              </w:rPr>
              <w:t>楼梯走道</w:t>
            </w:r>
          </w:p>
        </w:tc>
        <w:tc>
          <w:tcPr>
            <w:tcW w:w="495" w:type="pct"/>
            <w:vAlign w:val="center"/>
          </w:tcPr>
          <w:p w14:paraId="1C8D04E6">
            <w:pPr>
              <w:jc w:val="center"/>
              <w:rPr>
                <w:rFonts w:ascii="楷体_GB2312" w:eastAsia="楷体_GB2312"/>
                <w:color w:val="auto"/>
                <w:sz w:val="24"/>
                <w:highlight w:val="none"/>
              </w:rPr>
            </w:pPr>
            <w:r>
              <w:rPr>
                <w:rFonts w:hint="eastAsia" w:ascii="楷体_GB2312" w:eastAsia="楷体_GB2312"/>
                <w:color w:val="auto"/>
                <w:sz w:val="24"/>
                <w:highlight w:val="none"/>
              </w:rPr>
              <w:t>1</w:t>
            </w:r>
          </w:p>
        </w:tc>
        <w:tc>
          <w:tcPr>
            <w:tcW w:w="1450" w:type="pct"/>
            <w:vAlign w:val="center"/>
          </w:tcPr>
          <w:p w14:paraId="00FB421C">
            <w:pPr>
              <w:rPr>
                <w:rFonts w:ascii="楷体_GB2312" w:eastAsia="楷体_GB2312"/>
                <w:color w:val="auto"/>
                <w:sz w:val="24"/>
                <w:highlight w:val="none"/>
              </w:rPr>
            </w:pPr>
            <w:r>
              <w:rPr>
                <w:rFonts w:hint="eastAsia" w:ascii="楷体_GB2312" w:eastAsia="楷体_GB2312"/>
                <w:color w:val="auto"/>
                <w:sz w:val="24"/>
                <w:highlight w:val="none"/>
              </w:rPr>
              <w:t>清扫电梯厅及走道</w:t>
            </w:r>
          </w:p>
        </w:tc>
        <w:tc>
          <w:tcPr>
            <w:tcW w:w="2596" w:type="pct"/>
            <w:vAlign w:val="center"/>
          </w:tcPr>
          <w:p w14:paraId="65B6ECDF">
            <w:pPr>
              <w:rPr>
                <w:rFonts w:ascii="楷体_GB2312" w:eastAsia="楷体_GB2312"/>
                <w:color w:val="auto"/>
                <w:sz w:val="24"/>
                <w:highlight w:val="none"/>
              </w:rPr>
            </w:pPr>
            <w:r>
              <w:rPr>
                <w:rFonts w:hint="eastAsia" w:ascii="楷体_GB2312" w:eastAsia="楷体_GB2312"/>
                <w:color w:val="auto"/>
                <w:sz w:val="24"/>
                <w:highlight w:val="none"/>
              </w:rPr>
              <w:t>干净、无明显灰尘、杂物</w:t>
            </w:r>
          </w:p>
        </w:tc>
      </w:tr>
      <w:tr w14:paraId="154ED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457" w:type="pct"/>
            <w:vMerge w:val="continue"/>
            <w:vAlign w:val="center"/>
          </w:tcPr>
          <w:p w14:paraId="3DF78FB8">
            <w:pPr>
              <w:jc w:val="center"/>
              <w:rPr>
                <w:rFonts w:ascii="楷体_GB2312" w:eastAsia="楷体_GB2312"/>
                <w:color w:val="auto"/>
                <w:sz w:val="24"/>
                <w:highlight w:val="none"/>
              </w:rPr>
            </w:pPr>
          </w:p>
        </w:tc>
        <w:tc>
          <w:tcPr>
            <w:tcW w:w="495" w:type="pct"/>
            <w:vAlign w:val="center"/>
          </w:tcPr>
          <w:p w14:paraId="0DD1C975">
            <w:pPr>
              <w:jc w:val="center"/>
              <w:rPr>
                <w:rFonts w:ascii="楷体_GB2312" w:eastAsia="楷体_GB2312"/>
                <w:color w:val="auto"/>
                <w:sz w:val="24"/>
                <w:highlight w:val="none"/>
              </w:rPr>
            </w:pPr>
            <w:r>
              <w:rPr>
                <w:rFonts w:hint="eastAsia" w:ascii="楷体_GB2312" w:eastAsia="楷体_GB2312"/>
                <w:color w:val="auto"/>
                <w:sz w:val="24"/>
                <w:highlight w:val="none"/>
              </w:rPr>
              <w:t>2</w:t>
            </w:r>
          </w:p>
        </w:tc>
        <w:tc>
          <w:tcPr>
            <w:tcW w:w="1450" w:type="pct"/>
            <w:vAlign w:val="center"/>
          </w:tcPr>
          <w:p w14:paraId="7E37AE7F">
            <w:pPr>
              <w:rPr>
                <w:rFonts w:ascii="楷体_GB2312" w:eastAsia="楷体_GB2312"/>
                <w:color w:val="auto"/>
                <w:sz w:val="24"/>
                <w:highlight w:val="none"/>
              </w:rPr>
            </w:pPr>
            <w:r>
              <w:rPr>
                <w:rFonts w:hint="eastAsia" w:ascii="楷体_GB2312" w:eastAsia="楷体_GB2312"/>
                <w:color w:val="auto"/>
                <w:sz w:val="24"/>
                <w:highlight w:val="none"/>
              </w:rPr>
              <w:t>拖洗电梯厅及走道</w:t>
            </w:r>
          </w:p>
        </w:tc>
        <w:tc>
          <w:tcPr>
            <w:tcW w:w="2596" w:type="pct"/>
            <w:vAlign w:val="center"/>
          </w:tcPr>
          <w:p w14:paraId="7CE92AB5">
            <w:pPr>
              <w:rPr>
                <w:rFonts w:ascii="楷体_GB2312" w:eastAsia="楷体_GB2312"/>
                <w:color w:val="auto"/>
                <w:sz w:val="24"/>
                <w:highlight w:val="none"/>
              </w:rPr>
            </w:pPr>
            <w:r>
              <w:rPr>
                <w:rFonts w:hint="eastAsia" w:ascii="楷体_GB2312" w:eastAsia="楷体_GB2312"/>
                <w:color w:val="auto"/>
                <w:sz w:val="24"/>
                <w:highlight w:val="none"/>
              </w:rPr>
              <w:t>干净、无明显灰尘、积水</w:t>
            </w:r>
          </w:p>
        </w:tc>
      </w:tr>
      <w:tr w14:paraId="5B0A0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57" w:type="pct"/>
            <w:vMerge w:val="continue"/>
            <w:vAlign w:val="center"/>
          </w:tcPr>
          <w:p w14:paraId="3E95AAD1">
            <w:pPr>
              <w:jc w:val="center"/>
              <w:rPr>
                <w:rFonts w:ascii="楷体_GB2312" w:eastAsia="楷体_GB2312"/>
                <w:color w:val="auto"/>
                <w:sz w:val="24"/>
                <w:highlight w:val="none"/>
              </w:rPr>
            </w:pPr>
          </w:p>
        </w:tc>
        <w:tc>
          <w:tcPr>
            <w:tcW w:w="495" w:type="pct"/>
            <w:vAlign w:val="center"/>
          </w:tcPr>
          <w:p w14:paraId="53C8B725">
            <w:pPr>
              <w:jc w:val="center"/>
              <w:rPr>
                <w:rFonts w:ascii="楷体_GB2312" w:eastAsia="楷体_GB2312"/>
                <w:color w:val="auto"/>
                <w:sz w:val="24"/>
                <w:highlight w:val="none"/>
              </w:rPr>
            </w:pPr>
            <w:r>
              <w:rPr>
                <w:rFonts w:hint="eastAsia" w:ascii="楷体_GB2312" w:eastAsia="楷体_GB2312"/>
                <w:color w:val="auto"/>
                <w:sz w:val="24"/>
                <w:highlight w:val="none"/>
              </w:rPr>
              <w:t>3</w:t>
            </w:r>
          </w:p>
        </w:tc>
        <w:tc>
          <w:tcPr>
            <w:tcW w:w="1450" w:type="pct"/>
            <w:vAlign w:val="center"/>
          </w:tcPr>
          <w:p w14:paraId="440E94AE">
            <w:pPr>
              <w:rPr>
                <w:rFonts w:ascii="楷体_GB2312" w:eastAsia="楷体_GB2312"/>
                <w:color w:val="auto"/>
                <w:sz w:val="24"/>
                <w:highlight w:val="none"/>
              </w:rPr>
            </w:pPr>
            <w:r>
              <w:rPr>
                <w:rFonts w:hint="eastAsia" w:ascii="楷体_GB2312" w:eastAsia="楷体_GB2312"/>
                <w:color w:val="auto"/>
                <w:sz w:val="24"/>
                <w:highlight w:val="none"/>
              </w:rPr>
              <w:t>擦扶手</w:t>
            </w:r>
          </w:p>
        </w:tc>
        <w:tc>
          <w:tcPr>
            <w:tcW w:w="2596" w:type="pct"/>
            <w:vAlign w:val="center"/>
          </w:tcPr>
          <w:p w14:paraId="0F55D4A8">
            <w:pPr>
              <w:rPr>
                <w:rFonts w:ascii="楷体_GB2312" w:eastAsia="楷体_GB2312"/>
                <w:color w:val="auto"/>
                <w:sz w:val="24"/>
                <w:highlight w:val="none"/>
              </w:rPr>
            </w:pPr>
            <w:r>
              <w:rPr>
                <w:rFonts w:hint="eastAsia" w:ascii="楷体_GB2312" w:eastAsia="楷体_GB2312"/>
                <w:color w:val="auto"/>
                <w:sz w:val="24"/>
                <w:highlight w:val="none"/>
              </w:rPr>
              <w:t>干净、无明显灰尘、杂物</w:t>
            </w:r>
          </w:p>
        </w:tc>
      </w:tr>
      <w:tr w14:paraId="4518C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457" w:type="pct"/>
            <w:vMerge w:val="continue"/>
            <w:vAlign w:val="center"/>
          </w:tcPr>
          <w:p w14:paraId="39EFDA1D">
            <w:pPr>
              <w:jc w:val="center"/>
              <w:rPr>
                <w:rFonts w:ascii="楷体_GB2312" w:eastAsia="楷体_GB2312"/>
                <w:color w:val="auto"/>
                <w:sz w:val="24"/>
                <w:highlight w:val="none"/>
              </w:rPr>
            </w:pPr>
          </w:p>
        </w:tc>
        <w:tc>
          <w:tcPr>
            <w:tcW w:w="495" w:type="pct"/>
            <w:vAlign w:val="center"/>
          </w:tcPr>
          <w:p w14:paraId="00432254">
            <w:pPr>
              <w:jc w:val="center"/>
              <w:rPr>
                <w:rFonts w:ascii="楷体_GB2312" w:eastAsia="楷体_GB2312"/>
                <w:color w:val="auto"/>
                <w:sz w:val="24"/>
                <w:highlight w:val="none"/>
              </w:rPr>
            </w:pPr>
            <w:r>
              <w:rPr>
                <w:rFonts w:hint="eastAsia" w:ascii="楷体_GB2312" w:eastAsia="楷体_GB2312"/>
                <w:color w:val="auto"/>
                <w:sz w:val="24"/>
                <w:highlight w:val="none"/>
              </w:rPr>
              <w:t>4</w:t>
            </w:r>
          </w:p>
        </w:tc>
        <w:tc>
          <w:tcPr>
            <w:tcW w:w="1450" w:type="pct"/>
            <w:vAlign w:val="center"/>
          </w:tcPr>
          <w:p w14:paraId="4DC27729">
            <w:pPr>
              <w:rPr>
                <w:rFonts w:ascii="楷体_GB2312" w:eastAsia="楷体_GB2312"/>
                <w:color w:val="auto"/>
                <w:sz w:val="24"/>
                <w:highlight w:val="none"/>
              </w:rPr>
            </w:pPr>
            <w:r>
              <w:rPr>
                <w:rFonts w:hint="eastAsia" w:ascii="楷体_GB2312" w:eastAsia="楷体_GB2312"/>
                <w:color w:val="auto"/>
                <w:sz w:val="24"/>
                <w:highlight w:val="none"/>
              </w:rPr>
              <w:t>清理蜘蛛网</w:t>
            </w:r>
          </w:p>
        </w:tc>
        <w:tc>
          <w:tcPr>
            <w:tcW w:w="2596" w:type="pct"/>
            <w:vAlign w:val="center"/>
          </w:tcPr>
          <w:p w14:paraId="7EC0BFB4">
            <w:pPr>
              <w:rPr>
                <w:rFonts w:ascii="楷体_GB2312" w:eastAsia="楷体_GB2312"/>
                <w:color w:val="auto"/>
                <w:sz w:val="24"/>
                <w:highlight w:val="none"/>
              </w:rPr>
            </w:pPr>
            <w:r>
              <w:rPr>
                <w:rFonts w:hint="eastAsia" w:ascii="楷体_GB2312" w:eastAsia="楷体_GB2312"/>
                <w:color w:val="auto"/>
                <w:sz w:val="24"/>
                <w:highlight w:val="none"/>
              </w:rPr>
              <w:t>无明显蜘蛛网</w:t>
            </w:r>
          </w:p>
        </w:tc>
      </w:tr>
      <w:tr w14:paraId="07F77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457" w:type="pct"/>
            <w:vMerge w:val="continue"/>
            <w:vAlign w:val="center"/>
          </w:tcPr>
          <w:p w14:paraId="3FB88F0B">
            <w:pPr>
              <w:jc w:val="center"/>
              <w:rPr>
                <w:rFonts w:ascii="楷体_GB2312" w:eastAsia="楷体_GB2312"/>
                <w:color w:val="auto"/>
                <w:sz w:val="24"/>
                <w:highlight w:val="none"/>
              </w:rPr>
            </w:pPr>
          </w:p>
        </w:tc>
        <w:tc>
          <w:tcPr>
            <w:tcW w:w="495" w:type="pct"/>
            <w:vAlign w:val="center"/>
          </w:tcPr>
          <w:p w14:paraId="507077FC">
            <w:pPr>
              <w:jc w:val="center"/>
              <w:rPr>
                <w:rFonts w:ascii="楷体_GB2312" w:eastAsia="楷体_GB2312"/>
                <w:color w:val="auto"/>
                <w:sz w:val="24"/>
                <w:highlight w:val="none"/>
              </w:rPr>
            </w:pPr>
            <w:r>
              <w:rPr>
                <w:rFonts w:hint="eastAsia" w:ascii="楷体_GB2312" w:eastAsia="楷体_GB2312"/>
                <w:color w:val="auto"/>
                <w:sz w:val="24"/>
                <w:highlight w:val="none"/>
              </w:rPr>
              <w:t>5</w:t>
            </w:r>
          </w:p>
        </w:tc>
        <w:tc>
          <w:tcPr>
            <w:tcW w:w="1450" w:type="pct"/>
            <w:vAlign w:val="center"/>
          </w:tcPr>
          <w:p w14:paraId="37180F5B">
            <w:pPr>
              <w:rPr>
                <w:rFonts w:ascii="楷体_GB2312" w:eastAsia="楷体_GB2312"/>
                <w:color w:val="auto"/>
                <w:sz w:val="24"/>
                <w:highlight w:val="none"/>
              </w:rPr>
            </w:pPr>
            <w:r>
              <w:rPr>
                <w:rFonts w:hint="eastAsia" w:ascii="楷体_GB2312" w:eastAsia="楷体_GB2312"/>
                <w:color w:val="auto"/>
                <w:sz w:val="24"/>
                <w:highlight w:val="none"/>
              </w:rPr>
              <w:t>擦防盗门</w:t>
            </w:r>
          </w:p>
        </w:tc>
        <w:tc>
          <w:tcPr>
            <w:tcW w:w="2596" w:type="pct"/>
            <w:vAlign w:val="center"/>
          </w:tcPr>
          <w:p w14:paraId="01EF0E91">
            <w:pPr>
              <w:rPr>
                <w:rFonts w:ascii="楷体_GB2312" w:eastAsia="楷体_GB2312"/>
                <w:color w:val="auto"/>
                <w:sz w:val="24"/>
                <w:highlight w:val="none"/>
              </w:rPr>
            </w:pPr>
            <w:r>
              <w:rPr>
                <w:rFonts w:hint="eastAsia" w:ascii="楷体_GB2312" w:eastAsia="楷体_GB2312"/>
                <w:color w:val="auto"/>
                <w:sz w:val="24"/>
                <w:highlight w:val="none"/>
              </w:rPr>
              <w:t>干净.无明显灰尘、污渍</w:t>
            </w:r>
          </w:p>
        </w:tc>
      </w:tr>
      <w:tr w14:paraId="61CAB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457" w:type="pct"/>
            <w:vMerge w:val="continue"/>
            <w:vAlign w:val="center"/>
          </w:tcPr>
          <w:p w14:paraId="519CA27D">
            <w:pPr>
              <w:jc w:val="center"/>
              <w:rPr>
                <w:rFonts w:ascii="楷体_GB2312" w:eastAsia="楷体_GB2312"/>
                <w:color w:val="auto"/>
                <w:sz w:val="24"/>
                <w:highlight w:val="none"/>
              </w:rPr>
            </w:pPr>
          </w:p>
        </w:tc>
        <w:tc>
          <w:tcPr>
            <w:tcW w:w="495" w:type="pct"/>
            <w:vAlign w:val="center"/>
          </w:tcPr>
          <w:p w14:paraId="6D873691">
            <w:pPr>
              <w:jc w:val="center"/>
              <w:rPr>
                <w:rFonts w:ascii="楷体_GB2312" w:eastAsia="楷体_GB2312"/>
                <w:color w:val="auto"/>
                <w:sz w:val="24"/>
                <w:highlight w:val="none"/>
              </w:rPr>
            </w:pPr>
            <w:r>
              <w:rPr>
                <w:rFonts w:hint="eastAsia" w:ascii="楷体_GB2312" w:eastAsia="楷体_GB2312"/>
                <w:color w:val="auto"/>
                <w:sz w:val="24"/>
                <w:highlight w:val="none"/>
              </w:rPr>
              <w:t>6</w:t>
            </w:r>
          </w:p>
        </w:tc>
        <w:tc>
          <w:tcPr>
            <w:tcW w:w="1450" w:type="pct"/>
            <w:vAlign w:val="center"/>
          </w:tcPr>
          <w:p w14:paraId="6C7F0ABA">
            <w:pPr>
              <w:rPr>
                <w:rFonts w:ascii="楷体_GB2312" w:eastAsia="楷体_GB2312"/>
                <w:color w:val="auto"/>
                <w:sz w:val="24"/>
                <w:highlight w:val="none"/>
              </w:rPr>
            </w:pPr>
            <w:r>
              <w:rPr>
                <w:rFonts w:hint="eastAsia" w:ascii="楷体_GB2312" w:eastAsia="楷体_GB2312"/>
                <w:color w:val="auto"/>
                <w:sz w:val="24"/>
                <w:highlight w:val="none"/>
              </w:rPr>
              <w:t>擦洗电梯层及墙壁</w:t>
            </w:r>
          </w:p>
        </w:tc>
        <w:tc>
          <w:tcPr>
            <w:tcW w:w="2596" w:type="pct"/>
            <w:vAlign w:val="center"/>
          </w:tcPr>
          <w:p w14:paraId="57714F3C">
            <w:pPr>
              <w:rPr>
                <w:rFonts w:ascii="楷体_GB2312" w:eastAsia="楷体_GB2312"/>
                <w:color w:val="auto"/>
                <w:sz w:val="24"/>
                <w:highlight w:val="none"/>
              </w:rPr>
            </w:pPr>
            <w:r>
              <w:rPr>
                <w:rFonts w:hint="eastAsia" w:ascii="楷体_GB2312" w:eastAsia="楷体_GB2312"/>
                <w:color w:val="auto"/>
                <w:sz w:val="24"/>
                <w:highlight w:val="none"/>
              </w:rPr>
              <w:t>干净、无明显灰尘</w:t>
            </w:r>
          </w:p>
        </w:tc>
      </w:tr>
      <w:tr w14:paraId="4E70E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457" w:type="pct"/>
            <w:vMerge w:val="continue"/>
            <w:vAlign w:val="center"/>
          </w:tcPr>
          <w:p w14:paraId="30873324">
            <w:pPr>
              <w:jc w:val="center"/>
              <w:rPr>
                <w:rFonts w:ascii="楷体_GB2312" w:eastAsia="楷体_GB2312"/>
                <w:color w:val="auto"/>
                <w:sz w:val="24"/>
                <w:highlight w:val="none"/>
              </w:rPr>
            </w:pPr>
          </w:p>
        </w:tc>
        <w:tc>
          <w:tcPr>
            <w:tcW w:w="495" w:type="pct"/>
            <w:vAlign w:val="center"/>
          </w:tcPr>
          <w:p w14:paraId="51D4FC29">
            <w:pPr>
              <w:jc w:val="center"/>
              <w:rPr>
                <w:rFonts w:ascii="楷体_GB2312" w:eastAsia="楷体_GB2312"/>
                <w:color w:val="auto"/>
                <w:sz w:val="24"/>
                <w:highlight w:val="none"/>
              </w:rPr>
            </w:pPr>
            <w:r>
              <w:rPr>
                <w:rFonts w:hint="eastAsia" w:ascii="楷体_GB2312" w:eastAsia="楷体_GB2312"/>
                <w:color w:val="auto"/>
                <w:sz w:val="24"/>
                <w:highlight w:val="none"/>
              </w:rPr>
              <w:t>7</w:t>
            </w:r>
          </w:p>
        </w:tc>
        <w:tc>
          <w:tcPr>
            <w:tcW w:w="1450" w:type="pct"/>
            <w:vAlign w:val="center"/>
          </w:tcPr>
          <w:p w14:paraId="79968A32">
            <w:pPr>
              <w:rPr>
                <w:rFonts w:ascii="楷体_GB2312" w:eastAsia="楷体_GB2312"/>
                <w:color w:val="auto"/>
                <w:sz w:val="24"/>
                <w:highlight w:val="none"/>
              </w:rPr>
            </w:pPr>
            <w:r>
              <w:rPr>
                <w:rFonts w:hint="eastAsia" w:ascii="楷体_GB2312" w:eastAsia="楷体_GB2312"/>
                <w:color w:val="auto"/>
                <w:sz w:val="24"/>
                <w:highlight w:val="none"/>
              </w:rPr>
              <w:t>擦楼层玻璃</w:t>
            </w:r>
          </w:p>
        </w:tc>
        <w:tc>
          <w:tcPr>
            <w:tcW w:w="2596" w:type="pct"/>
            <w:vAlign w:val="center"/>
          </w:tcPr>
          <w:p w14:paraId="455A1833">
            <w:pPr>
              <w:rPr>
                <w:rFonts w:ascii="楷体_GB2312" w:eastAsia="楷体_GB2312"/>
                <w:color w:val="auto"/>
                <w:sz w:val="24"/>
                <w:highlight w:val="none"/>
              </w:rPr>
            </w:pPr>
            <w:r>
              <w:rPr>
                <w:rFonts w:hint="eastAsia" w:ascii="楷体_GB2312" w:eastAsia="楷体_GB2312"/>
                <w:color w:val="auto"/>
                <w:sz w:val="24"/>
                <w:highlight w:val="none"/>
              </w:rPr>
              <w:t>无明显灰尘</w:t>
            </w:r>
          </w:p>
        </w:tc>
      </w:tr>
      <w:tr w14:paraId="5C81C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457" w:type="pct"/>
            <w:vMerge w:val="continue"/>
            <w:vAlign w:val="center"/>
          </w:tcPr>
          <w:p w14:paraId="50E138CB">
            <w:pPr>
              <w:jc w:val="center"/>
              <w:rPr>
                <w:rFonts w:ascii="楷体_GB2312" w:eastAsia="楷体_GB2312"/>
                <w:color w:val="auto"/>
                <w:sz w:val="24"/>
                <w:highlight w:val="none"/>
              </w:rPr>
            </w:pPr>
          </w:p>
        </w:tc>
        <w:tc>
          <w:tcPr>
            <w:tcW w:w="495" w:type="pct"/>
            <w:vAlign w:val="center"/>
          </w:tcPr>
          <w:p w14:paraId="0CE51C90">
            <w:pPr>
              <w:jc w:val="center"/>
              <w:rPr>
                <w:rFonts w:ascii="楷体_GB2312" w:eastAsia="楷体_GB2312"/>
                <w:color w:val="auto"/>
                <w:sz w:val="24"/>
                <w:highlight w:val="none"/>
              </w:rPr>
            </w:pPr>
            <w:r>
              <w:rPr>
                <w:rFonts w:hint="eastAsia" w:ascii="楷体_GB2312" w:eastAsia="楷体_GB2312"/>
                <w:color w:val="auto"/>
                <w:sz w:val="24"/>
                <w:highlight w:val="none"/>
              </w:rPr>
              <w:t>8</w:t>
            </w:r>
          </w:p>
        </w:tc>
        <w:tc>
          <w:tcPr>
            <w:tcW w:w="1450" w:type="pct"/>
            <w:vAlign w:val="center"/>
          </w:tcPr>
          <w:p w14:paraId="4D2B23A1">
            <w:pPr>
              <w:rPr>
                <w:rFonts w:ascii="楷体_GB2312" w:eastAsia="楷体_GB2312"/>
                <w:color w:val="auto"/>
                <w:sz w:val="24"/>
                <w:highlight w:val="none"/>
              </w:rPr>
            </w:pPr>
            <w:r>
              <w:rPr>
                <w:rFonts w:hint="eastAsia" w:ascii="楷体_GB2312" w:eastAsia="楷体_GB2312"/>
                <w:color w:val="auto"/>
                <w:sz w:val="24"/>
                <w:highlight w:val="none"/>
              </w:rPr>
              <w:t>擦风口</w:t>
            </w:r>
          </w:p>
        </w:tc>
        <w:tc>
          <w:tcPr>
            <w:tcW w:w="2596" w:type="pct"/>
            <w:vAlign w:val="center"/>
          </w:tcPr>
          <w:p w14:paraId="29FCD2C4">
            <w:pPr>
              <w:rPr>
                <w:rFonts w:ascii="楷体_GB2312" w:eastAsia="楷体_GB2312"/>
                <w:color w:val="auto"/>
                <w:sz w:val="24"/>
                <w:highlight w:val="none"/>
              </w:rPr>
            </w:pPr>
            <w:r>
              <w:rPr>
                <w:rFonts w:hint="eastAsia" w:ascii="楷体_GB2312" w:eastAsia="楷体_GB2312"/>
                <w:color w:val="auto"/>
                <w:sz w:val="24"/>
                <w:highlight w:val="none"/>
              </w:rPr>
              <w:t>干净、无明显灰尘</w:t>
            </w:r>
          </w:p>
        </w:tc>
      </w:tr>
      <w:tr w14:paraId="520F2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457" w:type="pct"/>
            <w:vMerge w:val="continue"/>
            <w:vAlign w:val="center"/>
          </w:tcPr>
          <w:p w14:paraId="1D232B16">
            <w:pPr>
              <w:jc w:val="center"/>
              <w:rPr>
                <w:rFonts w:ascii="楷体_GB2312" w:eastAsia="楷体_GB2312"/>
                <w:color w:val="auto"/>
                <w:sz w:val="24"/>
                <w:highlight w:val="none"/>
              </w:rPr>
            </w:pPr>
          </w:p>
        </w:tc>
        <w:tc>
          <w:tcPr>
            <w:tcW w:w="495" w:type="pct"/>
            <w:vAlign w:val="center"/>
          </w:tcPr>
          <w:p w14:paraId="3CD50BC2">
            <w:pPr>
              <w:jc w:val="center"/>
              <w:rPr>
                <w:rFonts w:ascii="楷体_GB2312" w:eastAsia="楷体_GB2312"/>
                <w:color w:val="auto"/>
                <w:sz w:val="24"/>
                <w:highlight w:val="none"/>
              </w:rPr>
            </w:pPr>
            <w:r>
              <w:rPr>
                <w:rFonts w:hint="eastAsia" w:ascii="楷体_GB2312" w:eastAsia="楷体_GB2312"/>
                <w:color w:val="auto"/>
                <w:sz w:val="24"/>
                <w:highlight w:val="none"/>
              </w:rPr>
              <w:t>9</w:t>
            </w:r>
          </w:p>
        </w:tc>
        <w:tc>
          <w:tcPr>
            <w:tcW w:w="1450" w:type="pct"/>
            <w:vAlign w:val="center"/>
          </w:tcPr>
          <w:p w14:paraId="3BFD3A0B">
            <w:pPr>
              <w:rPr>
                <w:rFonts w:ascii="楷体_GB2312" w:eastAsia="楷体_GB2312"/>
                <w:color w:val="auto"/>
                <w:sz w:val="24"/>
                <w:highlight w:val="none"/>
              </w:rPr>
            </w:pPr>
            <w:r>
              <w:rPr>
                <w:rFonts w:hint="eastAsia" w:ascii="楷体_GB2312" w:eastAsia="楷体_GB2312"/>
                <w:color w:val="auto"/>
                <w:sz w:val="24"/>
                <w:highlight w:val="none"/>
              </w:rPr>
              <w:t>擦消防设备及防火门</w:t>
            </w:r>
          </w:p>
        </w:tc>
        <w:tc>
          <w:tcPr>
            <w:tcW w:w="2596" w:type="pct"/>
            <w:vAlign w:val="center"/>
          </w:tcPr>
          <w:p w14:paraId="3087953A">
            <w:pPr>
              <w:rPr>
                <w:rFonts w:ascii="楷体_GB2312" w:eastAsia="楷体_GB2312"/>
                <w:color w:val="auto"/>
                <w:sz w:val="24"/>
                <w:highlight w:val="none"/>
              </w:rPr>
            </w:pPr>
            <w:r>
              <w:rPr>
                <w:rFonts w:hint="eastAsia" w:ascii="楷体_GB2312" w:eastAsia="楷体_GB2312"/>
                <w:color w:val="auto"/>
                <w:sz w:val="24"/>
                <w:highlight w:val="none"/>
              </w:rPr>
              <w:t>干净、无明显灰尘</w:t>
            </w:r>
          </w:p>
        </w:tc>
      </w:tr>
      <w:tr w14:paraId="04FA5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457" w:type="pct"/>
            <w:vMerge w:val="continue"/>
            <w:vAlign w:val="center"/>
          </w:tcPr>
          <w:p w14:paraId="758059FE">
            <w:pPr>
              <w:jc w:val="center"/>
              <w:rPr>
                <w:rFonts w:ascii="楷体_GB2312" w:eastAsia="楷体_GB2312"/>
                <w:color w:val="auto"/>
                <w:sz w:val="24"/>
                <w:highlight w:val="none"/>
              </w:rPr>
            </w:pPr>
          </w:p>
        </w:tc>
        <w:tc>
          <w:tcPr>
            <w:tcW w:w="495" w:type="pct"/>
            <w:vAlign w:val="center"/>
          </w:tcPr>
          <w:p w14:paraId="1770AEAA">
            <w:pPr>
              <w:jc w:val="center"/>
              <w:rPr>
                <w:rFonts w:ascii="楷体_GB2312" w:eastAsia="楷体_GB2312"/>
                <w:color w:val="auto"/>
                <w:sz w:val="24"/>
                <w:highlight w:val="none"/>
              </w:rPr>
            </w:pPr>
            <w:r>
              <w:rPr>
                <w:rFonts w:hint="eastAsia" w:ascii="楷体_GB2312" w:eastAsia="楷体_GB2312"/>
                <w:color w:val="auto"/>
                <w:sz w:val="24"/>
                <w:highlight w:val="none"/>
              </w:rPr>
              <w:t>10</w:t>
            </w:r>
          </w:p>
        </w:tc>
        <w:tc>
          <w:tcPr>
            <w:tcW w:w="1450" w:type="pct"/>
            <w:vAlign w:val="center"/>
          </w:tcPr>
          <w:p w14:paraId="6C5657D7">
            <w:pPr>
              <w:rPr>
                <w:rFonts w:ascii="楷体_GB2312" w:eastAsia="楷体_GB2312"/>
                <w:color w:val="auto"/>
                <w:sz w:val="24"/>
                <w:highlight w:val="none"/>
              </w:rPr>
            </w:pPr>
            <w:r>
              <w:rPr>
                <w:rFonts w:hint="eastAsia" w:ascii="楷体_GB2312" w:eastAsia="楷体_GB2312"/>
                <w:color w:val="auto"/>
                <w:sz w:val="24"/>
                <w:highlight w:val="none"/>
              </w:rPr>
              <w:t>擦铁片</w:t>
            </w:r>
          </w:p>
        </w:tc>
        <w:tc>
          <w:tcPr>
            <w:tcW w:w="2596" w:type="pct"/>
            <w:vAlign w:val="center"/>
          </w:tcPr>
          <w:p w14:paraId="1BCAEB41">
            <w:pPr>
              <w:rPr>
                <w:rFonts w:ascii="楷体_GB2312" w:eastAsia="楷体_GB2312"/>
                <w:color w:val="auto"/>
                <w:sz w:val="24"/>
                <w:highlight w:val="none"/>
              </w:rPr>
            </w:pPr>
            <w:r>
              <w:rPr>
                <w:rFonts w:hint="eastAsia" w:ascii="楷体_GB2312" w:eastAsia="楷体_GB2312"/>
                <w:color w:val="auto"/>
                <w:sz w:val="24"/>
                <w:highlight w:val="none"/>
              </w:rPr>
              <w:t>干净、无明显灰尘</w:t>
            </w:r>
          </w:p>
        </w:tc>
      </w:tr>
      <w:tr w14:paraId="0AE82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457" w:type="pct"/>
            <w:vMerge w:val="continue"/>
            <w:vAlign w:val="center"/>
          </w:tcPr>
          <w:p w14:paraId="06A8A724">
            <w:pPr>
              <w:jc w:val="center"/>
              <w:rPr>
                <w:rFonts w:ascii="楷体_GB2312" w:eastAsia="楷体_GB2312"/>
                <w:color w:val="auto"/>
                <w:sz w:val="24"/>
                <w:highlight w:val="none"/>
              </w:rPr>
            </w:pPr>
          </w:p>
        </w:tc>
        <w:tc>
          <w:tcPr>
            <w:tcW w:w="495" w:type="pct"/>
            <w:vAlign w:val="center"/>
          </w:tcPr>
          <w:p w14:paraId="0FABE3D8">
            <w:pPr>
              <w:jc w:val="center"/>
              <w:rPr>
                <w:rFonts w:ascii="楷体_GB2312" w:eastAsia="楷体_GB2312"/>
                <w:color w:val="auto"/>
                <w:sz w:val="24"/>
                <w:highlight w:val="none"/>
              </w:rPr>
            </w:pPr>
            <w:r>
              <w:rPr>
                <w:rFonts w:hint="eastAsia" w:ascii="楷体_GB2312" w:eastAsia="楷体_GB2312"/>
                <w:color w:val="auto"/>
                <w:sz w:val="24"/>
                <w:highlight w:val="none"/>
              </w:rPr>
              <w:t>11</w:t>
            </w:r>
          </w:p>
        </w:tc>
        <w:tc>
          <w:tcPr>
            <w:tcW w:w="1450" w:type="pct"/>
            <w:vAlign w:val="center"/>
          </w:tcPr>
          <w:p w14:paraId="59FF89CF">
            <w:pPr>
              <w:rPr>
                <w:rFonts w:ascii="楷体_GB2312" w:eastAsia="楷体_GB2312"/>
                <w:color w:val="auto"/>
                <w:sz w:val="24"/>
                <w:highlight w:val="none"/>
              </w:rPr>
            </w:pPr>
            <w:r>
              <w:rPr>
                <w:rFonts w:hint="eastAsia" w:ascii="楷体_GB2312" w:eastAsia="楷体_GB2312"/>
                <w:color w:val="auto"/>
                <w:sz w:val="24"/>
                <w:highlight w:val="none"/>
              </w:rPr>
              <w:t>清扫灯罩灰尘</w:t>
            </w:r>
          </w:p>
        </w:tc>
        <w:tc>
          <w:tcPr>
            <w:tcW w:w="2596" w:type="pct"/>
            <w:vAlign w:val="center"/>
          </w:tcPr>
          <w:p w14:paraId="0B6EF03F">
            <w:pPr>
              <w:rPr>
                <w:rFonts w:ascii="楷体_GB2312" w:eastAsia="楷体_GB2312"/>
                <w:color w:val="auto"/>
                <w:sz w:val="24"/>
                <w:highlight w:val="none"/>
              </w:rPr>
            </w:pPr>
            <w:r>
              <w:rPr>
                <w:rFonts w:hint="eastAsia" w:ascii="楷体_GB2312" w:eastAsia="楷体_GB2312"/>
                <w:color w:val="auto"/>
                <w:sz w:val="24"/>
                <w:highlight w:val="none"/>
              </w:rPr>
              <w:t>干净、无明显灰尘</w:t>
            </w:r>
          </w:p>
        </w:tc>
      </w:tr>
      <w:tr w14:paraId="1FE64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457" w:type="pct"/>
            <w:vMerge w:val="continue"/>
            <w:vAlign w:val="center"/>
          </w:tcPr>
          <w:p w14:paraId="04E89FC3">
            <w:pPr>
              <w:jc w:val="center"/>
              <w:rPr>
                <w:rFonts w:ascii="楷体_GB2312" w:eastAsia="楷体_GB2312"/>
                <w:color w:val="auto"/>
                <w:sz w:val="24"/>
                <w:highlight w:val="none"/>
              </w:rPr>
            </w:pPr>
          </w:p>
        </w:tc>
        <w:tc>
          <w:tcPr>
            <w:tcW w:w="495" w:type="pct"/>
            <w:vAlign w:val="center"/>
          </w:tcPr>
          <w:p w14:paraId="6443390E">
            <w:pPr>
              <w:jc w:val="center"/>
              <w:rPr>
                <w:rFonts w:ascii="楷体_GB2312" w:eastAsia="楷体_GB2312"/>
                <w:color w:val="auto"/>
                <w:sz w:val="24"/>
                <w:highlight w:val="none"/>
              </w:rPr>
            </w:pPr>
            <w:r>
              <w:rPr>
                <w:rFonts w:hint="eastAsia" w:ascii="楷体_GB2312" w:eastAsia="楷体_GB2312"/>
                <w:color w:val="auto"/>
                <w:sz w:val="24"/>
                <w:highlight w:val="none"/>
              </w:rPr>
              <w:t>11</w:t>
            </w:r>
          </w:p>
        </w:tc>
        <w:tc>
          <w:tcPr>
            <w:tcW w:w="1450" w:type="pct"/>
            <w:vAlign w:val="center"/>
          </w:tcPr>
          <w:p w14:paraId="6178C2D1">
            <w:pPr>
              <w:rPr>
                <w:rFonts w:ascii="楷体_GB2312" w:eastAsia="楷体_GB2312"/>
                <w:color w:val="auto"/>
                <w:sz w:val="24"/>
                <w:highlight w:val="none"/>
              </w:rPr>
            </w:pPr>
            <w:r>
              <w:rPr>
                <w:rFonts w:hint="eastAsia" w:ascii="楷体_GB2312" w:eastAsia="楷体_GB2312"/>
                <w:color w:val="auto"/>
                <w:sz w:val="24"/>
                <w:highlight w:val="none"/>
              </w:rPr>
              <w:t>擦开关面板</w:t>
            </w:r>
          </w:p>
        </w:tc>
        <w:tc>
          <w:tcPr>
            <w:tcW w:w="2596" w:type="pct"/>
            <w:vAlign w:val="center"/>
          </w:tcPr>
          <w:p w14:paraId="2C6ADA74">
            <w:pPr>
              <w:rPr>
                <w:rFonts w:ascii="楷体_GB2312" w:eastAsia="楷体_GB2312"/>
                <w:color w:val="auto"/>
                <w:sz w:val="24"/>
                <w:highlight w:val="none"/>
              </w:rPr>
            </w:pPr>
            <w:r>
              <w:rPr>
                <w:rFonts w:hint="eastAsia" w:ascii="楷体_GB2312" w:eastAsia="楷体_GB2312"/>
                <w:color w:val="auto"/>
                <w:sz w:val="24"/>
                <w:highlight w:val="none"/>
              </w:rPr>
              <w:t>干净、无明显灰尘</w:t>
            </w:r>
          </w:p>
        </w:tc>
      </w:tr>
      <w:tr w14:paraId="6CFA5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57" w:type="pct"/>
            <w:vAlign w:val="center"/>
          </w:tcPr>
          <w:p w14:paraId="559B9B1B">
            <w:pPr>
              <w:jc w:val="center"/>
              <w:rPr>
                <w:rFonts w:ascii="楷体_GB2312" w:eastAsia="楷体_GB2312"/>
                <w:color w:val="auto"/>
                <w:sz w:val="24"/>
                <w:highlight w:val="none"/>
              </w:rPr>
            </w:pPr>
            <w:r>
              <w:rPr>
                <w:rFonts w:hint="eastAsia" w:ascii="楷体_GB2312" w:eastAsia="楷体_GB2312"/>
                <w:color w:val="auto"/>
                <w:sz w:val="24"/>
                <w:highlight w:val="none"/>
              </w:rPr>
              <w:t>楼顶</w:t>
            </w:r>
          </w:p>
        </w:tc>
        <w:tc>
          <w:tcPr>
            <w:tcW w:w="495" w:type="pct"/>
            <w:vAlign w:val="center"/>
          </w:tcPr>
          <w:p w14:paraId="4E47E8A6">
            <w:pPr>
              <w:jc w:val="center"/>
              <w:rPr>
                <w:rFonts w:ascii="楷体_GB2312" w:eastAsia="楷体_GB2312"/>
                <w:color w:val="auto"/>
                <w:sz w:val="24"/>
                <w:highlight w:val="none"/>
              </w:rPr>
            </w:pPr>
            <w:r>
              <w:rPr>
                <w:rFonts w:hint="eastAsia" w:ascii="楷体_GB2312" w:eastAsia="楷体_GB2312"/>
                <w:color w:val="auto"/>
                <w:sz w:val="24"/>
                <w:highlight w:val="none"/>
              </w:rPr>
              <w:t>1</w:t>
            </w:r>
          </w:p>
        </w:tc>
        <w:tc>
          <w:tcPr>
            <w:tcW w:w="1450" w:type="pct"/>
            <w:vAlign w:val="center"/>
          </w:tcPr>
          <w:p w14:paraId="14815D0F">
            <w:pPr>
              <w:rPr>
                <w:rFonts w:ascii="楷体_GB2312" w:eastAsia="楷体_GB2312"/>
                <w:color w:val="auto"/>
                <w:sz w:val="24"/>
                <w:highlight w:val="none"/>
              </w:rPr>
            </w:pPr>
            <w:r>
              <w:rPr>
                <w:rFonts w:hint="eastAsia" w:ascii="楷体_GB2312" w:eastAsia="楷体_GB2312"/>
                <w:color w:val="auto"/>
                <w:sz w:val="24"/>
                <w:highlight w:val="none"/>
              </w:rPr>
              <w:t>清扫楼顶</w:t>
            </w:r>
          </w:p>
        </w:tc>
        <w:tc>
          <w:tcPr>
            <w:tcW w:w="2596" w:type="pct"/>
            <w:vAlign w:val="center"/>
          </w:tcPr>
          <w:p w14:paraId="374B834D">
            <w:pPr>
              <w:rPr>
                <w:rFonts w:ascii="楷体_GB2312" w:eastAsia="楷体_GB2312"/>
                <w:color w:val="auto"/>
                <w:sz w:val="24"/>
                <w:highlight w:val="none"/>
              </w:rPr>
            </w:pPr>
            <w:r>
              <w:rPr>
                <w:rFonts w:hint="eastAsia" w:ascii="楷体_GB2312" w:eastAsia="楷体_GB2312"/>
                <w:color w:val="auto"/>
                <w:sz w:val="24"/>
                <w:highlight w:val="none"/>
              </w:rPr>
              <w:t>干净整洁无明显杂物.地漏无堵</w:t>
            </w:r>
          </w:p>
        </w:tc>
      </w:tr>
      <w:tr w14:paraId="18B66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457" w:type="pct"/>
            <w:vMerge w:val="restart"/>
            <w:vAlign w:val="center"/>
          </w:tcPr>
          <w:p w14:paraId="1F0273A2">
            <w:pPr>
              <w:jc w:val="center"/>
              <w:rPr>
                <w:rFonts w:ascii="楷体_GB2312" w:eastAsia="楷体_GB2312"/>
                <w:color w:val="auto"/>
                <w:sz w:val="24"/>
                <w:highlight w:val="none"/>
              </w:rPr>
            </w:pPr>
            <w:r>
              <w:rPr>
                <w:rFonts w:hint="eastAsia" w:ascii="楷体_GB2312" w:eastAsia="楷体_GB2312"/>
                <w:color w:val="auto"/>
                <w:sz w:val="24"/>
                <w:highlight w:val="none"/>
              </w:rPr>
              <w:t>服</w:t>
            </w:r>
          </w:p>
          <w:p w14:paraId="201BA555">
            <w:pPr>
              <w:jc w:val="center"/>
              <w:rPr>
                <w:rFonts w:ascii="楷体_GB2312" w:eastAsia="楷体_GB2312"/>
                <w:color w:val="auto"/>
                <w:sz w:val="24"/>
                <w:highlight w:val="none"/>
              </w:rPr>
            </w:pPr>
            <w:r>
              <w:rPr>
                <w:rFonts w:hint="eastAsia" w:ascii="楷体_GB2312" w:eastAsia="楷体_GB2312"/>
                <w:color w:val="auto"/>
                <w:sz w:val="24"/>
                <w:highlight w:val="none"/>
              </w:rPr>
              <w:t>务</w:t>
            </w:r>
          </w:p>
          <w:p w14:paraId="4E105A1C">
            <w:pPr>
              <w:jc w:val="center"/>
              <w:rPr>
                <w:rFonts w:ascii="楷体_GB2312" w:eastAsia="楷体_GB2312"/>
                <w:color w:val="auto"/>
                <w:sz w:val="24"/>
                <w:highlight w:val="none"/>
              </w:rPr>
            </w:pPr>
            <w:r>
              <w:rPr>
                <w:rFonts w:hint="eastAsia" w:ascii="楷体_GB2312" w:eastAsia="楷体_GB2312"/>
                <w:color w:val="auto"/>
                <w:sz w:val="24"/>
                <w:highlight w:val="none"/>
              </w:rPr>
              <w:t>处</w:t>
            </w:r>
          </w:p>
        </w:tc>
        <w:tc>
          <w:tcPr>
            <w:tcW w:w="495" w:type="pct"/>
            <w:vAlign w:val="center"/>
          </w:tcPr>
          <w:p w14:paraId="539038AB">
            <w:pPr>
              <w:jc w:val="center"/>
              <w:rPr>
                <w:rFonts w:ascii="楷体_GB2312" w:eastAsia="楷体_GB2312"/>
                <w:color w:val="auto"/>
                <w:sz w:val="24"/>
                <w:highlight w:val="none"/>
              </w:rPr>
            </w:pPr>
            <w:r>
              <w:rPr>
                <w:rFonts w:hint="eastAsia" w:ascii="楷体_GB2312" w:eastAsia="楷体_GB2312"/>
                <w:color w:val="auto"/>
                <w:sz w:val="24"/>
                <w:highlight w:val="none"/>
              </w:rPr>
              <w:t>1</w:t>
            </w:r>
          </w:p>
        </w:tc>
        <w:tc>
          <w:tcPr>
            <w:tcW w:w="1450" w:type="pct"/>
            <w:vAlign w:val="center"/>
          </w:tcPr>
          <w:p w14:paraId="56166383">
            <w:pPr>
              <w:rPr>
                <w:rFonts w:ascii="楷体_GB2312" w:eastAsia="楷体_GB2312"/>
                <w:color w:val="auto"/>
                <w:sz w:val="24"/>
                <w:highlight w:val="none"/>
              </w:rPr>
            </w:pPr>
            <w:r>
              <w:rPr>
                <w:rFonts w:hint="eastAsia" w:ascii="楷体_GB2312" w:eastAsia="楷体_GB2312"/>
                <w:color w:val="auto"/>
                <w:sz w:val="24"/>
                <w:highlight w:val="none"/>
              </w:rPr>
              <w:t>打扫服务处</w:t>
            </w:r>
          </w:p>
        </w:tc>
        <w:tc>
          <w:tcPr>
            <w:tcW w:w="2596" w:type="pct"/>
            <w:vAlign w:val="center"/>
          </w:tcPr>
          <w:p w14:paraId="45808A10">
            <w:pPr>
              <w:rPr>
                <w:rFonts w:ascii="楷体_GB2312" w:eastAsia="楷体_GB2312"/>
                <w:color w:val="auto"/>
                <w:sz w:val="24"/>
                <w:highlight w:val="none"/>
              </w:rPr>
            </w:pPr>
            <w:r>
              <w:rPr>
                <w:rFonts w:hint="eastAsia" w:ascii="楷体_GB2312" w:eastAsia="楷体_GB2312"/>
                <w:color w:val="auto"/>
                <w:sz w:val="24"/>
                <w:highlight w:val="none"/>
              </w:rPr>
              <w:t>干净、整洁、无明显灰尘</w:t>
            </w:r>
          </w:p>
        </w:tc>
      </w:tr>
      <w:tr w14:paraId="611B3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57" w:type="pct"/>
            <w:vMerge w:val="continue"/>
            <w:vAlign w:val="center"/>
          </w:tcPr>
          <w:p w14:paraId="4F47229A">
            <w:pPr>
              <w:jc w:val="center"/>
              <w:rPr>
                <w:rFonts w:ascii="楷体_GB2312" w:eastAsia="楷体_GB2312"/>
                <w:color w:val="auto"/>
                <w:sz w:val="24"/>
                <w:highlight w:val="none"/>
              </w:rPr>
            </w:pPr>
          </w:p>
        </w:tc>
        <w:tc>
          <w:tcPr>
            <w:tcW w:w="495" w:type="pct"/>
            <w:vAlign w:val="center"/>
          </w:tcPr>
          <w:p w14:paraId="09D7E8B0">
            <w:pPr>
              <w:jc w:val="center"/>
              <w:rPr>
                <w:rFonts w:ascii="楷体_GB2312" w:eastAsia="楷体_GB2312"/>
                <w:color w:val="auto"/>
                <w:sz w:val="24"/>
                <w:highlight w:val="none"/>
              </w:rPr>
            </w:pPr>
            <w:r>
              <w:rPr>
                <w:rFonts w:hint="eastAsia" w:ascii="楷体_GB2312" w:eastAsia="楷体_GB2312"/>
                <w:color w:val="auto"/>
                <w:sz w:val="24"/>
                <w:highlight w:val="none"/>
              </w:rPr>
              <w:t>2</w:t>
            </w:r>
          </w:p>
        </w:tc>
        <w:tc>
          <w:tcPr>
            <w:tcW w:w="1450" w:type="pct"/>
            <w:vAlign w:val="center"/>
          </w:tcPr>
          <w:p w14:paraId="699F804F">
            <w:pPr>
              <w:rPr>
                <w:rFonts w:ascii="楷体_GB2312" w:eastAsia="楷体_GB2312"/>
                <w:color w:val="auto"/>
                <w:sz w:val="24"/>
                <w:highlight w:val="none"/>
              </w:rPr>
            </w:pPr>
            <w:r>
              <w:rPr>
                <w:rFonts w:hint="eastAsia" w:ascii="楷体_GB2312" w:eastAsia="楷体_GB2312"/>
                <w:color w:val="auto"/>
                <w:sz w:val="24"/>
                <w:highlight w:val="none"/>
              </w:rPr>
              <w:t>玻璃</w:t>
            </w:r>
          </w:p>
        </w:tc>
        <w:tc>
          <w:tcPr>
            <w:tcW w:w="2596" w:type="pct"/>
            <w:vAlign w:val="center"/>
          </w:tcPr>
          <w:p w14:paraId="796B9803">
            <w:pPr>
              <w:rPr>
                <w:rFonts w:ascii="楷体_GB2312" w:eastAsia="楷体_GB2312"/>
                <w:color w:val="auto"/>
                <w:sz w:val="24"/>
                <w:highlight w:val="none"/>
              </w:rPr>
            </w:pPr>
            <w:r>
              <w:rPr>
                <w:rFonts w:hint="eastAsia" w:ascii="楷体_GB2312" w:eastAsia="楷体_GB2312"/>
                <w:color w:val="auto"/>
                <w:sz w:val="24"/>
                <w:highlight w:val="none"/>
              </w:rPr>
              <w:t>干净、明亮</w:t>
            </w:r>
          </w:p>
        </w:tc>
      </w:tr>
      <w:tr w14:paraId="19998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57" w:type="pct"/>
            <w:vMerge w:val="continue"/>
            <w:vAlign w:val="center"/>
          </w:tcPr>
          <w:p w14:paraId="7CEC95DB">
            <w:pPr>
              <w:jc w:val="center"/>
              <w:rPr>
                <w:rFonts w:ascii="楷体_GB2312" w:eastAsia="楷体_GB2312"/>
                <w:color w:val="auto"/>
                <w:sz w:val="24"/>
                <w:highlight w:val="none"/>
              </w:rPr>
            </w:pPr>
          </w:p>
        </w:tc>
        <w:tc>
          <w:tcPr>
            <w:tcW w:w="495" w:type="pct"/>
            <w:vAlign w:val="center"/>
          </w:tcPr>
          <w:p w14:paraId="0CC508ED">
            <w:pPr>
              <w:jc w:val="center"/>
              <w:rPr>
                <w:rFonts w:ascii="楷体_GB2312" w:eastAsia="楷体_GB2312"/>
                <w:color w:val="auto"/>
                <w:sz w:val="24"/>
                <w:highlight w:val="none"/>
              </w:rPr>
            </w:pPr>
            <w:r>
              <w:rPr>
                <w:rFonts w:hint="eastAsia" w:ascii="楷体_GB2312" w:eastAsia="楷体_GB2312"/>
                <w:color w:val="auto"/>
                <w:sz w:val="24"/>
                <w:highlight w:val="none"/>
              </w:rPr>
              <w:t>3</w:t>
            </w:r>
          </w:p>
        </w:tc>
        <w:tc>
          <w:tcPr>
            <w:tcW w:w="1450" w:type="pct"/>
            <w:vAlign w:val="center"/>
          </w:tcPr>
          <w:p w14:paraId="13830B9C">
            <w:pPr>
              <w:rPr>
                <w:rFonts w:ascii="楷体_GB2312" w:eastAsia="楷体_GB2312"/>
                <w:color w:val="auto"/>
                <w:sz w:val="24"/>
                <w:highlight w:val="none"/>
              </w:rPr>
            </w:pPr>
            <w:r>
              <w:rPr>
                <w:rFonts w:hint="eastAsia" w:ascii="楷体_GB2312" w:eastAsia="楷体_GB2312"/>
                <w:color w:val="auto"/>
                <w:sz w:val="24"/>
                <w:highlight w:val="none"/>
              </w:rPr>
              <w:t>各类标示</w:t>
            </w:r>
          </w:p>
        </w:tc>
        <w:tc>
          <w:tcPr>
            <w:tcW w:w="2596" w:type="pct"/>
            <w:vAlign w:val="center"/>
          </w:tcPr>
          <w:p w14:paraId="086E5935">
            <w:pPr>
              <w:rPr>
                <w:rFonts w:ascii="楷体_GB2312" w:eastAsia="楷体_GB2312"/>
                <w:color w:val="auto"/>
                <w:sz w:val="24"/>
                <w:highlight w:val="none"/>
              </w:rPr>
            </w:pPr>
            <w:r>
              <w:rPr>
                <w:rFonts w:hint="eastAsia" w:ascii="楷体_GB2312" w:eastAsia="楷体_GB2312"/>
                <w:color w:val="auto"/>
                <w:sz w:val="24"/>
                <w:highlight w:val="none"/>
              </w:rPr>
              <w:t>干净、无明显灰尘</w:t>
            </w:r>
          </w:p>
        </w:tc>
      </w:tr>
      <w:tr w14:paraId="68D3F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57" w:type="pct"/>
            <w:vMerge w:val="restart"/>
            <w:vAlign w:val="center"/>
          </w:tcPr>
          <w:p w14:paraId="0C703D4D">
            <w:pPr>
              <w:jc w:val="center"/>
              <w:rPr>
                <w:rFonts w:ascii="楷体_GB2312" w:eastAsia="楷体_GB2312"/>
                <w:color w:val="auto"/>
                <w:sz w:val="24"/>
                <w:highlight w:val="none"/>
              </w:rPr>
            </w:pPr>
          </w:p>
          <w:p w14:paraId="57D725CA">
            <w:pPr>
              <w:jc w:val="center"/>
              <w:rPr>
                <w:rFonts w:ascii="楷体_GB2312" w:eastAsia="楷体_GB2312"/>
                <w:color w:val="auto"/>
                <w:sz w:val="24"/>
                <w:highlight w:val="none"/>
              </w:rPr>
            </w:pPr>
            <w:r>
              <w:rPr>
                <w:rFonts w:hint="eastAsia" w:ascii="楷体_GB2312" w:eastAsia="楷体_GB2312"/>
                <w:color w:val="auto"/>
                <w:sz w:val="24"/>
                <w:highlight w:val="none"/>
              </w:rPr>
              <w:t>外</w:t>
            </w:r>
          </w:p>
          <w:p w14:paraId="48902570">
            <w:pPr>
              <w:jc w:val="center"/>
              <w:rPr>
                <w:rFonts w:ascii="楷体_GB2312" w:eastAsia="楷体_GB2312"/>
                <w:color w:val="auto"/>
                <w:sz w:val="24"/>
                <w:highlight w:val="none"/>
              </w:rPr>
            </w:pPr>
            <w:r>
              <w:rPr>
                <w:rFonts w:hint="eastAsia" w:ascii="楷体_GB2312" w:eastAsia="楷体_GB2312"/>
                <w:color w:val="auto"/>
                <w:sz w:val="24"/>
                <w:highlight w:val="none"/>
              </w:rPr>
              <w:t>围</w:t>
            </w:r>
          </w:p>
          <w:p w14:paraId="6356A112">
            <w:pPr>
              <w:jc w:val="center"/>
              <w:rPr>
                <w:rFonts w:ascii="楷体_GB2312" w:eastAsia="楷体_GB2312"/>
                <w:color w:val="auto"/>
                <w:sz w:val="24"/>
                <w:highlight w:val="none"/>
              </w:rPr>
            </w:pPr>
            <w:r>
              <w:rPr>
                <w:rFonts w:hint="eastAsia" w:ascii="楷体_GB2312" w:eastAsia="楷体_GB2312"/>
                <w:color w:val="auto"/>
                <w:sz w:val="24"/>
                <w:highlight w:val="none"/>
              </w:rPr>
              <w:t>及</w:t>
            </w:r>
          </w:p>
          <w:p w14:paraId="46F8A50A">
            <w:pPr>
              <w:jc w:val="center"/>
              <w:rPr>
                <w:rFonts w:ascii="楷体_GB2312" w:eastAsia="楷体_GB2312"/>
                <w:color w:val="auto"/>
                <w:sz w:val="24"/>
                <w:highlight w:val="none"/>
              </w:rPr>
            </w:pPr>
            <w:r>
              <w:rPr>
                <w:rFonts w:hint="eastAsia" w:ascii="楷体_GB2312" w:eastAsia="楷体_GB2312"/>
                <w:color w:val="auto"/>
                <w:sz w:val="24"/>
                <w:highlight w:val="none"/>
              </w:rPr>
              <w:t>中</w:t>
            </w:r>
          </w:p>
          <w:p w14:paraId="473BE09D">
            <w:pPr>
              <w:jc w:val="center"/>
              <w:rPr>
                <w:rFonts w:ascii="楷体_GB2312" w:eastAsia="楷体_GB2312"/>
                <w:color w:val="auto"/>
                <w:sz w:val="24"/>
                <w:highlight w:val="none"/>
              </w:rPr>
            </w:pPr>
            <w:r>
              <w:rPr>
                <w:rFonts w:hint="eastAsia" w:ascii="楷体_GB2312" w:eastAsia="楷体_GB2312"/>
                <w:color w:val="auto"/>
                <w:sz w:val="24"/>
                <w:highlight w:val="none"/>
              </w:rPr>
              <w:t>庭</w:t>
            </w:r>
          </w:p>
        </w:tc>
        <w:tc>
          <w:tcPr>
            <w:tcW w:w="495" w:type="pct"/>
            <w:vAlign w:val="center"/>
          </w:tcPr>
          <w:p w14:paraId="26705AB5">
            <w:pPr>
              <w:jc w:val="center"/>
              <w:rPr>
                <w:rFonts w:ascii="楷体_GB2312" w:eastAsia="楷体_GB2312"/>
                <w:color w:val="auto"/>
                <w:sz w:val="24"/>
                <w:highlight w:val="none"/>
              </w:rPr>
            </w:pPr>
            <w:r>
              <w:rPr>
                <w:rFonts w:hint="eastAsia" w:ascii="楷体_GB2312" w:eastAsia="楷体_GB2312"/>
                <w:color w:val="auto"/>
                <w:sz w:val="24"/>
                <w:highlight w:val="none"/>
              </w:rPr>
              <w:t>1</w:t>
            </w:r>
          </w:p>
        </w:tc>
        <w:tc>
          <w:tcPr>
            <w:tcW w:w="1450" w:type="pct"/>
            <w:vAlign w:val="center"/>
          </w:tcPr>
          <w:p w14:paraId="5B475ED7">
            <w:pPr>
              <w:rPr>
                <w:rFonts w:ascii="楷体_GB2312" w:eastAsia="楷体_GB2312"/>
                <w:color w:val="auto"/>
                <w:sz w:val="24"/>
                <w:highlight w:val="none"/>
              </w:rPr>
            </w:pPr>
            <w:r>
              <w:rPr>
                <w:rFonts w:hint="eastAsia" w:ascii="楷体_GB2312" w:eastAsia="楷体_GB2312"/>
                <w:color w:val="auto"/>
                <w:sz w:val="24"/>
                <w:highlight w:val="none"/>
              </w:rPr>
              <w:t>清扫路面</w:t>
            </w:r>
          </w:p>
        </w:tc>
        <w:tc>
          <w:tcPr>
            <w:tcW w:w="2596" w:type="pct"/>
            <w:vAlign w:val="center"/>
          </w:tcPr>
          <w:p w14:paraId="4FCB2848">
            <w:pPr>
              <w:rPr>
                <w:rFonts w:ascii="楷体_GB2312" w:eastAsia="楷体_GB2312"/>
                <w:color w:val="auto"/>
                <w:sz w:val="24"/>
                <w:highlight w:val="none"/>
              </w:rPr>
            </w:pPr>
            <w:r>
              <w:rPr>
                <w:rFonts w:hint="eastAsia" w:ascii="楷体_GB2312" w:eastAsia="楷体_GB2312"/>
                <w:color w:val="auto"/>
                <w:sz w:val="24"/>
                <w:highlight w:val="none"/>
              </w:rPr>
              <w:t>干净、无明显杂物</w:t>
            </w:r>
          </w:p>
        </w:tc>
      </w:tr>
      <w:tr w14:paraId="3A40B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57" w:type="pct"/>
            <w:vMerge w:val="continue"/>
            <w:vAlign w:val="center"/>
          </w:tcPr>
          <w:p w14:paraId="5DC7FC08">
            <w:pPr>
              <w:jc w:val="center"/>
              <w:rPr>
                <w:rFonts w:ascii="楷体_GB2312" w:eastAsia="楷体_GB2312"/>
                <w:color w:val="auto"/>
                <w:sz w:val="24"/>
                <w:highlight w:val="none"/>
              </w:rPr>
            </w:pPr>
          </w:p>
        </w:tc>
        <w:tc>
          <w:tcPr>
            <w:tcW w:w="495" w:type="pct"/>
            <w:vAlign w:val="center"/>
          </w:tcPr>
          <w:p w14:paraId="7181B87A">
            <w:pPr>
              <w:jc w:val="center"/>
              <w:rPr>
                <w:rFonts w:ascii="楷体_GB2312" w:eastAsia="楷体_GB2312"/>
                <w:color w:val="auto"/>
                <w:sz w:val="24"/>
                <w:highlight w:val="none"/>
              </w:rPr>
            </w:pPr>
            <w:r>
              <w:rPr>
                <w:rFonts w:hint="eastAsia" w:ascii="楷体_GB2312" w:eastAsia="楷体_GB2312"/>
                <w:color w:val="auto"/>
                <w:sz w:val="24"/>
                <w:highlight w:val="none"/>
              </w:rPr>
              <w:t>2</w:t>
            </w:r>
          </w:p>
        </w:tc>
        <w:tc>
          <w:tcPr>
            <w:tcW w:w="1450" w:type="pct"/>
            <w:vAlign w:val="center"/>
          </w:tcPr>
          <w:p w14:paraId="5D16AB7E">
            <w:pPr>
              <w:rPr>
                <w:rFonts w:ascii="楷体_GB2312" w:eastAsia="楷体_GB2312"/>
                <w:color w:val="auto"/>
                <w:sz w:val="24"/>
                <w:highlight w:val="none"/>
              </w:rPr>
            </w:pPr>
            <w:r>
              <w:rPr>
                <w:rFonts w:hint="eastAsia" w:ascii="楷体_GB2312" w:eastAsia="楷体_GB2312"/>
                <w:color w:val="auto"/>
                <w:sz w:val="24"/>
                <w:highlight w:val="none"/>
              </w:rPr>
              <w:t>清理垃圾桶</w:t>
            </w:r>
          </w:p>
        </w:tc>
        <w:tc>
          <w:tcPr>
            <w:tcW w:w="2596" w:type="pct"/>
            <w:vAlign w:val="center"/>
          </w:tcPr>
          <w:p w14:paraId="7901EF6C">
            <w:pPr>
              <w:rPr>
                <w:rFonts w:ascii="楷体_GB2312" w:eastAsia="楷体_GB2312"/>
                <w:color w:val="auto"/>
                <w:sz w:val="24"/>
                <w:highlight w:val="none"/>
              </w:rPr>
            </w:pPr>
            <w:r>
              <w:rPr>
                <w:rFonts w:hint="eastAsia" w:ascii="楷体_GB2312" w:eastAsia="楷体_GB2312"/>
                <w:color w:val="auto"/>
                <w:sz w:val="24"/>
                <w:highlight w:val="none"/>
              </w:rPr>
              <w:t>干净、无明显满溢</w:t>
            </w:r>
          </w:p>
        </w:tc>
      </w:tr>
      <w:tr w14:paraId="16FF0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57" w:type="pct"/>
            <w:vMerge w:val="continue"/>
            <w:vAlign w:val="center"/>
          </w:tcPr>
          <w:p w14:paraId="2057A3BE">
            <w:pPr>
              <w:jc w:val="center"/>
              <w:rPr>
                <w:rFonts w:ascii="楷体_GB2312" w:eastAsia="楷体_GB2312"/>
                <w:color w:val="auto"/>
                <w:sz w:val="24"/>
                <w:highlight w:val="none"/>
              </w:rPr>
            </w:pPr>
          </w:p>
        </w:tc>
        <w:tc>
          <w:tcPr>
            <w:tcW w:w="495" w:type="pct"/>
            <w:vAlign w:val="center"/>
          </w:tcPr>
          <w:p w14:paraId="43C57A68">
            <w:pPr>
              <w:jc w:val="center"/>
              <w:rPr>
                <w:rFonts w:ascii="楷体_GB2312" w:eastAsia="楷体_GB2312"/>
                <w:color w:val="auto"/>
                <w:sz w:val="24"/>
                <w:highlight w:val="none"/>
              </w:rPr>
            </w:pPr>
            <w:r>
              <w:rPr>
                <w:rFonts w:hint="eastAsia" w:ascii="楷体_GB2312" w:eastAsia="楷体_GB2312"/>
                <w:color w:val="auto"/>
                <w:sz w:val="24"/>
                <w:highlight w:val="none"/>
              </w:rPr>
              <w:t>3</w:t>
            </w:r>
          </w:p>
        </w:tc>
        <w:tc>
          <w:tcPr>
            <w:tcW w:w="1450" w:type="pct"/>
            <w:vAlign w:val="center"/>
          </w:tcPr>
          <w:p w14:paraId="5EC851BD">
            <w:pPr>
              <w:rPr>
                <w:rFonts w:ascii="楷体_GB2312" w:eastAsia="楷体_GB2312"/>
                <w:color w:val="auto"/>
                <w:sz w:val="24"/>
                <w:highlight w:val="none"/>
              </w:rPr>
            </w:pPr>
            <w:r>
              <w:rPr>
                <w:rFonts w:hint="eastAsia" w:ascii="楷体_GB2312" w:eastAsia="楷体_GB2312"/>
                <w:color w:val="auto"/>
                <w:sz w:val="24"/>
                <w:highlight w:val="none"/>
              </w:rPr>
              <w:t>擦拭垃圾桶</w:t>
            </w:r>
          </w:p>
        </w:tc>
        <w:tc>
          <w:tcPr>
            <w:tcW w:w="2596" w:type="pct"/>
            <w:vAlign w:val="center"/>
          </w:tcPr>
          <w:p w14:paraId="2BDAEC56">
            <w:pPr>
              <w:rPr>
                <w:rFonts w:ascii="楷体_GB2312" w:eastAsia="楷体_GB2312"/>
                <w:color w:val="auto"/>
                <w:sz w:val="24"/>
                <w:highlight w:val="none"/>
              </w:rPr>
            </w:pPr>
            <w:r>
              <w:rPr>
                <w:rFonts w:hint="eastAsia" w:ascii="楷体_GB2312" w:eastAsia="楷体_GB2312"/>
                <w:color w:val="auto"/>
                <w:sz w:val="24"/>
                <w:highlight w:val="none"/>
              </w:rPr>
              <w:t>无明显灰尘</w:t>
            </w:r>
          </w:p>
        </w:tc>
      </w:tr>
      <w:tr w14:paraId="123B1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57" w:type="pct"/>
            <w:vMerge w:val="continue"/>
            <w:vAlign w:val="center"/>
          </w:tcPr>
          <w:p w14:paraId="2D6EA441">
            <w:pPr>
              <w:jc w:val="center"/>
              <w:rPr>
                <w:rFonts w:ascii="楷体_GB2312" w:eastAsia="楷体_GB2312"/>
                <w:color w:val="auto"/>
                <w:sz w:val="24"/>
                <w:highlight w:val="none"/>
              </w:rPr>
            </w:pPr>
          </w:p>
        </w:tc>
        <w:tc>
          <w:tcPr>
            <w:tcW w:w="495" w:type="pct"/>
            <w:vAlign w:val="center"/>
          </w:tcPr>
          <w:p w14:paraId="3652EB79">
            <w:pPr>
              <w:jc w:val="center"/>
              <w:rPr>
                <w:rFonts w:ascii="楷体_GB2312" w:eastAsia="楷体_GB2312"/>
                <w:color w:val="auto"/>
                <w:sz w:val="24"/>
                <w:highlight w:val="none"/>
              </w:rPr>
            </w:pPr>
            <w:r>
              <w:rPr>
                <w:rFonts w:hint="eastAsia" w:ascii="楷体_GB2312" w:eastAsia="楷体_GB2312"/>
                <w:color w:val="auto"/>
                <w:sz w:val="24"/>
                <w:highlight w:val="none"/>
              </w:rPr>
              <w:t>4</w:t>
            </w:r>
          </w:p>
        </w:tc>
        <w:tc>
          <w:tcPr>
            <w:tcW w:w="1450" w:type="pct"/>
            <w:vAlign w:val="center"/>
          </w:tcPr>
          <w:p w14:paraId="0971A986">
            <w:pPr>
              <w:rPr>
                <w:rFonts w:ascii="楷体_GB2312" w:eastAsia="楷体_GB2312"/>
                <w:color w:val="auto"/>
                <w:sz w:val="24"/>
                <w:highlight w:val="none"/>
              </w:rPr>
            </w:pPr>
            <w:r>
              <w:rPr>
                <w:rFonts w:hint="eastAsia" w:ascii="楷体_GB2312" w:eastAsia="楷体_GB2312"/>
                <w:color w:val="auto"/>
                <w:sz w:val="24"/>
                <w:highlight w:val="none"/>
              </w:rPr>
              <w:t>擦洗各种标志</w:t>
            </w:r>
          </w:p>
        </w:tc>
        <w:tc>
          <w:tcPr>
            <w:tcW w:w="2596" w:type="pct"/>
            <w:vAlign w:val="center"/>
          </w:tcPr>
          <w:p w14:paraId="14569ED2">
            <w:pPr>
              <w:rPr>
                <w:rFonts w:ascii="楷体_GB2312" w:eastAsia="楷体_GB2312"/>
                <w:color w:val="auto"/>
                <w:sz w:val="24"/>
                <w:highlight w:val="none"/>
              </w:rPr>
            </w:pPr>
            <w:r>
              <w:rPr>
                <w:rFonts w:hint="eastAsia" w:ascii="楷体_GB2312" w:eastAsia="楷体_GB2312"/>
                <w:color w:val="auto"/>
                <w:sz w:val="24"/>
                <w:highlight w:val="none"/>
              </w:rPr>
              <w:t>无明显灰尘</w:t>
            </w:r>
          </w:p>
        </w:tc>
      </w:tr>
      <w:tr w14:paraId="7ED35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57" w:type="pct"/>
            <w:vMerge w:val="continue"/>
            <w:vAlign w:val="center"/>
          </w:tcPr>
          <w:p w14:paraId="39A7DD2C">
            <w:pPr>
              <w:jc w:val="center"/>
              <w:rPr>
                <w:rFonts w:ascii="楷体_GB2312" w:eastAsia="楷体_GB2312"/>
                <w:color w:val="auto"/>
                <w:sz w:val="24"/>
                <w:highlight w:val="none"/>
              </w:rPr>
            </w:pPr>
          </w:p>
        </w:tc>
        <w:tc>
          <w:tcPr>
            <w:tcW w:w="495" w:type="pct"/>
            <w:vAlign w:val="center"/>
          </w:tcPr>
          <w:p w14:paraId="30FDCE14">
            <w:pPr>
              <w:jc w:val="center"/>
              <w:rPr>
                <w:rFonts w:ascii="楷体_GB2312" w:eastAsia="楷体_GB2312"/>
                <w:color w:val="auto"/>
                <w:sz w:val="24"/>
                <w:highlight w:val="none"/>
              </w:rPr>
            </w:pPr>
            <w:r>
              <w:rPr>
                <w:rFonts w:hint="eastAsia" w:ascii="楷体_GB2312" w:eastAsia="楷体_GB2312"/>
                <w:color w:val="auto"/>
                <w:sz w:val="24"/>
                <w:highlight w:val="none"/>
              </w:rPr>
              <w:t>5</w:t>
            </w:r>
          </w:p>
        </w:tc>
        <w:tc>
          <w:tcPr>
            <w:tcW w:w="1450" w:type="pct"/>
            <w:vAlign w:val="center"/>
          </w:tcPr>
          <w:p w14:paraId="61E24A36">
            <w:pPr>
              <w:rPr>
                <w:rFonts w:ascii="楷体_GB2312" w:eastAsia="楷体_GB2312"/>
                <w:color w:val="auto"/>
                <w:sz w:val="24"/>
                <w:highlight w:val="none"/>
              </w:rPr>
            </w:pPr>
            <w:r>
              <w:rPr>
                <w:rFonts w:hint="eastAsia" w:ascii="楷体_GB2312" w:eastAsia="楷体_GB2312"/>
                <w:color w:val="auto"/>
                <w:sz w:val="24"/>
                <w:highlight w:val="none"/>
              </w:rPr>
              <w:t>擦休闲座椅</w:t>
            </w:r>
          </w:p>
        </w:tc>
        <w:tc>
          <w:tcPr>
            <w:tcW w:w="2596" w:type="pct"/>
            <w:vAlign w:val="center"/>
          </w:tcPr>
          <w:p w14:paraId="3F53C3C7">
            <w:pPr>
              <w:rPr>
                <w:rFonts w:ascii="楷体_GB2312" w:eastAsia="楷体_GB2312"/>
                <w:color w:val="auto"/>
                <w:sz w:val="24"/>
                <w:highlight w:val="none"/>
              </w:rPr>
            </w:pPr>
            <w:r>
              <w:rPr>
                <w:rFonts w:hint="eastAsia" w:ascii="楷体_GB2312" w:eastAsia="楷体_GB2312"/>
                <w:color w:val="auto"/>
                <w:sz w:val="24"/>
                <w:highlight w:val="none"/>
              </w:rPr>
              <w:t>无污染物、无明显灰尘</w:t>
            </w:r>
          </w:p>
        </w:tc>
      </w:tr>
      <w:tr w14:paraId="57937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57" w:type="pct"/>
            <w:vMerge w:val="continue"/>
            <w:vAlign w:val="center"/>
          </w:tcPr>
          <w:p w14:paraId="70E0092A">
            <w:pPr>
              <w:jc w:val="center"/>
              <w:rPr>
                <w:rFonts w:ascii="楷体_GB2312" w:eastAsia="楷体_GB2312"/>
                <w:color w:val="auto"/>
                <w:sz w:val="24"/>
                <w:highlight w:val="none"/>
              </w:rPr>
            </w:pPr>
          </w:p>
        </w:tc>
        <w:tc>
          <w:tcPr>
            <w:tcW w:w="495" w:type="pct"/>
            <w:vAlign w:val="center"/>
          </w:tcPr>
          <w:p w14:paraId="6B0A88C7">
            <w:pPr>
              <w:jc w:val="center"/>
              <w:rPr>
                <w:rFonts w:ascii="楷体_GB2312" w:eastAsia="楷体_GB2312"/>
                <w:color w:val="auto"/>
                <w:sz w:val="24"/>
                <w:highlight w:val="none"/>
              </w:rPr>
            </w:pPr>
            <w:r>
              <w:rPr>
                <w:rFonts w:hint="eastAsia" w:ascii="楷体_GB2312" w:eastAsia="楷体_GB2312"/>
                <w:color w:val="auto"/>
                <w:sz w:val="24"/>
                <w:highlight w:val="none"/>
              </w:rPr>
              <w:t>6</w:t>
            </w:r>
          </w:p>
        </w:tc>
        <w:tc>
          <w:tcPr>
            <w:tcW w:w="1450" w:type="pct"/>
            <w:vAlign w:val="center"/>
          </w:tcPr>
          <w:p w14:paraId="78555EC7">
            <w:pPr>
              <w:rPr>
                <w:rFonts w:ascii="楷体_GB2312" w:eastAsia="楷体_GB2312"/>
                <w:color w:val="auto"/>
                <w:sz w:val="24"/>
                <w:highlight w:val="none"/>
              </w:rPr>
            </w:pPr>
            <w:r>
              <w:rPr>
                <w:rFonts w:hint="eastAsia" w:ascii="楷体_GB2312" w:eastAsia="楷体_GB2312"/>
                <w:color w:val="auto"/>
                <w:sz w:val="24"/>
                <w:highlight w:val="none"/>
              </w:rPr>
              <w:t>清扫绿化带白色垃圾</w:t>
            </w:r>
          </w:p>
        </w:tc>
        <w:tc>
          <w:tcPr>
            <w:tcW w:w="2596" w:type="pct"/>
            <w:vAlign w:val="center"/>
          </w:tcPr>
          <w:p w14:paraId="19596660">
            <w:pPr>
              <w:rPr>
                <w:rFonts w:ascii="楷体_GB2312" w:eastAsia="楷体_GB2312"/>
                <w:color w:val="auto"/>
                <w:sz w:val="24"/>
                <w:highlight w:val="none"/>
              </w:rPr>
            </w:pPr>
            <w:r>
              <w:rPr>
                <w:rFonts w:hint="eastAsia" w:ascii="楷体_GB2312" w:eastAsia="楷体_GB2312"/>
                <w:color w:val="auto"/>
                <w:sz w:val="24"/>
                <w:highlight w:val="none"/>
              </w:rPr>
              <w:t>无明显白色垃圾、无明显杂物</w:t>
            </w:r>
          </w:p>
        </w:tc>
      </w:tr>
      <w:tr w14:paraId="10E1D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57" w:type="pct"/>
            <w:vMerge w:val="continue"/>
            <w:vAlign w:val="center"/>
          </w:tcPr>
          <w:p w14:paraId="5563E39F">
            <w:pPr>
              <w:jc w:val="center"/>
              <w:rPr>
                <w:rFonts w:ascii="楷体_GB2312" w:eastAsia="楷体_GB2312"/>
                <w:color w:val="auto"/>
                <w:sz w:val="24"/>
                <w:highlight w:val="none"/>
              </w:rPr>
            </w:pPr>
          </w:p>
        </w:tc>
        <w:tc>
          <w:tcPr>
            <w:tcW w:w="495" w:type="pct"/>
            <w:vAlign w:val="center"/>
          </w:tcPr>
          <w:p w14:paraId="7E8F4E12">
            <w:pPr>
              <w:jc w:val="center"/>
              <w:rPr>
                <w:rFonts w:ascii="楷体_GB2312" w:eastAsia="楷体_GB2312"/>
                <w:color w:val="auto"/>
                <w:sz w:val="24"/>
                <w:highlight w:val="none"/>
              </w:rPr>
            </w:pPr>
            <w:r>
              <w:rPr>
                <w:rFonts w:hint="eastAsia" w:ascii="楷体_GB2312" w:eastAsia="楷体_GB2312"/>
                <w:color w:val="auto"/>
                <w:sz w:val="24"/>
                <w:highlight w:val="none"/>
              </w:rPr>
              <w:t>7</w:t>
            </w:r>
          </w:p>
        </w:tc>
        <w:tc>
          <w:tcPr>
            <w:tcW w:w="1450" w:type="pct"/>
            <w:vAlign w:val="center"/>
          </w:tcPr>
          <w:p w14:paraId="36D18C11">
            <w:pPr>
              <w:rPr>
                <w:rFonts w:ascii="楷体_GB2312" w:eastAsia="楷体_GB2312"/>
                <w:color w:val="auto"/>
                <w:sz w:val="24"/>
                <w:highlight w:val="none"/>
              </w:rPr>
            </w:pPr>
            <w:r>
              <w:rPr>
                <w:rFonts w:hint="eastAsia" w:ascii="楷体_GB2312" w:eastAsia="楷体_GB2312"/>
                <w:color w:val="auto"/>
                <w:sz w:val="24"/>
                <w:highlight w:val="none"/>
              </w:rPr>
              <w:t>冲洗外围地面及中庭</w:t>
            </w:r>
          </w:p>
        </w:tc>
        <w:tc>
          <w:tcPr>
            <w:tcW w:w="2596" w:type="pct"/>
            <w:vAlign w:val="center"/>
          </w:tcPr>
          <w:p w14:paraId="156539E5">
            <w:pPr>
              <w:rPr>
                <w:rFonts w:ascii="楷体_GB2312" w:eastAsia="楷体_GB2312"/>
                <w:color w:val="auto"/>
                <w:sz w:val="24"/>
                <w:highlight w:val="none"/>
              </w:rPr>
            </w:pPr>
            <w:r>
              <w:rPr>
                <w:rFonts w:hint="eastAsia" w:ascii="楷体_GB2312" w:eastAsia="楷体_GB2312"/>
                <w:color w:val="auto"/>
                <w:sz w:val="24"/>
                <w:highlight w:val="none"/>
              </w:rPr>
              <w:t>干净、无明显污染物</w:t>
            </w:r>
          </w:p>
        </w:tc>
      </w:tr>
      <w:tr w14:paraId="73A1E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57" w:type="pct"/>
            <w:vMerge w:val="continue"/>
            <w:vAlign w:val="center"/>
          </w:tcPr>
          <w:p w14:paraId="3B8DD5E1">
            <w:pPr>
              <w:jc w:val="center"/>
              <w:rPr>
                <w:rFonts w:ascii="楷体_GB2312" w:eastAsia="楷体_GB2312"/>
                <w:color w:val="auto"/>
                <w:sz w:val="24"/>
                <w:highlight w:val="none"/>
              </w:rPr>
            </w:pPr>
          </w:p>
        </w:tc>
        <w:tc>
          <w:tcPr>
            <w:tcW w:w="495" w:type="pct"/>
            <w:vAlign w:val="center"/>
          </w:tcPr>
          <w:p w14:paraId="649B62C8">
            <w:pPr>
              <w:jc w:val="center"/>
              <w:rPr>
                <w:rFonts w:ascii="楷体_GB2312" w:eastAsia="楷体_GB2312"/>
                <w:color w:val="auto"/>
                <w:sz w:val="24"/>
                <w:highlight w:val="none"/>
              </w:rPr>
            </w:pPr>
            <w:r>
              <w:rPr>
                <w:rFonts w:hint="eastAsia" w:ascii="楷体_GB2312" w:eastAsia="楷体_GB2312"/>
                <w:color w:val="auto"/>
                <w:sz w:val="24"/>
                <w:highlight w:val="none"/>
              </w:rPr>
              <w:t>8</w:t>
            </w:r>
          </w:p>
        </w:tc>
        <w:tc>
          <w:tcPr>
            <w:tcW w:w="1450" w:type="pct"/>
            <w:vAlign w:val="center"/>
          </w:tcPr>
          <w:p w14:paraId="1650D465">
            <w:pPr>
              <w:rPr>
                <w:rFonts w:ascii="楷体_GB2312" w:eastAsia="楷体_GB2312"/>
                <w:color w:val="auto"/>
                <w:sz w:val="24"/>
                <w:highlight w:val="none"/>
              </w:rPr>
            </w:pPr>
            <w:r>
              <w:rPr>
                <w:rFonts w:hint="eastAsia" w:ascii="楷体_GB2312" w:eastAsia="楷体_GB2312"/>
                <w:color w:val="auto"/>
                <w:sz w:val="24"/>
                <w:highlight w:val="none"/>
              </w:rPr>
              <w:t>擦洗外围物业标示</w:t>
            </w:r>
          </w:p>
        </w:tc>
        <w:tc>
          <w:tcPr>
            <w:tcW w:w="2596" w:type="pct"/>
            <w:vAlign w:val="center"/>
          </w:tcPr>
          <w:p w14:paraId="1EB48E10">
            <w:pPr>
              <w:rPr>
                <w:rFonts w:ascii="楷体_GB2312" w:eastAsia="楷体_GB2312"/>
                <w:color w:val="auto"/>
                <w:sz w:val="24"/>
                <w:highlight w:val="none"/>
              </w:rPr>
            </w:pPr>
            <w:r>
              <w:rPr>
                <w:rFonts w:hint="eastAsia" w:ascii="楷体_GB2312" w:eastAsia="楷体_GB2312"/>
                <w:color w:val="auto"/>
                <w:sz w:val="24"/>
                <w:highlight w:val="none"/>
              </w:rPr>
              <w:t>干净、无明显灰尘、无明显污染物</w:t>
            </w:r>
          </w:p>
        </w:tc>
      </w:tr>
      <w:tr w14:paraId="42493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57" w:type="pct"/>
            <w:vMerge w:val="continue"/>
            <w:vAlign w:val="center"/>
          </w:tcPr>
          <w:p w14:paraId="31F66F75">
            <w:pPr>
              <w:jc w:val="center"/>
              <w:rPr>
                <w:rFonts w:ascii="楷体_GB2312" w:eastAsia="楷体_GB2312"/>
                <w:color w:val="auto"/>
                <w:sz w:val="24"/>
                <w:highlight w:val="none"/>
              </w:rPr>
            </w:pPr>
          </w:p>
        </w:tc>
        <w:tc>
          <w:tcPr>
            <w:tcW w:w="495" w:type="pct"/>
            <w:vAlign w:val="center"/>
          </w:tcPr>
          <w:p w14:paraId="5C349620">
            <w:pPr>
              <w:jc w:val="center"/>
              <w:rPr>
                <w:rFonts w:ascii="楷体_GB2312" w:eastAsia="楷体_GB2312"/>
                <w:color w:val="auto"/>
                <w:sz w:val="24"/>
                <w:highlight w:val="none"/>
              </w:rPr>
            </w:pPr>
            <w:r>
              <w:rPr>
                <w:rFonts w:hint="eastAsia" w:ascii="楷体_GB2312" w:eastAsia="楷体_GB2312"/>
                <w:color w:val="auto"/>
                <w:sz w:val="24"/>
                <w:highlight w:val="none"/>
              </w:rPr>
              <w:t>9</w:t>
            </w:r>
          </w:p>
        </w:tc>
        <w:tc>
          <w:tcPr>
            <w:tcW w:w="1450" w:type="pct"/>
            <w:vAlign w:val="center"/>
          </w:tcPr>
          <w:p w14:paraId="076E1B64">
            <w:pPr>
              <w:rPr>
                <w:rFonts w:ascii="楷体_GB2312" w:eastAsia="楷体_GB2312"/>
                <w:color w:val="auto"/>
                <w:sz w:val="24"/>
                <w:highlight w:val="none"/>
              </w:rPr>
            </w:pPr>
            <w:r>
              <w:rPr>
                <w:rFonts w:hint="eastAsia" w:ascii="楷体_GB2312" w:eastAsia="楷体_GB2312"/>
                <w:color w:val="auto"/>
                <w:sz w:val="24"/>
                <w:highlight w:val="none"/>
              </w:rPr>
              <w:t>擦洗外围消防设施</w:t>
            </w:r>
          </w:p>
        </w:tc>
        <w:tc>
          <w:tcPr>
            <w:tcW w:w="2596" w:type="pct"/>
            <w:vAlign w:val="center"/>
          </w:tcPr>
          <w:p w14:paraId="3CD5D0E6">
            <w:pPr>
              <w:rPr>
                <w:rFonts w:ascii="楷体_GB2312" w:eastAsia="楷体_GB2312"/>
                <w:color w:val="auto"/>
                <w:sz w:val="24"/>
                <w:highlight w:val="none"/>
              </w:rPr>
            </w:pPr>
            <w:r>
              <w:rPr>
                <w:rFonts w:hint="eastAsia" w:ascii="楷体_GB2312" w:eastAsia="楷体_GB2312"/>
                <w:color w:val="auto"/>
                <w:sz w:val="24"/>
                <w:highlight w:val="none"/>
              </w:rPr>
              <w:t>干净、无明显灰尘、无明显污染物</w:t>
            </w:r>
          </w:p>
        </w:tc>
      </w:tr>
      <w:tr w14:paraId="7ED9D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57" w:type="pct"/>
            <w:vMerge w:val="restart"/>
            <w:vAlign w:val="center"/>
          </w:tcPr>
          <w:p w14:paraId="330405F5">
            <w:pPr>
              <w:jc w:val="center"/>
              <w:rPr>
                <w:rFonts w:ascii="楷体_GB2312" w:eastAsia="楷体_GB2312"/>
                <w:color w:val="auto"/>
                <w:sz w:val="24"/>
                <w:highlight w:val="none"/>
              </w:rPr>
            </w:pPr>
            <w:r>
              <w:rPr>
                <w:rFonts w:hint="eastAsia" w:ascii="楷体_GB2312" w:eastAsia="楷体_GB2312"/>
                <w:color w:val="auto"/>
                <w:sz w:val="24"/>
                <w:highlight w:val="none"/>
              </w:rPr>
              <w:t>车</w:t>
            </w:r>
          </w:p>
          <w:p w14:paraId="2AAADFD2">
            <w:pPr>
              <w:jc w:val="center"/>
              <w:rPr>
                <w:rFonts w:ascii="楷体_GB2312" w:eastAsia="楷体_GB2312"/>
                <w:color w:val="auto"/>
                <w:sz w:val="24"/>
                <w:highlight w:val="none"/>
              </w:rPr>
            </w:pPr>
            <w:r>
              <w:rPr>
                <w:rFonts w:hint="eastAsia" w:ascii="楷体_GB2312" w:eastAsia="楷体_GB2312"/>
                <w:color w:val="auto"/>
                <w:sz w:val="24"/>
                <w:highlight w:val="none"/>
              </w:rPr>
              <w:t>库</w:t>
            </w:r>
          </w:p>
          <w:p w14:paraId="249C6998">
            <w:pPr>
              <w:jc w:val="center"/>
              <w:rPr>
                <w:rFonts w:ascii="楷体_GB2312" w:eastAsia="楷体_GB2312"/>
                <w:color w:val="auto"/>
                <w:sz w:val="24"/>
                <w:highlight w:val="none"/>
              </w:rPr>
            </w:pPr>
          </w:p>
        </w:tc>
        <w:tc>
          <w:tcPr>
            <w:tcW w:w="495" w:type="pct"/>
            <w:vAlign w:val="center"/>
          </w:tcPr>
          <w:p w14:paraId="2815AFA2">
            <w:pPr>
              <w:jc w:val="center"/>
              <w:rPr>
                <w:rFonts w:ascii="楷体_GB2312" w:eastAsia="楷体_GB2312"/>
                <w:color w:val="auto"/>
                <w:sz w:val="24"/>
                <w:highlight w:val="none"/>
              </w:rPr>
            </w:pPr>
            <w:r>
              <w:rPr>
                <w:rFonts w:hint="eastAsia" w:ascii="楷体_GB2312" w:eastAsia="楷体_GB2312"/>
                <w:color w:val="auto"/>
                <w:sz w:val="24"/>
                <w:highlight w:val="none"/>
              </w:rPr>
              <w:t>1</w:t>
            </w:r>
          </w:p>
        </w:tc>
        <w:tc>
          <w:tcPr>
            <w:tcW w:w="1450" w:type="pct"/>
            <w:vAlign w:val="center"/>
          </w:tcPr>
          <w:p w14:paraId="5CB63BAE">
            <w:pPr>
              <w:rPr>
                <w:rFonts w:ascii="楷体_GB2312" w:eastAsia="楷体_GB2312"/>
                <w:color w:val="auto"/>
                <w:sz w:val="24"/>
                <w:highlight w:val="none"/>
              </w:rPr>
            </w:pPr>
            <w:r>
              <w:rPr>
                <w:rFonts w:hint="eastAsia" w:ascii="楷体_GB2312" w:eastAsia="楷体_GB2312"/>
                <w:color w:val="auto"/>
                <w:sz w:val="24"/>
                <w:highlight w:val="none"/>
              </w:rPr>
              <w:t>清扫地面</w:t>
            </w:r>
          </w:p>
        </w:tc>
        <w:tc>
          <w:tcPr>
            <w:tcW w:w="2596" w:type="pct"/>
            <w:vAlign w:val="center"/>
          </w:tcPr>
          <w:p w14:paraId="04EFC4FC">
            <w:pPr>
              <w:rPr>
                <w:rFonts w:ascii="楷体_GB2312" w:eastAsia="楷体_GB2312"/>
                <w:color w:val="auto"/>
                <w:sz w:val="24"/>
                <w:highlight w:val="none"/>
              </w:rPr>
            </w:pPr>
            <w:r>
              <w:rPr>
                <w:rFonts w:hint="eastAsia" w:ascii="楷体_GB2312" w:eastAsia="楷体_GB2312"/>
                <w:color w:val="auto"/>
                <w:sz w:val="24"/>
                <w:highlight w:val="none"/>
              </w:rPr>
              <w:t>干净、整洁、无明显杂物、无明显污染物</w:t>
            </w:r>
          </w:p>
        </w:tc>
      </w:tr>
      <w:tr w14:paraId="0E69E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57" w:type="pct"/>
            <w:vMerge w:val="continue"/>
            <w:vAlign w:val="center"/>
          </w:tcPr>
          <w:p w14:paraId="1122F589">
            <w:pPr>
              <w:jc w:val="center"/>
              <w:rPr>
                <w:rFonts w:ascii="楷体_GB2312" w:eastAsia="楷体_GB2312"/>
                <w:color w:val="auto"/>
                <w:sz w:val="24"/>
                <w:highlight w:val="none"/>
              </w:rPr>
            </w:pPr>
          </w:p>
        </w:tc>
        <w:tc>
          <w:tcPr>
            <w:tcW w:w="495" w:type="pct"/>
            <w:vAlign w:val="center"/>
          </w:tcPr>
          <w:p w14:paraId="7E0961BB">
            <w:pPr>
              <w:jc w:val="center"/>
              <w:rPr>
                <w:rFonts w:ascii="楷体_GB2312" w:eastAsia="楷体_GB2312"/>
                <w:color w:val="auto"/>
                <w:sz w:val="24"/>
                <w:highlight w:val="none"/>
              </w:rPr>
            </w:pPr>
            <w:r>
              <w:rPr>
                <w:rFonts w:hint="eastAsia" w:ascii="楷体_GB2312" w:eastAsia="楷体_GB2312"/>
                <w:color w:val="auto"/>
                <w:sz w:val="24"/>
                <w:highlight w:val="none"/>
              </w:rPr>
              <w:t>2</w:t>
            </w:r>
          </w:p>
        </w:tc>
        <w:tc>
          <w:tcPr>
            <w:tcW w:w="1450" w:type="pct"/>
            <w:vAlign w:val="center"/>
          </w:tcPr>
          <w:p w14:paraId="26A7EB13">
            <w:pPr>
              <w:rPr>
                <w:rFonts w:ascii="楷体_GB2312" w:eastAsia="楷体_GB2312"/>
                <w:color w:val="auto"/>
                <w:sz w:val="24"/>
                <w:highlight w:val="none"/>
              </w:rPr>
            </w:pPr>
            <w:r>
              <w:rPr>
                <w:rFonts w:hint="eastAsia" w:ascii="楷体_GB2312" w:eastAsia="楷体_GB2312"/>
                <w:color w:val="auto"/>
                <w:sz w:val="24"/>
                <w:highlight w:val="none"/>
              </w:rPr>
              <w:t>冲洗地面</w:t>
            </w:r>
          </w:p>
        </w:tc>
        <w:tc>
          <w:tcPr>
            <w:tcW w:w="2596" w:type="pct"/>
            <w:vAlign w:val="center"/>
          </w:tcPr>
          <w:p w14:paraId="1DA0B793">
            <w:pPr>
              <w:rPr>
                <w:rFonts w:ascii="楷体_GB2312" w:eastAsia="楷体_GB2312"/>
                <w:color w:val="auto"/>
                <w:sz w:val="24"/>
                <w:highlight w:val="none"/>
              </w:rPr>
            </w:pPr>
            <w:r>
              <w:rPr>
                <w:rFonts w:hint="eastAsia" w:ascii="楷体_GB2312" w:eastAsia="楷体_GB2312"/>
                <w:color w:val="auto"/>
                <w:sz w:val="24"/>
                <w:highlight w:val="none"/>
              </w:rPr>
              <w:t>干净、明亮、无明显污染物</w:t>
            </w:r>
          </w:p>
        </w:tc>
      </w:tr>
      <w:tr w14:paraId="27DAC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57" w:type="pct"/>
            <w:vMerge w:val="continue"/>
            <w:vAlign w:val="center"/>
          </w:tcPr>
          <w:p w14:paraId="0458DE6D">
            <w:pPr>
              <w:jc w:val="center"/>
              <w:rPr>
                <w:rFonts w:ascii="楷体_GB2312" w:eastAsia="楷体_GB2312"/>
                <w:color w:val="auto"/>
                <w:sz w:val="24"/>
                <w:highlight w:val="none"/>
              </w:rPr>
            </w:pPr>
          </w:p>
        </w:tc>
        <w:tc>
          <w:tcPr>
            <w:tcW w:w="495" w:type="pct"/>
            <w:vAlign w:val="center"/>
          </w:tcPr>
          <w:p w14:paraId="4DF338DB">
            <w:pPr>
              <w:jc w:val="center"/>
              <w:rPr>
                <w:rFonts w:ascii="楷体_GB2312" w:eastAsia="楷体_GB2312"/>
                <w:color w:val="auto"/>
                <w:sz w:val="24"/>
                <w:highlight w:val="none"/>
              </w:rPr>
            </w:pPr>
            <w:r>
              <w:rPr>
                <w:rFonts w:hint="eastAsia" w:ascii="楷体_GB2312" w:eastAsia="楷体_GB2312"/>
                <w:color w:val="auto"/>
                <w:sz w:val="24"/>
                <w:highlight w:val="none"/>
              </w:rPr>
              <w:t>3</w:t>
            </w:r>
          </w:p>
        </w:tc>
        <w:tc>
          <w:tcPr>
            <w:tcW w:w="1450" w:type="pct"/>
            <w:vAlign w:val="center"/>
          </w:tcPr>
          <w:p w14:paraId="5E30B7A8">
            <w:pPr>
              <w:rPr>
                <w:rFonts w:ascii="楷体_GB2312" w:eastAsia="楷体_GB2312"/>
                <w:color w:val="auto"/>
                <w:sz w:val="24"/>
                <w:highlight w:val="none"/>
              </w:rPr>
            </w:pPr>
            <w:r>
              <w:rPr>
                <w:rFonts w:hint="eastAsia" w:ascii="楷体_GB2312" w:eastAsia="楷体_GB2312"/>
                <w:color w:val="auto"/>
                <w:sz w:val="24"/>
                <w:highlight w:val="none"/>
              </w:rPr>
              <w:t>清扫管网及设施设备</w:t>
            </w:r>
          </w:p>
        </w:tc>
        <w:tc>
          <w:tcPr>
            <w:tcW w:w="2596" w:type="pct"/>
            <w:vAlign w:val="center"/>
          </w:tcPr>
          <w:p w14:paraId="7C48B384">
            <w:pPr>
              <w:rPr>
                <w:rFonts w:ascii="楷体_GB2312" w:eastAsia="楷体_GB2312"/>
                <w:color w:val="auto"/>
                <w:sz w:val="24"/>
                <w:highlight w:val="none"/>
              </w:rPr>
            </w:pPr>
            <w:r>
              <w:rPr>
                <w:rFonts w:hint="eastAsia" w:ascii="楷体_GB2312" w:eastAsia="楷体_GB2312"/>
                <w:color w:val="auto"/>
                <w:sz w:val="24"/>
                <w:highlight w:val="none"/>
              </w:rPr>
              <w:t>干净、无明显灰尘</w:t>
            </w:r>
          </w:p>
        </w:tc>
      </w:tr>
      <w:tr w14:paraId="31630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57" w:type="pct"/>
            <w:vMerge w:val="continue"/>
            <w:vAlign w:val="center"/>
          </w:tcPr>
          <w:p w14:paraId="6F92635B">
            <w:pPr>
              <w:jc w:val="center"/>
              <w:rPr>
                <w:rFonts w:ascii="楷体_GB2312" w:eastAsia="楷体_GB2312"/>
                <w:color w:val="auto"/>
                <w:sz w:val="24"/>
                <w:highlight w:val="none"/>
              </w:rPr>
            </w:pPr>
          </w:p>
        </w:tc>
        <w:tc>
          <w:tcPr>
            <w:tcW w:w="495" w:type="pct"/>
            <w:vAlign w:val="center"/>
          </w:tcPr>
          <w:p w14:paraId="27B4B1CE">
            <w:pPr>
              <w:jc w:val="center"/>
              <w:rPr>
                <w:rFonts w:ascii="楷体_GB2312" w:eastAsia="楷体_GB2312"/>
                <w:color w:val="auto"/>
                <w:sz w:val="24"/>
                <w:highlight w:val="none"/>
              </w:rPr>
            </w:pPr>
            <w:r>
              <w:rPr>
                <w:rFonts w:hint="eastAsia" w:ascii="楷体_GB2312" w:eastAsia="楷体_GB2312"/>
                <w:color w:val="auto"/>
                <w:sz w:val="24"/>
                <w:highlight w:val="none"/>
              </w:rPr>
              <w:t>4</w:t>
            </w:r>
          </w:p>
        </w:tc>
        <w:tc>
          <w:tcPr>
            <w:tcW w:w="1450" w:type="pct"/>
            <w:vAlign w:val="center"/>
          </w:tcPr>
          <w:p w14:paraId="33608397">
            <w:pPr>
              <w:rPr>
                <w:rFonts w:ascii="楷体_GB2312" w:eastAsia="楷体_GB2312"/>
                <w:color w:val="auto"/>
                <w:sz w:val="24"/>
                <w:highlight w:val="none"/>
              </w:rPr>
            </w:pPr>
            <w:r>
              <w:rPr>
                <w:rFonts w:hint="eastAsia" w:ascii="楷体_GB2312" w:eastAsia="楷体_GB2312"/>
                <w:color w:val="auto"/>
                <w:sz w:val="24"/>
                <w:highlight w:val="none"/>
              </w:rPr>
              <w:t>擦洗管网及设施设备</w:t>
            </w:r>
          </w:p>
        </w:tc>
        <w:tc>
          <w:tcPr>
            <w:tcW w:w="2596" w:type="pct"/>
            <w:vAlign w:val="center"/>
          </w:tcPr>
          <w:p w14:paraId="58932EBD">
            <w:pPr>
              <w:rPr>
                <w:rFonts w:ascii="楷体_GB2312" w:eastAsia="楷体_GB2312"/>
                <w:color w:val="auto"/>
                <w:sz w:val="24"/>
                <w:highlight w:val="none"/>
              </w:rPr>
            </w:pPr>
            <w:r>
              <w:rPr>
                <w:rFonts w:hint="eastAsia" w:ascii="楷体_GB2312" w:eastAsia="楷体_GB2312"/>
                <w:color w:val="auto"/>
                <w:sz w:val="24"/>
                <w:highlight w:val="none"/>
              </w:rPr>
              <w:t>干净、无明显灰尘</w:t>
            </w:r>
          </w:p>
        </w:tc>
      </w:tr>
      <w:tr w14:paraId="4003A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457" w:type="pct"/>
            <w:vMerge w:val="continue"/>
            <w:vAlign w:val="center"/>
          </w:tcPr>
          <w:p w14:paraId="28406ABD">
            <w:pPr>
              <w:jc w:val="center"/>
              <w:rPr>
                <w:rFonts w:ascii="楷体_GB2312" w:eastAsia="楷体_GB2312"/>
                <w:color w:val="auto"/>
                <w:sz w:val="24"/>
                <w:highlight w:val="none"/>
              </w:rPr>
            </w:pPr>
          </w:p>
        </w:tc>
        <w:tc>
          <w:tcPr>
            <w:tcW w:w="495" w:type="pct"/>
            <w:vAlign w:val="center"/>
          </w:tcPr>
          <w:p w14:paraId="657699EB">
            <w:pPr>
              <w:jc w:val="center"/>
              <w:rPr>
                <w:rFonts w:ascii="楷体_GB2312" w:eastAsia="楷体_GB2312"/>
                <w:color w:val="auto"/>
                <w:sz w:val="24"/>
                <w:highlight w:val="none"/>
              </w:rPr>
            </w:pPr>
            <w:r>
              <w:rPr>
                <w:rFonts w:hint="eastAsia" w:ascii="楷体_GB2312" w:eastAsia="楷体_GB2312"/>
                <w:color w:val="auto"/>
                <w:sz w:val="24"/>
                <w:highlight w:val="none"/>
              </w:rPr>
              <w:t>5</w:t>
            </w:r>
          </w:p>
        </w:tc>
        <w:tc>
          <w:tcPr>
            <w:tcW w:w="1450" w:type="pct"/>
            <w:vAlign w:val="center"/>
          </w:tcPr>
          <w:p w14:paraId="280FA39F">
            <w:pPr>
              <w:rPr>
                <w:rFonts w:ascii="楷体_GB2312" w:eastAsia="楷体_GB2312"/>
                <w:color w:val="auto"/>
                <w:sz w:val="24"/>
                <w:highlight w:val="none"/>
              </w:rPr>
            </w:pPr>
            <w:r>
              <w:rPr>
                <w:rFonts w:hint="eastAsia" w:ascii="楷体_GB2312" w:eastAsia="楷体_GB2312"/>
                <w:color w:val="auto"/>
                <w:sz w:val="24"/>
                <w:highlight w:val="none"/>
              </w:rPr>
              <w:t>擦洗标示、标志及消防设备</w:t>
            </w:r>
          </w:p>
        </w:tc>
        <w:tc>
          <w:tcPr>
            <w:tcW w:w="2596" w:type="pct"/>
            <w:vAlign w:val="center"/>
          </w:tcPr>
          <w:p w14:paraId="44B2956F">
            <w:pPr>
              <w:rPr>
                <w:rFonts w:ascii="楷体_GB2312" w:eastAsia="楷体_GB2312"/>
                <w:color w:val="auto"/>
                <w:sz w:val="24"/>
                <w:highlight w:val="none"/>
              </w:rPr>
            </w:pPr>
            <w:r>
              <w:rPr>
                <w:rFonts w:hint="eastAsia" w:ascii="楷体_GB2312" w:eastAsia="楷体_GB2312"/>
                <w:color w:val="auto"/>
                <w:sz w:val="24"/>
                <w:highlight w:val="none"/>
              </w:rPr>
              <w:t>干净、无明显灰尘</w:t>
            </w:r>
          </w:p>
        </w:tc>
      </w:tr>
      <w:tr w14:paraId="4353B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57" w:type="pct"/>
            <w:vMerge w:val="continue"/>
            <w:vAlign w:val="center"/>
          </w:tcPr>
          <w:p w14:paraId="169B3C4E">
            <w:pPr>
              <w:jc w:val="center"/>
              <w:rPr>
                <w:rFonts w:ascii="楷体_GB2312" w:eastAsia="楷体_GB2312"/>
                <w:color w:val="auto"/>
                <w:sz w:val="24"/>
                <w:highlight w:val="none"/>
              </w:rPr>
            </w:pPr>
          </w:p>
        </w:tc>
        <w:tc>
          <w:tcPr>
            <w:tcW w:w="495" w:type="pct"/>
            <w:vAlign w:val="center"/>
          </w:tcPr>
          <w:p w14:paraId="30512620">
            <w:pPr>
              <w:jc w:val="center"/>
              <w:rPr>
                <w:rFonts w:ascii="楷体_GB2312" w:eastAsia="楷体_GB2312"/>
                <w:color w:val="auto"/>
                <w:sz w:val="24"/>
                <w:highlight w:val="none"/>
              </w:rPr>
            </w:pPr>
            <w:r>
              <w:rPr>
                <w:rFonts w:hint="eastAsia" w:ascii="楷体_GB2312" w:eastAsia="楷体_GB2312"/>
                <w:color w:val="auto"/>
                <w:sz w:val="24"/>
                <w:highlight w:val="none"/>
              </w:rPr>
              <w:t>6</w:t>
            </w:r>
          </w:p>
        </w:tc>
        <w:tc>
          <w:tcPr>
            <w:tcW w:w="1450" w:type="pct"/>
            <w:vAlign w:val="center"/>
          </w:tcPr>
          <w:p w14:paraId="174F4788">
            <w:pPr>
              <w:rPr>
                <w:rFonts w:ascii="楷体_GB2312" w:eastAsia="楷体_GB2312"/>
                <w:color w:val="auto"/>
                <w:sz w:val="24"/>
                <w:highlight w:val="none"/>
              </w:rPr>
            </w:pPr>
            <w:r>
              <w:rPr>
                <w:rFonts w:hint="eastAsia" w:ascii="楷体_GB2312" w:eastAsia="楷体_GB2312"/>
                <w:color w:val="auto"/>
                <w:sz w:val="24"/>
                <w:highlight w:val="none"/>
              </w:rPr>
              <w:t>清扫蜘蛛网</w:t>
            </w:r>
          </w:p>
        </w:tc>
        <w:tc>
          <w:tcPr>
            <w:tcW w:w="2596" w:type="pct"/>
            <w:vAlign w:val="center"/>
          </w:tcPr>
          <w:p w14:paraId="4FE83E28">
            <w:pPr>
              <w:rPr>
                <w:rFonts w:ascii="楷体_GB2312" w:eastAsia="楷体_GB2312"/>
                <w:color w:val="auto"/>
                <w:sz w:val="24"/>
                <w:highlight w:val="none"/>
              </w:rPr>
            </w:pPr>
            <w:r>
              <w:rPr>
                <w:rFonts w:hint="eastAsia" w:ascii="楷体_GB2312" w:eastAsia="楷体_GB2312"/>
                <w:color w:val="auto"/>
                <w:sz w:val="24"/>
                <w:highlight w:val="none"/>
              </w:rPr>
              <w:t>无蜘蛛网</w:t>
            </w:r>
          </w:p>
        </w:tc>
      </w:tr>
      <w:tr w14:paraId="10CA2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57" w:type="pct"/>
            <w:vAlign w:val="center"/>
          </w:tcPr>
          <w:p w14:paraId="3C1B299F">
            <w:pPr>
              <w:jc w:val="center"/>
              <w:rPr>
                <w:rFonts w:ascii="楷体_GB2312" w:eastAsia="楷体_GB2312"/>
                <w:color w:val="auto"/>
                <w:sz w:val="24"/>
                <w:highlight w:val="none"/>
              </w:rPr>
            </w:pPr>
            <w:r>
              <w:rPr>
                <w:rFonts w:hint="eastAsia" w:ascii="楷体_GB2312" w:eastAsia="楷体_GB2312"/>
                <w:color w:val="auto"/>
                <w:sz w:val="24"/>
                <w:highlight w:val="none"/>
              </w:rPr>
              <w:t>消杀</w:t>
            </w:r>
          </w:p>
        </w:tc>
        <w:tc>
          <w:tcPr>
            <w:tcW w:w="495" w:type="pct"/>
            <w:vAlign w:val="center"/>
          </w:tcPr>
          <w:p w14:paraId="184F982A">
            <w:pPr>
              <w:jc w:val="center"/>
              <w:rPr>
                <w:rFonts w:ascii="楷体_GB2312" w:eastAsia="楷体_GB2312"/>
                <w:color w:val="auto"/>
                <w:sz w:val="24"/>
                <w:highlight w:val="none"/>
              </w:rPr>
            </w:pPr>
            <w:r>
              <w:rPr>
                <w:rFonts w:hint="eastAsia" w:ascii="楷体_GB2312" w:eastAsia="楷体_GB2312"/>
                <w:color w:val="auto"/>
                <w:sz w:val="24"/>
                <w:highlight w:val="none"/>
              </w:rPr>
              <w:t>1</w:t>
            </w:r>
          </w:p>
        </w:tc>
        <w:tc>
          <w:tcPr>
            <w:tcW w:w="1450" w:type="pct"/>
            <w:vAlign w:val="center"/>
          </w:tcPr>
          <w:p w14:paraId="772FBED9">
            <w:pPr>
              <w:rPr>
                <w:rFonts w:ascii="楷体_GB2312" w:eastAsia="楷体_GB2312"/>
                <w:color w:val="auto"/>
                <w:sz w:val="24"/>
                <w:highlight w:val="none"/>
              </w:rPr>
            </w:pPr>
            <w:r>
              <w:rPr>
                <w:rFonts w:hint="eastAsia" w:ascii="楷体_GB2312" w:eastAsia="楷体_GB2312"/>
                <w:color w:val="auto"/>
                <w:sz w:val="24"/>
                <w:highlight w:val="none"/>
              </w:rPr>
              <w:t>除四害</w:t>
            </w:r>
          </w:p>
        </w:tc>
        <w:tc>
          <w:tcPr>
            <w:tcW w:w="2596" w:type="pct"/>
            <w:vAlign w:val="center"/>
          </w:tcPr>
          <w:p w14:paraId="71821213">
            <w:pPr>
              <w:rPr>
                <w:rFonts w:ascii="楷体_GB2312" w:eastAsia="楷体_GB2312"/>
                <w:color w:val="auto"/>
                <w:sz w:val="24"/>
                <w:highlight w:val="none"/>
              </w:rPr>
            </w:pPr>
            <w:r>
              <w:rPr>
                <w:rFonts w:hint="eastAsia" w:ascii="楷体_GB2312" w:eastAsia="楷体_GB2312"/>
                <w:color w:val="auto"/>
                <w:sz w:val="24"/>
                <w:highlight w:val="none"/>
              </w:rPr>
              <w:t>因季节可适当增加频率</w:t>
            </w:r>
          </w:p>
        </w:tc>
      </w:tr>
    </w:tbl>
    <w:p w14:paraId="25323870">
      <w:pPr>
        <w:jc w:val="both"/>
        <w:rPr>
          <w:rFonts w:ascii="仿宋" w:hAnsi="仿宋" w:eastAsia="仿宋" w:cs="仿宋"/>
          <w:b/>
          <w:bCs/>
          <w:color w:val="auto"/>
          <w:sz w:val="28"/>
          <w:szCs w:val="28"/>
          <w:highlight w:val="none"/>
        </w:rPr>
      </w:pPr>
    </w:p>
    <w:p w14:paraId="7F9EF29D">
      <w:pPr>
        <w:jc w:val="center"/>
        <w:rPr>
          <w:rFonts w:hint="eastAsia" w:ascii="仿宋" w:hAnsi="仿宋" w:eastAsia="仿宋" w:cs="仿宋"/>
          <w:b/>
          <w:bCs/>
          <w:color w:val="auto"/>
          <w:kern w:val="2"/>
          <w:sz w:val="28"/>
          <w:szCs w:val="28"/>
          <w:highlight w:val="none"/>
          <w:lang w:val="en-US" w:eastAsia="zh-CN" w:bidi="ar-SA"/>
        </w:rPr>
      </w:pPr>
      <w:r>
        <w:rPr>
          <w:rFonts w:hint="eastAsia" w:ascii="仿宋" w:hAnsi="仿宋" w:eastAsia="仿宋" w:cs="仿宋"/>
          <w:b/>
          <w:bCs/>
          <w:color w:val="auto"/>
          <w:kern w:val="2"/>
          <w:sz w:val="28"/>
          <w:szCs w:val="28"/>
          <w:highlight w:val="none"/>
          <w:lang w:val="en-US" w:eastAsia="zh-CN" w:bidi="ar-SA"/>
        </w:rPr>
        <w:t>环境考核量化表</w:t>
      </w:r>
    </w:p>
    <w:tbl>
      <w:tblPr>
        <w:tblStyle w:val="42"/>
        <w:tblW w:w="4971" w:type="pct"/>
        <w:jc w:val="center"/>
        <w:tblLayout w:type="autofit"/>
        <w:tblCellMar>
          <w:top w:w="0" w:type="dxa"/>
          <w:left w:w="108" w:type="dxa"/>
          <w:bottom w:w="0" w:type="dxa"/>
          <w:right w:w="108" w:type="dxa"/>
        </w:tblCellMar>
      </w:tblPr>
      <w:tblGrid>
        <w:gridCol w:w="787"/>
        <w:gridCol w:w="1666"/>
        <w:gridCol w:w="796"/>
        <w:gridCol w:w="1675"/>
        <w:gridCol w:w="834"/>
        <w:gridCol w:w="1216"/>
        <w:gridCol w:w="773"/>
        <w:gridCol w:w="1260"/>
      </w:tblGrid>
      <w:tr w14:paraId="20A4BA72">
        <w:tblPrEx>
          <w:tblCellMar>
            <w:top w:w="0" w:type="dxa"/>
            <w:left w:w="108" w:type="dxa"/>
            <w:bottom w:w="0" w:type="dxa"/>
            <w:right w:w="108" w:type="dxa"/>
          </w:tblCellMar>
        </w:tblPrEx>
        <w:trPr>
          <w:trHeight w:val="454" w:hRule="atLeast"/>
          <w:jc w:val="center"/>
        </w:trPr>
        <w:tc>
          <w:tcPr>
            <w:tcW w:w="437" w:type="pct"/>
            <w:tcBorders>
              <w:top w:val="single" w:color="000000" w:sz="4" w:space="0"/>
              <w:left w:val="single" w:color="000000" w:sz="4" w:space="0"/>
              <w:bottom w:val="single" w:color="000000" w:sz="4" w:space="0"/>
              <w:right w:val="single" w:color="000000" w:sz="4" w:space="0"/>
            </w:tcBorders>
            <w:vAlign w:val="center"/>
          </w:tcPr>
          <w:p w14:paraId="2293611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序号</w:t>
            </w:r>
          </w:p>
        </w:tc>
        <w:tc>
          <w:tcPr>
            <w:tcW w:w="925" w:type="pct"/>
            <w:tcBorders>
              <w:top w:val="single" w:color="000000" w:sz="4" w:space="0"/>
              <w:left w:val="single" w:color="000000" w:sz="4" w:space="0"/>
              <w:bottom w:val="single" w:color="000000" w:sz="4" w:space="0"/>
              <w:right w:val="single" w:color="000000" w:sz="4" w:space="0"/>
            </w:tcBorders>
            <w:vAlign w:val="center"/>
          </w:tcPr>
          <w:p w14:paraId="30D621F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工作要求</w:t>
            </w:r>
          </w:p>
        </w:tc>
        <w:tc>
          <w:tcPr>
            <w:tcW w:w="440" w:type="pct"/>
            <w:tcBorders>
              <w:top w:val="single" w:color="000000" w:sz="4" w:space="0"/>
              <w:left w:val="single" w:color="000000" w:sz="4" w:space="0"/>
              <w:bottom w:val="single" w:color="000000" w:sz="4" w:space="0"/>
              <w:right w:val="single" w:color="000000" w:sz="4" w:space="0"/>
            </w:tcBorders>
            <w:vAlign w:val="center"/>
          </w:tcPr>
          <w:p w14:paraId="646E724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分值</w:t>
            </w:r>
          </w:p>
        </w:tc>
        <w:tc>
          <w:tcPr>
            <w:tcW w:w="930" w:type="pct"/>
            <w:tcBorders>
              <w:top w:val="single" w:color="000000" w:sz="4" w:space="0"/>
              <w:left w:val="single" w:color="000000" w:sz="4" w:space="0"/>
              <w:bottom w:val="single" w:color="000000" w:sz="4" w:space="0"/>
              <w:right w:val="single" w:color="000000" w:sz="4" w:space="0"/>
            </w:tcBorders>
            <w:vAlign w:val="center"/>
          </w:tcPr>
          <w:p w14:paraId="6B75FB4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细项</w:t>
            </w:r>
          </w:p>
        </w:tc>
        <w:tc>
          <w:tcPr>
            <w:tcW w:w="463" w:type="pct"/>
            <w:tcBorders>
              <w:top w:val="single" w:color="000000" w:sz="4" w:space="0"/>
              <w:left w:val="single" w:color="000000" w:sz="4" w:space="0"/>
              <w:bottom w:val="single" w:color="000000" w:sz="4" w:space="0"/>
              <w:right w:val="single" w:color="000000" w:sz="4" w:space="0"/>
            </w:tcBorders>
            <w:vAlign w:val="center"/>
          </w:tcPr>
          <w:p w14:paraId="70CF269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频次</w:t>
            </w:r>
          </w:p>
        </w:tc>
        <w:tc>
          <w:tcPr>
            <w:tcW w:w="675" w:type="pct"/>
            <w:tcBorders>
              <w:top w:val="single" w:color="000000" w:sz="4" w:space="0"/>
              <w:left w:val="single" w:color="000000" w:sz="4" w:space="0"/>
              <w:bottom w:val="single" w:color="000000" w:sz="4" w:space="0"/>
              <w:right w:val="single" w:color="000000" w:sz="4" w:space="0"/>
            </w:tcBorders>
            <w:vAlign w:val="center"/>
          </w:tcPr>
          <w:p w14:paraId="6F86A52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标准</w:t>
            </w:r>
          </w:p>
        </w:tc>
        <w:tc>
          <w:tcPr>
            <w:tcW w:w="429" w:type="pct"/>
            <w:tcBorders>
              <w:top w:val="single" w:color="000000" w:sz="4" w:space="0"/>
              <w:left w:val="single" w:color="000000" w:sz="4" w:space="0"/>
              <w:bottom w:val="single" w:color="000000" w:sz="4" w:space="0"/>
              <w:right w:val="single" w:color="000000" w:sz="4" w:space="0"/>
            </w:tcBorders>
            <w:vAlign w:val="center"/>
          </w:tcPr>
          <w:p w14:paraId="4640E50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评分</w:t>
            </w:r>
          </w:p>
        </w:tc>
        <w:tc>
          <w:tcPr>
            <w:tcW w:w="698" w:type="pct"/>
            <w:tcBorders>
              <w:top w:val="single" w:color="000000" w:sz="4" w:space="0"/>
              <w:left w:val="single" w:color="000000" w:sz="4" w:space="0"/>
              <w:bottom w:val="single" w:color="000000" w:sz="4" w:space="0"/>
              <w:right w:val="single" w:color="000000" w:sz="4" w:space="0"/>
            </w:tcBorders>
            <w:vAlign w:val="center"/>
          </w:tcPr>
          <w:p w14:paraId="7EDB0E9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情况记录</w:t>
            </w:r>
          </w:p>
        </w:tc>
      </w:tr>
      <w:tr w14:paraId="65BC16F8">
        <w:tblPrEx>
          <w:tblCellMar>
            <w:top w:w="0" w:type="dxa"/>
            <w:left w:w="108" w:type="dxa"/>
            <w:bottom w:w="0" w:type="dxa"/>
            <w:right w:w="108" w:type="dxa"/>
          </w:tblCellMar>
        </w:tblPrEx>
        <w:trPr>
          <w:trHeight w:val="454" w:hRule="atLeast"/>
          <w:jc w:val="center"/>
        </w:trPr>
        <w:tc>
          <w:tcPr>
            <w:tcW w:w="5000" w:type="pct"/>
            <w:gridSpan w:val="8"/>
            <w:tcBorders>
              <w:top w:val="single" w:color="000000" w:sz="4" w:space="0"/>
              <w:left w:val="single" w:color="000000" w:sz="4" w:space="0"/>
              <w:bottom w:val="single" w:color="000000" w:sz="4" w:space="0"/>
              <w:right w:val="single" w:color="000000" w:sz="4" w:space="0"/>
            </w:tcBorders>
            <w:vAlign w:val="center"/>
          </w:tcPr>
          <w:p w14:paraId="7121E9D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保洁</w:t>
            </w:r>
          </w:p>
        </w:tc>
      </w:tr>
      <w:tr w14:paraId="1251C61A">
        <w:tblPrEx>
          <w:tblCellMar>
            <w:top w:w="0" w:type="dxa"/>
            <w:left w:w="108" w:type="dxa"/>
            <w:bottom w:w="0" w:type="dxa"/>
            <w:right w:w="108" w:type="dxa"/>
          </w:tblCellMar>
        </w:tblPrEx>
        <w:trPr>
          <w:trHeight w:val="397" w:hRule="exact"/>
          <w:jc w:val="center"/>
        </w:trPr>
        <w:tc>
          <w:tcPr>
            <w:tcW w:w="437" w:type="pct"/>
            <w:vMerge w:val="restart"/>
            <w:tcBorders>
              <w:top w:val="single" w:color="000000" w:sz="4" w:space="0"/>
              <w:left w:val="single" w:color="000000" w:sz="4" w:space="0"/>
              <w:right w:val="single" w:color="000000" w:sz="4" w:space="0"/>
            </w:tcBorders>
            <w:vAlign w:val="center"/>
          </w:tcPr>
          <w:p w14:paraId="52E49F2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1</w:t>
            </w:r>
          </w:p>
        </w:tc>
        <w:tc>
          <w:tcPr>
            <w:tcW w:w="925" w:type="pct"/>
            <w:vMerge w:val="restart"/>
            <w:tcBorders>
              <w:top w:val="single" w:color="000000" w:sz="4" w:space="0"/>
              <w:left w:val="single" w:color="000000" w:sz="4" w:space="0"/>
              <w:right w:val="single" w:color="000000" w:sz="4" w:space="0"/>
            </w:tcBorders>
            <w:vAlign w:val="center"/>
          </w:tcPr>
          <w:p w14:paraId="67C3457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电梯轿厢整洁明亮，无污渍、无印痕</w:t>
            </w:r>
          </w:p>
        </w:tc>
        <w:tc>
          <w:tcPr>
            <w:tcW w:w="440" w:type="pct"/>
            <w:vMerge w:val="restart"/>
            <w:tcBorders>
              <w:top w:val="single" w:color="000000" w:sz="4" w:space="0"/>
              <w:left w:val="single" w:color="000000" w:sz="4" w:space="0"/>
              <w:right w:val="single" w:color="000000" w:sz="4" w:space="0"/>
            </w:tcBorders>
            <w:vAlign w:val="center"/>
          </w:tcPr>
          <w:p w14:paraId="7E491D9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5</w:t>
            </w: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2CAB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轿厢壁清洗</w:t>
            </w:r>
          </w:p>
        </w:tc>
        <w:tc>
          <w:tcPr>
            <w:tcW w:w="463" w:type="pct"/>
            <w:tcBorders>
              <w:top w:val="single" w:color="000000" w:sz="4" w:space="0"/>
              <w:left w:val="single" w:color="000000" w:sz="4" w:space="0"/>
              <w:bottom w:val="single" w:color="000000" w:sz="4" w:space="0"/>
              <w:right w:val="single" w:color="000000" w:sz="4" w:space="0"/>
            </w:tcBorders>
            <w:vAlign w:val="center"/>
          </w:tcPr>
          <w:p w14:paraId="5397097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restart"/>
            <w:tcBorders>
              <w:top w:val="single" w:color="000000" w:sz="4" w:space="0"/>
              <w:left w:val="single" w:color="000000" w:sz="4" w:space="0"/>
              <w:right w:val="single" w:color="000000" w:sz="4" w:space="0"/>
            </w:tcBorders>
            <w:vAlign w:val="center"/>
          </w:tcPr>
          <w:p w14:paraId="0A5053E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发现一处不合格扣1分</w:t>
            </w:r>
          </w:p>
        </w:tc>
        <w:tc>
          <w:tcPr>
            <w:tcW w:w="429" w:type="pct"/>
            <w:vMerge w:val="restart"/>
            <w:tcBorders>
              <w:top w:val="single" w:color="000000" w:sz="4" w:space="0"/>
              <w:left w:val="single" w:color="000000" w:sz="4" w:space="0"/>
              <w:right w:val="single" w:color="000000" w:sz="4" w:space="0"/>
            </w:tcBorders>
            <w:vAlign w:val="center"/>
          </w:tcPr>
          <w:p w14:paraId="390F636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restart"/>
            <w:tcBorders>
              <w:top w:val="single" w:color="000000" w:sz="4" w:space="0"/>
              <w:left w:val="single" w:color="000000" w:sz="4" w:space="0"/>
              <w:right w:val="single" w:color="000000" w:sz="4" w:space="0"/>
            </w:tcBorders>
            <w:vAlign w:val="center"/>
          </w:tcPr>
          <w:p w14:paraId="23C67E8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p>
        </w:tc>
      </w:tr>
      <w:tr w14:paraId="7B3770F4">
        <w:tblPrEx>
          <w:tblCellMar>
            <w:top w:w="0" w:type="dxa"/>
            <w:left w:w="108" w:type="dxa"/>
            <w:bottom w:w="0" w:type="dxa"/>
            <w:right w:w="108" w:type="dxa"/>
          </w:tblCellMar>
        </w:tblPrEx>
        <w:trPr>
          <w:trHeight w:val="397" w:hRule="exact"/>
          <w:jc w:val="center"/>
        </w:trPr>
        <w:tc>
          <w:tcPr>
            <w:tcW w:w="437" w:type="pct"/>
            <w:vMerge w:val="continue"/>
            <w:tcBorders>
              <w:left w:val="single" w:color="000000" w:sz="4" w:space="0"/>
              <w:right w:val="single" w:color="000000" w:sz="4" w:space="0"/>
            </w:tcBorders>
            <w:vAlign w:val="center"/>
          </w:tcPr>
          <w:p w14:paraId="22EF3FA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25" w:type="pct"/>
            <w:vMerge w:val="continue"/>
            <w:tcBorders>
              <w:left w:val="single" w:color="000000" w:sz="4" w:space="0"/>
              <w:right w:val="single" w:color="000000" w:sz="4" w:space="0"/>
            </w:tcBorders>
            <w:vAlign w:val="center"/>
          </w:tcPr>
          <w:p w14:paraId="50B489AF">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p>
        </w:tc>
        <w:tc>
          <w:tcPr>
            <w:tcW w:w="440" w:type="pct"/>
            <w:vMerge w:val="continue"/>
            <w:tcBorders>
              <w:left w:val="single" w:color="000000" w:sz="4" w:space="0"/>
              <w:right w:val="single" w:color="000000" w:sz="4" w:space="0"/>
            </w:tcBorders>
            <w:vAlign w:val="center"/>
          </w:tcPr>
          <w:p w14:paraId="5EC3654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A1F9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天花板清洗</w:t>
            </w:r>
          </w:p>
        </w:tc>
        <w:tc>
          <w:tcPr>
            <w:tcW w:w="463" w:type="pct"/>
            <w:tcBorders>
              <w:top w:val="single" w:color="000000" w:sz="4" w:space="0"/>
              <w:left w:val="single" w:color="000000" w:sz="4" w:space="0"/>
              <w:bottom w:val="single" w:color="000000" w:sz="4" w:space="0"/>
              <w:right w:val="single" w:color="000000" w:sz="4" w:space="0"/>
            </w:tcBorders>
            <w:vAlign w:val="center"/>
          </w:tcPr>
          <w:p w14:paraId="60765B7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continue"/>
            <w:tcBorders>
              <w:left w:val="single" w:color="000000" w:sz="4" w:space="0"/>
              <w:right w:val="single" w:color="000000" w:sz="4" w:space="0"/>
            </w:tcBorders>
            <w:vAlign w:val="center"/>
          </w:tcPr>
          <w:p w14:paraId="2086973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29" w:type="pct"/>
            <w:vMerge w:val="continue"/>
            <w:tcBorders>
              <w:left w:val="single" w:color="000000" w:sz="4" w:space="0"/>
              <w:right w:val="single" w:color="000000" w:sz="4" w:space="0"/>
            </w:tcBorders>
            <w:vAlign w:val="center"/>
          </w:tcPr>
          <w:p w14:paraId="0F6CD5E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continue"/>
            <w:tcBorders>
              <w:left w:val="single" w:color="000000" w:sz="4" w:space="0"/>
              <w:right w:val="single" w:color="000000" w:sz="4" w:space="0"/>
            </w:tcBorders>
            <w:vAlign w:val="center"/>
          </w:tcPr>
          <w:p w14:paraId="709BFB6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p>
        </w:tc>
      </w:tr>
      <w:tr w14:paraId="142792A9">
        <w:tblPrEx>
          <w:tblCellMar>
            <w:top w:w="0" w:type="dxa"/>
            <w:left w:w="108" w:type="dxa"/>
            <w:bottom w:w="0" w:type="dxa"/>
            <w:right w:w="108" w:type="dxa"/>
          </w:tblCellMar>
        </w:tblPrEx>
        <w:trPr>
          <w:trHeight w:val="397" w:hRule="exact"/>
          <w:jc w:val="center"/>
        </w:trPr>
        <w:tc>
          <w:tcPr>
            <w:tcW w:w="437" w:type="pct"/>
            <w:vMerge w:val="continue"/>
            <w:tcBorders>
              <w:left w:val="single" w:color="000000" w:sz="4" w:space="0"/>
              <w:right w:val="single" w:color="000000" w:sz="4" w:space="0"/>
            </w:tcBorders>
            <w:vAlign w:val="center"/>
          </w:tcPr>
          <w:p w14:paraId="4CEC8A2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25" w:type="pct"/>
            <w:vMerge w:val="continue"/>
            <w:tcBorders>
              <w:left w:val="single" w:color="000000" w:sz="4" w:space="0"/>
              <w:right w:val="single" w:color="000000" w:sz="4" w:space="0"/>
            </w:tcBorders>
            <w:vAlign w:val="center"/>
          </w:tcPr>
          <w:p w14:paraId="5C20D33F">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p>
        </w:tc>
        <w:tc>
          <w:tcPr>
            <w:tcW w:w="440" w:type="pct"/>
            <w:vMerge w:val="continue"/>
            <w:tcBorders>
              <w:left w:val="single" w:color="000000" w:sz="4" w:space="0"/>
              <w:right w:val="single" w:color="000000" w:sz="4" w:space="0"/>
            </w:tcBorders>
            <w:vAlign w:val="center"/>
          </w:tcPr>
          <w:p w14:paraId="43468BB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45EF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上油保养</w:t>
            </w:r>
          </w:p>
        </w:tc>
        <w:tc>
          <w:tcPr>
            <w:tcW w:w="463" w:type="pct"/>
            <w:tcBorders>
              <w:top w:val="single" w:color="000000" w:sz="4" w:space="0"/>
              <w:left w:val="single" w:color="000000" w:sz="4" w:space="0"/>
              <w:bottom w:val="single" w:color="000000" w:sz="4" w:space="0"/>
              <w:right w:val="single" w:color="000000" w:sz="4" w:space="0"/>
            </w:tcBorders>
            <w:vAlign w:val="center"/>
          </w:tcPr>
          <w:p w14:paraId="679FBDB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continue"/>
            <w:tcBorders>
              <w:left w:val="single" w:color="000000" w:sz="4" w:space="0"/>
              <w:right w:val="single" w:color="000000" w:sz="4" w:space="0"/>
            </w:tcBorders>
            <w:vAlign w:val="center"/>
          </w:tcPr>
          <w:p w14:paraId="7A571D4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29" w:type="pct"/>
            <w:vMerge w:val="continue"/>
            <w:tcBorders>
              <w:left w:val="single" w:color="000000" w:sz="4" w:space="0"/>
              <w:right w:val="single" w:color="000000" w:sz="4" w:space="0"/>
            </w:tcBorders>
            <w:vAlign w:val="center"/>
          </w:tcPr>
          <w:p w14:paraId="30FB32C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continue"/>
            <w:tcBorders>
              <w:left w:val="single" w:color="000000" w:sz="4" w:space="0"/>
              <w:right w:val="single" w:color="000000" w:sz="4" w:space="0"/>
            </w:tcBorders>
            <w:vAlign w:val="center"/>
          </w:tcPr>
          <w:p w14:paraId="1978248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p>
        </w:tc>
      </w:tr>
      <w:tr w14:paraId="238DF1A2">
        <w:tblPrEx>
          <w:tblCellMar>
            <w:top w:w="0" w:type="dxa"/>
            <w:left w:w="108" w:type="dxa"/>
            <w:bottom w:w="0" w:type="dxa"/>
            <w:right w:w="108" w:type="dxa"/>
          </w:tblCellMar>
        </w:tblPrEx>
        <w:trPr>
          <w:trHeight w:val="397" w:hRule="exact"/>
          <w:jc w:val="center"/>
        </w:trPr>
        <w:tc>
          <w:tcPr>
            <w:tcW w:w="437" w:type="pct"/>
            <w:vMerge w:val="continue"/>
            <w:tcBorders>
              <w:left w:val="single" w:color="000000" w:sz="4" w:space="0"/>
              <w:bottom w:val="single" w:color="000000" w:sz="4" w:space="0"/>
              <w:right w:val="single" w:color="000000" w:sz="4" w:space="0"/>
            </w:tcBorders>
            <w:vAlign w:val="center"/>
          </w:tcPr>
          <w:p w14:paraId="4732DB5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25" w:type="pct"/>
            <w:vMerge w:val="continue"/>
            <w:tcBorders>
              <w:left w:val="single" w:color="000000" w:sz="4" w:space="0"/>
              <w:bottom w:val="single" w:color="000000" w:sz="4" w:space="0"/>
              <w:right w:val="single" w:color="000000" w:sz="4" w:space="0"/>
            </w:tcBorders>
            <w:vAlign w:val="center"/>
          </w:tcPr>
          <w:p w14:paraId="54B06970">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p>
        </w:tc>
        <w:tc>
          <w:tcPr>
            <w:tcW w:w="440" w:type="pct"/>
            <w:vMerge w:val="continue"/>
            <w:tcBorders>
              <w:left w:val="single" w:color="000000" w:sz="4" w:space="0"/>
              <w:bottom w:val="single" w:color="000000" w:sz="4" w:space="0"/>
              <w:right w:val="single" w:color="000000" w:sz="4" w:space="0"/>
            </w:tcBorders>
            <w:vAlign w:val="center"/>
          </w:tcPr>
          <w:p w14:paraId="23522AE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1F16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地面清理</w:t>
            </w:r>
          </w:p>
        </w:tc>
        <w:tc>
          <w:tcPr>
            <w:tcW w:w="463" w:type="pct"/>
            <w:tcBorders>
              <w:top w:val="single" w:color="000000" w:sz="4" w:space="0"/>
              <w:left w:val="single" w:color="000000" w:sz="4" w:space="0"/>
              <w:bottom w:val="single" w:color="000000" w:sz="4" w:space="0"/>
              <w:right w:val="single" w:color="000000" w:sz="4" w:space="0"/>
            </w:tcBorders>
            <w:vAlign w:val="center"/>
          </w:tcPr>
          <w:p w14:paraId="0BE7BBC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continue"/>
            <w:tcBorders>
              <w:left w:val="single" w:color="000000" w:sz="4" w:space="0"/>
              <w:bottom w:val="single" w:color="000000" w:sz="4" w:space="0"/>
              <w:right w:val="single" w:color="000000" w:sz="4" w:space="0"/>
            </w:tcBorders>
            <w:vAlign w:val="center"/>
          </w:tcPr>
          <w:p w14:paraId="5459D87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29" w:type="pct"/>
            <w:vMerge w:val="continue"/>
            <w:tcBorders>
              <w:left w:val="single" w:color="000000" w:sz="4" w:space="0"/>
              <w:bottom w:val="single" w:color="000000" w:sz="4" w:space="0"/>
              <w:right w:val="single" w:color="000000" w:sz="4" w:space="0"/>
            </w:tcBorders>
            <w:vAlign w:val="center"/>
          </w:tcPr>
          <w:p w14:paraId="3957906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continue"/>
            <w:tcBorders>
              <w:left w:val="single" w:color="000000" w:sz="4" w:space="0"/>
              <w:bottom w:val="single" w:color="000000" w:sz="4" w:space="0"/>
              <w:right w:val="single" w:color="000000" w:sz="4" w:space="0"/>
            </w:tcBorders>
            <w:vAlign w:val="center"/>
          </w:tcPr>
          <w:p w14:paraId="7410EAF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p>
        </w:tc>
      </w:tr>
      <w:tr w14:paraId="1B4CA743">
        <w:tblPrEx>
          <w:tblCellMar>
            <w:top w:w="0" w:type="dxa"/>
            <w:left w:w="108" w:type="dxa"/>
            <w:bottom w:w="0" w:type="dxa"/>
            <w:right w:w="108" w:type="dxa"/>
          </w:tblCellMar>
        </w:tblPrEx>
        <w:trPr>
          <w:trHeight w:val="454" w:hRule="atLeast"/>
          <w:jc w:val="center"/>
        </w:trPr>
        <w:tc>
          <w:tcPr>
            <w:tcW w:w="437" w:type="pct"/>
            <w:vMerge w:val="restart"/>
            <w:tcBorders>
              <w:left w:val="single" w:color="000000" w:sz="4" w:space="0"/>
              <w:right w:val="single" w:color="000000" w:sz="4" w:space="0"/>
            </w:tcBorders>
            <w:vAlign w:val="center"/>
          </w:tcPr>
          <w:p w14:paraId="53B4608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2</w:t>
            </w:r>
          </w:p>
        </w:tc>
        <w:tc>
          <w:tcPr>
            <w:tcW w:w="925" w:type="pct"/>
            <w:vMerge w:val="restart"/>
            <w:tcBorders>
              <w:left w:val="single" w:color="000000" w:sz="4" w:space="0"/>
              <w:right w:val="single" w:color="000000" w:sz="4" w:space="0"/>
            </w:tcBorders>
            <w:vAlign w:val="center"/>
          </w:tcPr>
          <w:p w14:paraId="5ED1617A">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天台屋顶保持清洁无垃圾、无杂物</w:t>
            </w:r>
          </w:p>
        </w:tc>
        <w:tc>
          <w:tcPr>
            <w:tcW w:w="440" w:type="pct"/>
            <w:vMerge w:val="restart"/>
            <w:tcBorders>
              <w:left w:val="single" w:color="000000" w:sz="4" w:space="0"/>
              <w:right w:val="single" w:color="000000" w:sz="4" w:space="0"/>
            </w:tcBorders>
            <w:vAlign w:val="center"/>
          </w:tcPr>
          <w:p w14:paraId="4FCBD69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3</w:t>
            </w: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B4D9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地面打扫</w:t>
            </w:r>
          </w:p>
        </w:tc>
        <w:tc>
          <w:tcPr>
            <w:tcW w:w="463" w:type="pct"/>
            <w:tcBorders>
              <w:top w:val="single" w:color="000000" w:sz="4" w:space="0"/>
              <w:left w:val="single" w:color="000000" w:sz="4" w:space="0"/>
              <w:bottom w:val="single" w:color="000000" w:sz="4" w:space="0"/>
              <w:right w:val="single" w:color="000000" w:sz="4" w:space="0"/>
            </w:tcBorders>
            <w:vAlign w:val="center"/>
          </w:tcPr>
          <w:p w14:paraId="78A3B9D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restart"/>
            <w:tcBorders>
              <w:left w:val="single" w:color="000000" w:sz="4" w:space="0"/>
              <w:right w:val="single" w:color="000000" w:sz="4" w:space="0"/>
            </w:tcBorders>
            <w:vAlign w:val="center"/>
          </w:tcPr>
          <w:p w14:paraId="62668B0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发现一处不合格扣1分</w:t>
            </w:r>
          </w:p>
        </w:tc>
        <w:tc>
          <w:tcPr>
            <w:tcW w:w="429" w:type="pct"/>
            <w:vMerge w:val="restart"/>
            <w:tcBorders>
              <w:left w:val="single" w:color="000000" w:sz="4" w:space="0"/>
              <w:right w:val="single" w:color="000000" w:sz="4" w:space="0"/>
            </w:tcBorders>
            <w:vAlign w:val="center"/>
          </w:tcPr>
          <w:p w14:paraId="671C44F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restart"/>
            <w:tcBorders>
              <w:left w:val="single" w:color="000000" w:sz="4" w:space="0"/>
              <w:right w:val="single" w:color="000000" w:sz="4" w:space="0"/>
            </w:tcBorders>
            <w:vAlign w:val="center"/>
          </w:tcPr>
          <w:p w14:paraId="1CFB0FA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p>
        </w:tc>
      </w:tr>
      <w:tr w14:paraId="04424077">
        <w:tblPrEx>
          <w:tblCellMar>
            <w:top w:w="0" w:type="dxa"/>
            <w:left w:w="108" w:type="dxa"/>
            <w:bottom w:w="0" w:type="dxa"/>
            <w:right w:w="108" w:type="dxa"/>
          </w:tblCellMar>
        </w:tblPrEx>
        <w:trPr>
          <w:trHeight w:val="454" w:hRule="atLeast"/>
          <w:jc w:val="center"/>
        </w:trPr>
        <w:tc>
          <w:tcPr>
            <w:tcW w:w="437" w:type="pct"/>
            <w:vMerge w:val="continue"/>
            <w:tcBorders>
              <w:left w:val="single" w:color="000000" w:sz="4" w:space="0"/>
              <w:bottom w:val="single" w:color="000000" w:sz="4" w:space="0"/>
              <w:right w:val="single" w:color="000000" w:sz="4" w:space="0"/>
            </w:tcBorders>
            <w:vAlign w:val="center"/>
          </w:tcPr>
          <w:p w14:paraId="4ACC3A2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25" w:type="pct"/>
            <w:vMerge w:val="continue"/>
            <w:tcBorders>
              <w:left w:val="single" w:color="000000" w:sz="4" w:space="0"/>
              <w:bottom w:val="single" w:color="000000" w:sz="4" w:space="0"/>
              <w:right w:val="single" w:color="000000" w:sz="4" w:space="0"/>
            </w:tcBorders>
            <w:vAlign w:val="center"/>
          </w:tcPr>
          <w:p w14:paraId="5B540FF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p>
        </w:tc>
        <w:tc>
          <w:tcPr>
            <w:tcW w:w="440" w:type="pct"/>
            <w:vMerge w:val="continue"/>
            <w:tcBorders>
              <w:left w:val="single" w:color="000000" w:sz="4" w:space="0"/>
              <w:bottom w:val="single" w:color="000000" w:sz="4" w:space="0"/>
              <w:right w:val="single" w:color="000000" w:sz="4" w:space="0"/>
            </w:tcBorders>
            <w:vAlign w:val="center"/>
          </w:tcPr>
          <w:p w14:paraId="309E405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5FE0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沟渠清理</w:t>
            </w:r>
          </w:p>
        </w:tc>
        <w:tc>
          <w:tcPr>
            <w:tcW w:w="463" w:type="pct"/>
            <w:tcBorders>
              <w:top w:val="single" w:color="000000" w:sz="4" w:space="0"/>
              <w:left w:val="single" w:color="000000" w:sz="4" w:space="0"/>
              <w:bottom w:val="single" w:color="000000" w:sz="4" w:space="0"/>
              <w:right w:val="single" w:color="000000" w:sz="4" w:space="0"/>
            </w:tcBorders>
            <w:vAlign w:val="center"/>
          </w:tcPr>
          <w:p w14:paraId="25FF004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continue"/>
            <w:tcBorders>
              <w:left w:val="single" w:color="000000" w:sz="4" w:space="0"/>
              <w:bottom w:val="single" w:color="000000" w:sz="4" w:space="0"/>
              <w:right w:val="single" w:color="000000" w:sz="4" w:space="0"/>
            </w:tcBorders>
            <w:vAlign w:val="center"/>
          </w:tcPr>
          <w:p w14:paraId="6DCE20C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29" w:type="pct"/>
            <w:vMerge w:val="continue"/>
            <w:tcBorders>
              <w:left w:val="single" w:color="000000" w:sz="4" w:space="0"/>
              <w:bottom w:val="single" w:color="000000" w:sz="4" w:space="0"/>
              <w:right w:val="single" w:color="000000" w:sz="4" w:space="0"/>
            </w:tcBorders>
            <w:vAlign w:val="center"/>
          </w:tcPr>
          <w:p w14:paraId="4F502E6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continue"/>
            <w:tcBorders>
              <w:left w:val="single" w:color="000000" w:sz="4" w:space="0"/>
              <w:bottom w:val="single" w:color="000000" w:sz="4" w:space="0"/>
              <w:right w:val="single" w:color="000000" w:sz="4" w:space="0"/>
            </w:tcBorders>
            <w:vAlign w:val="center"/>
          </w:tcPr>
          <w:p w14:paraId="4461E60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p>
        </w:tc>
      </w:tr>
      <w:tr w14:paraId="62B6953F">
        <w:tblPrEx>
          <w:tblCellMar>
            <w:top w:w="0" w:type="dxa"/>
            <w:left w:w="108" w:type="dxa"/>
            <w:bottom w:w="0" w:type="dxa"/>
            <w:right w:w="108" w:type="dxa"/>
          </w:tblCellMar>
        </w:tblPrEx>
        <w:trPr>
          <w:trHeight w:val="397" w:hRule="exact"/>
          <w:jc w:val="center"/>
        </w:trPr>
        <w:tc>
          <w:tcPr>
            <w:tcW w:w="437" w:type="pct"/>
            <w:vMerge w:val="restart"/>
            <w:tcBorders>
              <w:top w:val="single" w:color="000000" w:sz="4" w:space="0"/>
              <w:left w:val="single" w:color="000000" w:sz="4" w:space="0"/>
              <w:right w:val="single" w:color="000000" w:sz="4" w:space="0"/>
            </w:tcBorders>
            <w:shd w:val="clear" w:color="auto" w:fill="auto"/>
            <w:vAlign w:val="center"/>
          </w:tcPr>
          <w:p w14:paraId="533AAB5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3</w:t>
            </w:r>
          </w:p>
        </w:tc>
        <w:tc>
          <w:tcPr>
            <w:tcW w:w="925" w:type="pct"/>
            <w:vMerge w:val="restart"/>
            <w:tcBorders>
              <w:top w:val="single" w:color="000000" w:sz="4" w:space="0"/>
              <w:left w:val="single" w:color="000000" w:sz="4" w:space="0"/>
              <w:right w:val="single" w:color="000000" w:sz="4" w:space="0"/>
            </w:tcBorders>
            <w:vAlign w:val="center"/>
          </w:tcPr>
          <w:p w14:paraId="426BF836">
            <w:pPr>
              <w:keepNext w:val="0"/>
              <w:keepLines w:val="0"/>
              <w:pageBreakBefore w:val="0"/>
              <w:widowControl w:val="0"/>
              <w:kinsoku/>
              <w:wordWrap/>
              <w:overflowPunct/>
              <w:topLinePunct w:val="0"/>
              <w:autoSpaceDE/>
              <w:autoSpaceDN/>
              <w:bidi w:val="0"/>
              <w:adjustRightInd/>
              <w:snapToGrid/>
              <w:spacing w:after="157" w:afterLines="50" w:line="240" w:lineRule="exact"/>
              <w:jc w:val="left"/>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大堂、门厅石材有护理、有光泽、干净无破损</w:t>
            </w:r>
          </w:p>
          <w:p w14:paraId="45A9D97B">
            <w:pPr>
              <w:keepNext w:val="0"/>
              <w:keepLines w:val="0"/>
              <w:pageBreakBefore w:val="0"/>
              <w:widowControl w:val="0"/>
              <w:kinsoku/>
              <w:wordWrap/>
              <w:overflowPunct/>
              <w:topLinePunct w:val="0"/>
              <w:autoSpaceDE/>
              <w:autoSpaceDN/>
              <w:bidi w:val="0"/>
              <w:adjustRightInd/>
              <w:snapToGrid/>
              <w:spacing w:after="157" w:afterLines="50" w:line="240" w:lineRule="exact"/>
              <w:jc w:val="left"/>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楼内天花板、公共灯具目视基本无灰尘、无蜘蛛网</w:t>
            </w:r>
          </w:p>
          <w:p w14:paraId="071E6AF9">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楼内门、窗等玻璃目视无灰尘、无污渍水迹</w:t>
            </w:r>
          </w:p>
        </w:tc>
        <w:tc>
          <w:tcPr>
            <w:tcW w:w="440" w:type="pct"/>
            <w:vMerge w:val="restart"/>
            <w:tcBorders>
              <w:top w:val="single" w:color="000000" w:sz="4" w:space="0"/>
              <w:left w:val="single" w:color="000000" w:sz="4" w:space="0"/>
              <w:right w:val="single" w:color="000000" w:sz="4" w:space="0"/>
            </w:tcBorders>
            <w:vAlign w:val="center"/>
          </w:tcPr>
          <w:p w14:paraId="61BEB69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5</w:t>
            </w:r>
          </w:p>
        </w:tc>
        <w:tc>
          <w:tcPr>
            <w:tcW w:w="930" w:type="pct"/>
            <w:tcBorders>
              <w:top w:val="single" w:color="000000" w:sz="4" w:space="0"/>
              <w:left w:val="single" w:color="000000" w:sz="4" w:space="0"/>
              <w:bottom w:val="single" w:color="000000" w:sz="4" w:space="0"/>
              <w:right w:val="single" w:color="000000" w:sz="4" w:space="0"/>
            </w:tcBorders>
            <w:vAlign w:val="center"/>
          </w:tcPr>
          <w:p w14:paraId="5B22B28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地面清理</w:t>
            </w:r>
          </w:p>
        </w:tc>
        <w:tc>
          <w:tcPr>
            <w:tcW w:w="463" w:type="pct"/>
            <w:tcBorders>
              <w:top w:val="single" w:color="000000" w:sz="4" w:space="0"/>
              <w:left w:val="single" w:color="000000" w:sz="4" w:space="0"/>
              <w:bottom w:val="single" w:color="000000" w:sz="4" w:space="0"/>
              <w:right w:val="single" w:color="000000" w:sz="4" w:space="0"/>
            </w:tcBorders>
            <w:vAlign w:val="center"/>
          </w:tcPr>
          <w:p w14:paraId="06F1ED0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restart"/>
            <w:tcBorders>
              <w:top w:val="single" w:color="000000" w:sz="4" w:space="0"/>
              <w:left w:val="single" w:color="000000" w:sz="4" w:space="0"/>
              <w:right w:val="single" w:color="000000" w:sz="4" w:space="0"/>
            </w:tcBorders>
            <w:vAlign w:val="center"/>
          </w:tcPr>
          <w:p w14:paraId="40E7D85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发现一处不合格扣1分</w:t>
            </w:r>
          </w:p>
        </w:tc>
        <w:tc>
          <w:tcPr>
            <w:tcW w:w="429" w:type="pct"/>
            <w:vMerge w:val="restart"/>
            <w:tcBorders>
              <w:top w:val="single" w:color="000000" w:sz="4" w:space="0"/>
              <w:left w:val="single" w:color="000000" w:sz="4" w:space="0"/>
              <w:right w:val="single" w:color="000000" w:sz="4" w:space="0"/>
            </w:tcBorders>
            <w:vAlign w:val="center"/>
          </w:tcPr>
          <w:p w14:paraId="5F76CE5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restart"/>
            <w:tcBorders>
              <w:top w:val="single" w:color="000000" w:sz="4" w:space="0"/>
              <w:left w:val="single" w:color="000000" w:sz="4" w:space="0"/>
              <w:right w:val="single" w:color="000000" w:sz="4" w:space="0"/>
            </w:tcBorders>
            <w:vAlign w:val="center"/>
          </w:tcPr>
          <w:p w14:paraId="0924C00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06570DEF">
        <w:tblPrEx>
          <w:tblCellMar>
            <w:top w:w="0" w:type="dxa"/>
            <w:left w:w="108" w:type="dxa"/>
            <w:bottom w:w="0" w:type="dxa"/>
            <w:right w:w="108" w:type="dxa"/>
          </w:tblCellMar>
        </w:tblPrEx>
        <w:trPr>
          <w:trHeight w:val="397" w:hRule="exact"/>
          <w:jc w:val="center"/>
        </w:trPr>
        <w:tc>
          <w:tcPr>
            <w:tcW w:w="437" w:type="pct"/>
            <w:vMerge w:val="continue"/>
            <w:tcBorders>
              <w:left w:val="single" w:color="000000" w:sz="4" w:space="0"/>
              <w:right w:val="single" w:color="000000" w:sz="4" w:space="0"/>
            </w:tcBorders>
            <w:shd w:val="clear" w:color="auto" w:fill="auto"/>
            <w:vAlign w:val="center"/>
          </w:tcPr>
          <w:p w14:paraId="306FE84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25" w:type="pct"/>
            <w:vMerge w:val="continue"/>
            <w:tcBorders>
              <w:left w:val="single" w:color="000000" w:sz="4" w:space="0"/>
              <w:right w:val="single" w:color="000000" w:sz="4" w:space="0"/>
            </w:tcBorders>
            <w:vAlign w:val="center"/>
          </w:tcPr>
          <w:p w14:paraId="1A4B6B6B">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p>
        </w:tc>
        <w:tc>
          <w:tcPr>
            <w:tcW w:w="440" w:type="pct"/>
            <w:vMerge w:val="continue"/>
            <w:tcBorders>
              <w:left w:val="single" w:color="000000" w:sz="4" w:space="0"/>
              <w:right w:val="single" w:color="000000" w:sz="4" w:space="0"/>
            </w:tcBorders>
            <w:vAlign w:val="center"/>
          </w:tcPr>
          <w:p w14:paraId="596A7D0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30" w:type="pct"/>
            <w:tcBorders>
              <w:top w:val="single" w:color="000000" w:sz="4" w:space="0"/>
              <w:left w:val="single" w:color="000000" w:sz="4" w:space="0"/>
              <w:bottom w:val="single" w:color="000000" w:sz="4" w:space="0"/>
              <w:right w:val="single" w:color="000000" w:sz="4" w:space="0"/>
            </w:tcBorders>
            <w:vAlign w:val="center"/>
          </w:tcPr>
          <w:p w14:paraId="1A565B5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前台沙发</w:t>
            </w:r>
          </w:p>
        </w:tc>
        <w:tc>
          <w:tcPr>
            <w:tcW w:w="463" w:type="pct"/>
            <w:tcBorders>
              <w:top w:val="single" w:color="000000" w:sz="4" w:space="0"/>
              <w:left w:val="single" w:color="000000" w:sz="4" w:space="0"/>
              <w:bottom w:val="single" w:color="000000" w:sz="4" w:space="0"/>
              <w:right w:val="single" w:color="000000" w:sz="4" w:space="0"/>
            </w:tcBorders>
            <w:vAlign w:val="center"/>
          </w:tcPr>
          <w:p w14:paraId="21C386B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continue"/>
            <w:tcBorders>
              <w:left w:val="single" w:color="000000" w:sz="4" w:space="0"/>
              <w:right w:val="single" w:color="000000" w:sz="4" w:space="0"/>
            </w:tcBorders>
            <w:vAlign w:val="center"/>
          </w:tcPr>
          <w:p w14:paraId="69BBB9D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29" w:type="pct"/>
            <w:vMerge w:val="continue"/>
            <w:tcBorders>
              <w:left w:val="single" w:color="000000" w:sz="4" w:space="0"/>
              <w:right w:val="single" w:color="000000" w:sz="4" w:space="0"/>
            </w:tcBorders>
            <w:vAlign w:val="center"/>
          </w:tcPr>
          <w:p w14:paraId="18EF816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continue"/>
            <w:tcBorders>
              <w:left w:val="single" w:color="000000" w:sz="4" w:space="0"/>
              <w:right w:val="single" w:color="000000" w:sz="4" w:space="0"/>
            </w:tcBorders>
            <w:vAlign w:val="center"/>
          </w:tcPr>
          <w:p w14:paraId="7E01C26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2D5F203D">
        <w:tblPrEx>
          <w:tblCellMar>
            <w:top w:w="0" w:type="dxa"/>
            <w:left w:w="108" w:type="dxa"/>
            <w:bottom w:w="0" w:type="dxa"/>
            <w:right w:w="108" w:type="dxa"/>
          </w:tblCellMar>
        </w:tblPrEx>
        <w:trPr>
          <w:trHeight w:val="397" w:hRule="exact"/>
          <w:jc w:val="center"/>
        </w:trPr>
        <w:tc>
          <w:tcPr>
            <w:tcW w:w="437" w:type="pct"/>
            <w:vMerge w:val="continue"/>
            <w:tcBorders>
              <w:left w:val="single" w:color="000000" w:sz="4" w:space="0"/>
              <w:right w:val="single" w:color="000000" w:sz="4" w:space="0"/>
            </w:tcBorders>
            <w:shd w:val="clear" w:color="auto" w:fill="auto"/>
            <w:vAlign w:val="center"/>
          </w:tcPr>
          <w:p w14:paraId="145940C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25" w:type="pct"/>
            <w:vMerge w:val="continue"/>
            <w:tcBorders>
              <w:left w:val="single" w:color="000000" w:sz="4" w:space="0"/>
              <w:right w:val="single" w:color="000000" w:sz="4" w:space="0"/>
            </w:tcBorders>
            <w:vAlign w:val="center"/>
          </w:tcPr>
          <w:p w14:paraId="51984247">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p>
        </w:tc>
        <w:tc>
          <w:tcPr>
            <w:tcW w:w="440" w:type="pct"/>
            <w:vMerge w:val="continue"/>
            <w:tcBorders>
              <w:left w:val="single" w:color="000000" w:sz="4" w:space="0"/>
              <w:right w:val="single" w:color="000000" w:sz="4" w:space="0"/>
            </w:tcBorders>
            <w:vAlign w:val="center"/>
          </w:tcPr>
          <w:p w14:paraId="4816192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30" w:type="pct"/>
            <w:tcBorders>
              <w:top w:val="single" w:color="000000" w:sz="4" w:space="0"/>
              <w:left w:val="single" w:color="000000" w:sz="4" w:space="0"/>
              <w:bottom w:val="single" w:color="000000" w:sz="4" w:space="0"/>
              <w:right w:val="single" w:color="000000" w:sz="4" w:space="0"/>
            </w:tcBorders>
            <w:vAlign w:val="center"/>
          </w:tcPr>
          <w:p w14:paraId="634048D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垃圾桶</w:t>
            </w:r>
          </w:p>
        </w:tc>
        <w:tc>
          <w:tcPr>
            <w:tcW w:w="463" w:type="pct"/>
            <w:tcBorders>
              <w:top w:val="single" w:color="000000" w:sz="4" w:space="0"/>
              <w:left w:val="single" w:color="000000" w:sz="4" w:space="0"/>
              <w:bottom w:val="single" w:color="000000" w:sz="4" w:space="0"/>
              <w:right w:val="single" w:color="000000" w:sz="4" w:space="0"/>
            </w:tcBorders>
            <w:vAlign w:val="center"/>
          </w:tcPr>
          <w:p w14:paraId="1245A29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continue"/>
            <w:tcBorders>
              <w:left w:val="single" w:color="000000" w:sz="4" w:space="0"/>
              <w:right w:val="single" w:color="000000" w:sz="4" w:space="0"/>
            </w:tcBorders>
            <w:vAlign w:val="center"/>
          </w:tcPr>
          <w:p w14:paraId="67628D7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29" w:type="pct"/>
            <w:vMerge w:val="continue"/>
            <w:tcBorders>
              <w:left w:val="single" w:color="000000" w:sz="4" w:space="0"/>
              <w:right w:val="single" w:color="000000" w:sz="4" w:space="0"/>
            </w:tcBorders>
            <w:vAlign w:val="center"/>
          </w:tcPr>
          <w:p w14:paraId="11DCFD6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continue"/>
            <w:tcBorders>
              <w:left w:val="single" w:color="000000" w:sz="4" w:space="0"/>
              <w:right w:val="single" w:color="000000" w:sz="4" w:space="0"/>
            </w:tcBorders>
            <w:vAlign w:val="center"/>
          </w:tcPr>
          <w:p w14:paraId="038C89A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7B137D78">
        <w:tblPrEx>
          <w:tblCellMar>
            <w:top w:w="0" w:type="dxa"/>
            <w:left w:w="108" w:type="dxa"/>
            <w:bottom w:w="0" w:type="dxa"/>
            <w:right w:w="108" w:type="dxa"/>
          </w:tblCellMar>
        </w:tblPrEx>
        <w:trPr>
          <w:trHeight w:val="397" w:hRule="exact"/>
          <w:jc w:val="center"/>
        </w:trPr>
        <w:tc>
          <w:tcPr>
            <w:tcW w:w="437" w:type="pct"/>
            <w:vMerge w:val="continue"/>
            <w:tcBorders>
              <w:left w:val="single" w:color="000000" w:sz="4" w:space="0"/>
              <w:right w:val="single" w:color="000000" w:sz="4" w:space="0"/>
            </w:tcBorders>
            <w:shd w:val="clear" w:color="auto" w:fill="auto"/>
            <w:vAlign w:val="center"/>
          </w:tcPr>
          <w:p w14:paraId="7A28D05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25" w:type="pct"/>
            <w:vMerge w:val="continue"/>
            <w:tcBorders>
              <w:left w:val="single" w:color="000000" w:sz="4" w:space="0"/>
              <w:right w:val="single" w:color="000000" w:sz="4" w:space="0"/>
            </w:tcBorders>
            <w:vAlign w:val="center"/>
          </w:tcPr>
          <w:p w14:paraId="11B6847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p>
        </w:tc>
        <w:tc>
          <w:tcPr>
            <w:tcW w:w="440" w:type="pct"/>
            <w:vMerge w:val="continue"/>
            <w:tcBorders>
              <w:left w:val="single" w:color="000000" w:sz="4" w:space="0"/>
              <w:right w:val="single" w:color="000000" w:sz="4" w:space="0"/>
            </w:tcBorders>
            <w:vAlign w:val="center"/>
          </w:tcPr>
          <w:p w14:paraId="1825420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30" w:type="pct"/>
            <w:tcBorders>
              <w:top w:val="single" w:color="000000" w:sz="4" w:space="0"/>
              <w:left w:val="single" w:color="000000" w:sz="4" w:space="0"/>
              <w:bottom w:val="single" w:color="000000" w:sz="4" w:space="0"/>
              <w:right w:val="single" w:color="000000" w:sz="4" w:space="0"/>
            </w:tcBorders>
            <w:vAlign w:val="center"/>
          </w:tcPr>
          <w:p w14:paraId="69688C1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玻璃清洗</w:t>
            </w:r>
          </w:p>
        </w:tc>
        <w:tc>
          <w:tcPr>
            <w:tcW w:w="463" w:type="pct"/>
            <w:tcBorders>
              <w:top w:val="single" w:color="000000" w:sz="4" w:space="0"/>
              <w:left w:val="single" w:color="000000" w:sz="4" w:space="0"/>
              <w:bottom w:val="single" w:color="000000" w:sz="4" w:space="0"/>
              <w:right w:val="single" w:color="000000" w:sz="4" w:space="0"/>
            </w:tcBorders>
            <w:vAlign w:val="center"/>
          </w:tcPr>
          <w:p w14:paraId="6900239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continue"/>
            <w:tcBorders>
              <w:left w:val="single" w:color="000000" w:sz="4" w:space="0"/>
              <w:right w:val="single" w:color="000000" w:sz="4" w:space="0"/>
            </w:tcBorders>
            <w:vAlign w:val="center"/>
          </w:tcPr>
          <w:p w14:paraId="2BCE1BF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29" w:type="pct"/>
            <w:vMerge w:val="continue"/>
            <w:tcBorders>
              <w:left w:val="single" w:color="000000" w:sz="4" w:space="0"/>
              <w:right w:val="single" w:color="000000" w:sz="4" w:space="0"/>
            </w:tcBorders>
            <w:vAlign w:val="center"/>
          </w:tcPr>
          <w:p w14:paraId="243159C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continue"/>
            <w:tcBorders>
              <w:left w:val="single" w:color="000000" w:sz="4" w:space="0"/>
              <w:right w:val="single" w:color="000000" w:sz="4" w:space="0"/>
            </w:tcBorders>
            <w:vAlign w:val="center"/>
          </w:tcPr>
          <w:p w14:paraId="6AF6543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003E9062">
        <w:tblPrEx>
          <w:tblCellMar>
            <w:top w:w="0" w:type="dxa"/>
            <w:left w:w="108" w:type="dxa"/>
            <w:bottom w:w="0" w:type="dxa"/>
            <w:right w:w="108" w:type="dxa"/>
          </w:tblCellMar>
        </w:tblPrEx>
        <w:trPr>
          <w:trHeight w:val="397" w:hRule="exact"/>
          <w:jc w:val="center"/>
        </w:trPr>
        <w:tc>
          <w:tcPr>
            <w:tcW w:w="437" w:type="pct"/>
            <w:vMerge w:val="continue"/>
            <w:tcBorders>
              <w:left w:val="single" w:color="000000" w:sz="4" w:space="0"/>
              <w:right w:val="single" w:color="000000" w:sz="4" w:space="0"/>
            </w:tcBorders>
            <w:shd w:val="clear" w:color="auto" w:fill="auto"/>
            <w:vAlign w:val="center"/>
          </w:tcPr>
          <w:p w14:paraId="18DE3F7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25" w:type="pct"/>
            <w:vMerge w:val="continue"/>
            <w:tcBorders>
              <w:left w:val="single" w:color="000000" w:sz="4" w:space="0"/>
              <w:right w:val="single" w:color="000000" w:sz="4" w:space="0"/>
            </w:tcBorders>
            <w:vAlign w:val="center"/>
          </w:tcPr>
          <w:p w14:paraId="58C6A6A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p>
        </w:tc>
        <w:tc>
          <w:tcPr>
            <w:tcW w:w="440" w:type="pct"/>
            <w:vMerge w:val="continue"/>
            <w:tcBorders>
              <w:left w:val="single" w:color="000000" w:sz="4" w:space="0"/>
              <w:right w:val="single" w:color="000000" w:sz="4" w:space="0"/>
            </w:tcBorders>
            <w:vAlign w:val="center"/>
          </w:tcPr>
          <w:p w14:paraId="560B8FC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30" w:type="pct"/>
            <w:tcBorders>
              <w:top w:val="single" w:color="000000" w:sz="4" w:space="0"/>
              <w:left w:val="single" w:color="000000" w:sz="4" w:space="0"/>
              <w:bottom w:val="single" w:color="000000" w:sz="4" w:space="0"/>
              <w:right w:val="single" w:color="000000" w:sz="4" w:space="0"/>
            </w:tcBorders>
            <w:vAlign w:val="center"/>
          </w:tcPr>
          <w:p w14:paraId="0BD6633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消防设施</w:t>
            </w:r>
          </w:p>
        </w:tc>
        <w:tc>
          <w:tcPr>
            <w:tcW w:w="463" w:type="pct"/>
            <w:tcBorders>
              <w:top w:val="single" w:color="000000" w:sz="4" w:space="0"/>
              <w:left w:val="single" w:color="000000" w:sz="4" w:space="0"/>
              <w:bottom w:val="single" w:color="000000" w:sz="4" w:space="0"/>
              <w:right w:val="single" w:color="000000" w:sz="4" w:space="0"/>
            </w:tcBorders>
            <w:vAlign w:val="center"/>
          </w:tcPr>
          <w:p w14:paraId="525D8AA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continue"/>
            <w:tcBorders>
              <w:left w:val="single" w:color="000000" w:sz="4" w:space="0"/>
              <w:right w:val="single" w:color="000000" w:sz="4" w:space="0"/>
            </w:tcBorders>
            <w:vAlign w:val="center"/>
          </w:tcPr>
          <w:p w14:paraId="26EBE58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29" w:type="pct"/>
            <w:vMerge w:val="continue"/>
            <w:tcBorders>
              <w:left w:val="single" w:color="000000" w:sz="4" w:space="0"/>
              <w:right w:val="single" w:color="000000" w:sz="4" w:space="0"/>
            </w:tcBorders>
            <w:vAlign w:val="center"/>
          </w:tcPr>
          <w:p w14:paraId="12D0D6F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continue"/>
            <w:tcBorders>
              <w:left w:val="single" w:color="000000" w:sz="4" w:space="0"/>
              <w:right w:val="single" w:color="000000" w:sz="4" w:space="0"/>
            </w:tcBorders>
            <w:vAlign w:val="center"/>
          </w:tcPr>
          <w:p w14:paraId="2469A1E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4879FD23">
        <w:tblPrEx>
          <w:tblCellMar>
            <w:top w:w="0" w:type="dxa"/>
            <w:left w:w="108" w:type="dxa"/>
            <w:bottom w:w="0" w:type="dxa"/>
            <w:right w:w="108" w:type="dxa"/>
          </w:tblCellMar>
        </w:tblPrEx>
        <w:trPr>
          <w:trHeight w:val="397" w:hRule="exact"/>
          <w:jc w:val="center"/>
        </w:trPr>
        <w:tc>
          <w:tcPr>
            <w:tcW w:w="437" w:type="pct"/>
            <w:vMerge w:val="continue"/>
            <w:tcBorders>
              <w:left w:val="single" w:color="000000" w:sz="4" w:space="0"/>
              <w:right w:val="single" w:color="000000" w:sz="4" w:space="0"/>
            </w:tcBorders>
            <w:shd w:val="clear" w:color="auto" w:fill="auto"/>
            <w:vAlign w:val="center"/>
          </w:tcPr>
          <w:p w14:paraId="585F2DF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25" w:type="pct"/>
            <w:vMerge w:val="continue"/>
            <w:tcBorders>
              <w:left w:val="single" w:color="000000" w:sz="4" w:space="0"/>
              <w:right w:val="single" w:color="000000" w:sz="4" w:space="0"/>
            </w:tcBorders>
            <w:vAlign w:val="center"/>
          </w:tcPr>
          <w:p w14:paraId="4E792994">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p>
        </w:tc>
        <w:tc>
          <w:tcPr>
            <w:tcW w:w="440" w:type="pct"/>
            <w:vMerge w:val="continue"/>
            <w:tcBorders>
              <w:left w:val="single" w:color="000000" w:sz="4" w:space="0"/>
              <w:right w:val="single" w:color="000000" w:sz="4" w:space="0"/>
            </w:tcBorders>
            <w:vAlign w:val="center"/>
          </w:tcPr>
          <w:p w14:paraId="256C56F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30" w:type="pct"/>
            <w:tcBorders>
              <w:top w:val="single" w:color="000000" w:sz="4" w:space="0"/>
              <w:left w:val="single" w:color="000000" w:sz="4" w:space="0"/>
              <w:bottom w:val="single" w:color="000000" w:sz="4" w:space="0"/>
              <w:right w:val="single" w:color="000000" w:sz="4" w:space="0"/>
            </w:tcBorders>
            <w:vAlign w:val="center"/>
          </w:tcPr>
          <w:p w14:paraId="59EFF8B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配饰擦拭</w:t>
            </w:r>
          </w:p>
        </w:tc>
        <w:tc>
          <w:tcPr>
            <w:tcW w:w="463" w:type="pct"/>
            <w:tcBorders>
              <w:top w:val="single" w:color="000000" w:sz="4" w:space="0"/>
              <w:left w:val="single" w:color="000000" w:sz="4" w:space="0"/>
              <w:bottom w:val="single" w:color="000000" w:sz="4" w:space="0"/>
              <w:right w:val="single" w:color="000000" w:sz="4" w:space="0"/>
            </w:tcBorders>
            <w:vAlign w:val="center"/>
          </w:tcPr>
          <w:p w14:paraId="45B5BFC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continue"/>
            <w:tcBorders>
              <w:left w:val="single" w:color="000000" w:sz="4" w:space="0"/>
              <w:right w:val="single" w:color="000000" w:sz="4" w:space="0"/>
            </w:tcBorders>
            <w:vAlign w:val="center"/>
          </w:tcPr>
          <w:p w14:paraId="31D4571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29" w:type="pct"/>
            <w:vMerge w:val="continue"/>
            <w:tcBorders>
              <w:left w:val="single" w:color="000000" w:sz="4" w:space="0"/>
              <w:right w:val="single" w:color="000000" w:sz="4" w:space="0"/>
            </w:tcBorders>
            <w:vAlign w:val="center"/>
          </w:tcPr>
          <w:p w14:paraId="77EBC42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continue"/>
            <w:tcBorders>
              <w:left w:val="single" w:color="000000" w:sz="4" w:space="0"/>
              <w:right w:val="single" w:color="000000" w:sz="4" w:space="0"/>
            </w:tcBorders>
            <w:vAlign w:val="center"/>
          </w:tcPr>
          <w:p w14:paraId="7F6E012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009E3859">
        <w:tblPrEx>
          <w:tblCellMar>
            <w:top w:w="0" w:type="dxa"/>
            <w:left w:w="108" w:type="dxa"/>
            <w:bottom w:w="0" w:type="dxa"/>
            <w:right w:w="108" w:type="dxa"/>
          </w:tblCellMar>
        </w:tblPrEx>
        <w:trPr>
          <w:trHeight w:val="397" w:hRule="exact"/>
          <w:jc w:val="center"/>
        </w:trPr>
        <w:tc>
          <w:tcPr>
            <w:tcW w:w="437" w:type="pct"/>
            <w:vMerge w:val="continue"/>
            <w:tcBorders>
              <w:left w:val="single" w:color="000000" w:sz="4" w:space="0"/>
              <w:right w:val="single" w:color="000000" w:sz="4" w:space="0"/>
            </w:tcBorders>
            <w:shd w:val="clear" w:color="auto" w:fill="auto"/>
            <w:vAlign w:val="center"/>
          </w:tcPr>
          <w:p w14:paraId="7652AE9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25" w:type="pct"/>
            <w:vMerge w:val="continue"/>
            <w:tcBorders>
              <w:left w:val="single" w:color="000000" w:sz="4" w:space="0"/>
              <w:right w:val="single" w:color="000000" w:sz="4" w:space="0"/>
            </w:tcBorders>
            <w:vAlign w:val="center"/>
          </w:tcPr>
          <w:p w14:paraId="5077613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p>
        </w:tc>
        <w:tc>
          <w:tcPr>
            <w:tcW w:w="440" w:type="pct"/>
            <w:vMerge w:val="continue"/>
            <w:tcBorders>
              <w:left w:val="single" w:color="000000" w:sz="4" w:space="0"/>
              <w:right w:val="single" w:color="000000" w:sz="4" w:space="0"/>
            </w:tcBorders>
            <w:vAlign w:val="center"/>
          </w:tcPr>
          <w:p w14:paraId="5FA4BFE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30" w:type="pct"/>
            <w:tcBorders>
              <w:top w:val="single" w:color="000000" w:sz="4" w:space="0"/>
              <w:left w:val="single" w:color="000000" w:sz="4" w:space="0"/>
              <w:bottom w:val="single" w:color="000000" w:sz="4" w:space="0"/>
              <w:right w:val="single" w:color="000000" w:sz="4" w:space="0"/>
            </w:tcBorders>
            <w:vAlign w:val="center"/>
          </w:tcPr>
          <w:p w14:paraId="5592CFC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门擦拭</w:t>
            </w:r>
          </w:p>
        </w:tc>
        <w:tc>
          <w:tcPr>
            <w:tcW w:w="463" w:type="pct"/>
            <w:tcBorders>
              <w:top w:val="single" w:color="000000" w:sz="4" w:space="0"/>
              <w:left w:val="single" w:color="000000" w:sz="4" w:space="0"/>
              <w:bottom w:val="single" w:color="000000" w:sz="4" w:space="0"/>
              <w:right w:val="single" w:color="000000" w:sz="4" w:space="0"/>
            </w:tcBorders>
            <w:vAlign w:val="center"/>
          </w:tcPr>
          <w:p w14:paraId="4F2F2A8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continue"/>
            <w:tcBorders>
              <w:left w:val="single" w:color="000000" w:sz="4" w:space="0"/>
              <w:right w:val="single" w:color="000000" w:sz="4" w:space="0"/>
            </w:tcBorders>
            <w:vAlign w:val="center"/>
          </w:tcPr>
          <w:p w14:paraId="2624694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29" w:type="pct"/>
            <w:vMerge w:val="continue"/>
            <w:tcBorders>
              <w:left w:val="single" w:color="000000" w:sz="4" w:space="0"/>
              <w:right w:val="single" w:color="000000" w:sz="4" w:space="0"/>
            </w:tcBorders>
            <w:vAlign w:val="center"/>
          </w:tcPr>
          <w:p w14:paraId="7ABAD6C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continue"/>
            <w:tcBorders>
              <w:left w:val="single" w:color="000000" w:sz="4" w:space="0"/>
              <w:right w:val="single" w:color="000000" w:sz="4" w:space="0"/>
            </w:tcBorders>
            <w:vAlign w:val="center"/>
          </w:tcPr>
          <w:p w14:paraId="468EF02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2C2D2098">
        <w:tblPrEx>
          <w:tblCellMar>
            <w:top w:w="0" w:type="dxa"/>
            <w:left w:w="108" w:type="dxa"/>
            <w:bottom w:w="0" w:type="dxa"/>
            <w:right w:w="108" w:type="dxa"/>
          </w:tblCellMar>
        </w:tblPrEx>
        <w:trPr>
          <w:trHeight w:val="397" w:hRule="exact"/>
          <w:jc w:val="center"/>
        </w:trPr>
        <w:tc>
          <w:tcPr>
            <w:tcW w:w="437" w:type="pct"/>
            <w:vMerge w:val="continue"/>
            <w:tcBorders>
              <w:left w:val="single" w:color="000000" w:sz="4" w:space="0"/>
              <w:bottom w:val="single" w:color="000000" w:sz="4" w:space="0"/>
              <w:right w:val="single" w:color="000000" w:sz="4" w:space="0"/>
            </w:tcBorders>
            <w:shd w:val="clear" w:color="auto" w:fill="auto"/>
            <w:vAlign w:val="center"/>
          </w:tcPr>
          <w:p w14:paraId="657BF7C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25" w:type="pct"/>
            <w:vMerge w:val="continue"/>
            <w:tcBorders>
              <w:left w:val="single" w:color="000000" w:sz="4" w:space="0"/>
              <w:bottom w:val="single" w:color="000000" w:sz="4" w:space="0"/>
              <w:right w:val="single" w:color="000000" w:sz="4" w:space="0"/>
            </w:tcBorders>
            <w:vAlign w:val="center"/>
          </w:tcPr>
          <w:p w14:paraId="0BD74B01">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p>
        </w:tc>
        <w:tc>
          <w:tcPr>
            <w:tcW w:w="440" w:type="pct"/>
            <w:vMerge w:val="continue"/>
            <w:tcBorders>
              <w:left w:val="single" w:color="000000" w:sz="4" w:space="0"/>
              <w:bottom w:val="single" w:color="000000" w:sz="4" w:space="0"/>
              <w:right w:val="single" w:color="000000" w:sz="4" w:space="0"/>
            </w:tcBorders>
            <w:vAlign w:val="center"/>
          </w:tcPr>
          <w:p w14:paraId="13DF8DE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30" w:type="pct"/>
            <w:tcBorders>
              <w:top w:val="single" w:color="000000" w:sz="4" w:space="0"/>
              <w:left w:val="single" w:color="000000" w:sz="4" w:space="0"/>
              <w:bottom w:val="single" w:color="000000" w:sz="4" w:space="0"/>
              <w:right w:val="single" w:color="000000" w:sz="4" w:space="0"/>
            </w:tcBorders>
            <w:vAlign w:val="center"/>
          </w:tcPr>
          <w:p w14:paraId="0D8F0A8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墙面擦拭</w:t>
            </w:r>
          </w:p>
        </w:tc>
        <w:tc>
          <w:tcPr>
            <w:tcW w:w="463" w:type="pct"/>
            <w:tcBorders>
              <w:top w:val="single" w:color="000000" w:sz="4" w:space="0"/>
              <w:left w:val="single" w:color="000000" w:sz="4" w:space="0"/>
              <w:bottom w:val="single" w:color="000000" w:sz="4" w:space="0"/>
              <w:right w:val="single" w:color="000000" w:sz="4" w:space="0"/>
            </w:tcBorders>
            <w:vAlign w:val="center"/>
          </w:tcPr>
          <w:p w14:paraId="1F2A490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continue"/>
            <w:tcBorders>
              <w:left w:val="single" w:color="000000" w:sz="4" w:space="0"/>
              <w:bottom w:val="single" w:color="000000" w:sz="4" w:space="0"/>
              <w:right w:val="single" w:color="000000" w:sz="4" w:space="0"/>
            </w:tcBorders>
            <w:vAlign w:val="center"/>
          </w:tcPr>
          <w:p w14:paraId="22E211D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29" w:type="pct"/>
            <w:vMerge w:val="continue"/>
            <w:tcBorders>
              <w:left w:val="single" w:color="000000" w:sz="4" w:space="0"/>
              <w:bottom w:val="single" w:color="000000" w:sz="4" w:space="0"/>
              <w:right w:val="single" w:color="000000" w:sz="4" w:space="0"/>
            </w:tcBorders>
            <w:vAlign w:val="center"/>
          </w:tcPr>
          <w:p w14:paraId="7C31FCD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continue"/>
            <w:tcBorders>
              <w:left w:val="single" w:color="000000" w:sz="4" w:space="0"/>
              <w:bottom w:val="single" w:color="000000" w:sz="4" w:space="0"/>
              <w:right w:val="single" w:color="000000" w:sz="4" w:space="0"/>
            </w:tcBorders>
            <w:vAlign w:val="center"/>
          </w:tcPr>
          <w:p w14:paraId="0E43B20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5377B3BF">
        <w:tblPrEx>
          <w:tblCellMar>
            <w:top w:w="0" w:type="dxa"/>
            <w:left w:w="108" w:type="dxa"/>
            <w:bottom w:w="0" w:type="dxa"/>
            <w:right w:w="108" w:type="dxa"/>
          </w:tblCellMar>
        </w:tblPrEx>
        <w:trPr>
          <w:trHeight w:val="397" w:hRule="exact"/>
          <w:jc w:val="center"/>
        </w:trPr>
        <w:tc>
          <w:tcPr>
            <w:tcW w:w="437" w:type="pct"/>
            <w:vMerge w:val="restart"/>
            <w:tcBorders>
              <w:top w:val="single" w:color="000000" w:sz="4" w:space="0"/>
              <w:left w:val="single" w:color="000000" w:sz="4" w:space="0"/>
              <w:right w:val="single" w:color="000000" w:sz="4" w:space="0"/>
            </w:tcBorders>
            <w:vAlign w:val="center"/>
          </w:tcPr>
          <w:p w14:paraId="73954F5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4</w:t>
            </w:r>
          </w:p>
        </w:tc>
        <w:tc>
          <w:tcPr>
            <w:tcW w:w="925" w:type="pct"/>
            <w:vMerge w:val="restart"/>
            <w:tcBorders>
              <w:top w:val="single" w:color="000000" w:sz="4" w:space="0"/>
              <w:left w:val="single" w:color="000000" w:sz="4" w:space="0"/>
              <w:right w:val="single" w:color="000000" w:sz="4" w:space="0"/>
            </w:tcBorders>
            <w:vAlign w:val="center"/>
          </w:tcPr>
          <w:p w14:paraId="4D314FB9">
            <w:pPr>
              <w:keepNext w:val="0"/>
              <w:keepLines w:val="0"/>
              <w:pageBreakBefore w:val="0"/>
              <w:widowControl w:val="0"/>
              <w:kinsoku/>
              <w:wordWrap/>
              <w:overflowPunct/>
              <w:topLinePunct w:val="0"/>
              <w:autoSpaceDE/>
              <w:autoSpaceDN/>
              <w:bidi w:val="0"/>
              <w:adjustRightInd/>
              <w:snapToGrid/>
              <w:spacing w:after="157" w:afterLines="50" w:line="240" w:lineRule="exact"/>
              <w:jc w:val="left"/>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楼内楼梯扶手、栏杆、窗台目视无灰尘、无污渍</w:t>
            </w:r>
          </w:p>
          <w:p w14:paraId="77B7B0D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楼内墙面目视基本无灰尘、无污渍</w:t>
            </w:r>
          </w:p>
        </w:tc>
        <w:tc>
          <w:tcPr>
            <w:tcW w:w="440" w:type="pct"/>
            <w:vMerge w:val="restart"/>
            <w:tcBorders>
              <w:top w:val="single" w:color="000000" w:sz="4" w:space="0"/>
              <w:left w:val="single" w:color="000000" w:sz="4" w:space="0"/>
              <w:right w:val="single" w:color="000000" w:sz="4" w:space="0"/>
            </w:tcBorders>
            <w:vAlign w:val="center"/>
          </w:tcPr>
          <w:p w14:paraId="7D3DB6F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3</w:t>
            </w:r>
          </w:p>
        </w:tc>
        <w:tc>
          <w:tcPr>
            <w:tcW w:w="930" w:type="pct"/>
            <w:tcBorders>
              <w:top w:val="single" w:color="000000" w:sz="4" w:space="0"/>
              <w:left w:val="single" w:color="000000" w:sz="4" w:space="0"/>
              <w:bottom w:val="single" w:color="000000" w:sz="4" w:space="0"/>
              <w:right w:val="single" w:color="000000" w:sz="4" w:space="0"/>
            </w:tcBorders>
            <w:vAlign w:val="center"/>
          </w:tcPr>
          <w:p w14:paraId="0223265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栏杆擦拭</w:t>
            </w:r>
          </w:p>
        </w:tc>
        <w:tc>
          <w:tcPr>
            <w:tcW w:w="463" w:type="pct"/>
            <w:tcBorders>
              <w:top w:val="single" w:color="000000" w:sz="4" w:space="0"/>
              <w:left w:val="single" w:color="000000" w:sz="4" w:space="0"/>
              <w:bottom w:val="single" w:color="000000" w:sz="4" w:space="0"/>
              <w:right w:val="single" w:color="000000" w:sz="4" w:space="0"/>
            </w:tcBorders>
            <w:vAlign w:val="center"/>
          </w:tcPr>
          <w:p w14:paraId="5971CE6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p>
        </w:tc>
        <w:tc>
          <w:tcPr>
            <w:tcW w:w="675" w:type="pct"/>
            <w:vMerge w:val="restart"/>
            <w:tcBorders>
              <w:top w:val="single" w:color="000000" w:sz="4" w:space="0"/>
              <w:left w:val="single" w:color="000000" w:sz="4" w:space="0"/>
              <w:right w:val="single" w:color="000000" w:sz="4" w:space="0"/>
            </w:tcBorders>
            <w:vAlign w:val="center"/>
          </w:tcPr>
          <w:p w14:paraId="3BD611E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发现一处不合格扣1分</w:t>
            </w:r>
          </w:p>
        </w:tc>
        <w:tc>
          <w:tcPr>
            <w:tcW w:w="429" w:type="pct"/>
            <w:vMerge w:val="restart"/>
            <w:tcBorders>
              <w:top w:val="single" w:color="000000" w:sz="4" w:space="0"/>
              <w:left w:val="single" w:color="000000" w:sz="4" w:space="0"/>
              <w:right w:val="single" w:color="000000" w:sz="4" w:space="0"/>
            </w:tcBorders>
            <w:vAlign w:val="center"/>
          </w:tcPr>
          <w:p w14:paraId="4D9746B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restart"/>
            <w:tcBorders>
              <w:top w:val="single" w:color="000000" w:sz="4" w:space="0"/>
              <w:left w:val="single" w:color="000000" w:sz="4" w:space="0"/>
              <w:right w:val="single" w:color="000000" w:sz="4" w:space="0"/>
            </w:tcBorders>
            <w:vAlign w:val="center"/>
          </w:tcPr>
          <w:p w14:paraId="25A24D5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p>
        </w:tc>
      </w:tr>
      <w:tr w14:paraId="138240F7">
        <w:tblPrEx>
          <w:tblCellMar>
            <w:top w:w="0" w:type="dxa"/>
            <w:left w:w="108" w:type="dxa"/>
            <w:bottom w:w="0" w:type="dxa"/>
            <w:right w:w="108" w:type="dxa"/>
          </w:tblCellMar>
        </w:tblPrEx>
        <w:trPr>
          <w:trHeight w:val="397" w:hRule="exact"/>
          <w:jc w:val="center"/>
        </w:trPr>
        <w:tc>
          <w:tcPr>
            <w:tcW w:w="437" w:type="pct"/>
            <w:vMerge w:val="continue"/>
            <w:tcBorders>
              <w:left w:val="single" w:color="000000" w:sz="4" w:space="0"/>
              <w:right w:val="single" w:color="000000" w:sz="4" w:space="0"/>
            </w:tcBorders>
            <w:vAlign w:val="center"/>
          </w:tcPr>
          <w:p w14:paraId="7C3DF95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25" w:type="pct"/>
            <w:vMerge w:val="continue"/>
            <w:tcBorders>
              <w:left w:val="single" w:color="000000" w:sz="4" w:space="0"/>
              <w:right w:val="single" w:color="000000" w:sz="4" w:space="0"/>
            </w:tcBorders>
            <w:vAlign w:val="center"/>
          </w:tcPr>
          <w:p w14:paraId="072ACE8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p>
        </w:tc>
        <w:tc>
          <w:tcPr>
            <w:tcW w:w="440" w:type="pct"/>
            <w:vMerge w:val="continue"/>
            <w:tcBorders>
              <w:left w:val="single" w:color="000000" w:sz="4" w:space="0"/>
              <w:right w:val="single" w:color="000000" w:sz="4" w:space="0"/>
            </w:tcBorders>
            <w:vAlign w:val="center"/>
          </w:tcPr>
          <w:p w14:paraId="7AE87A1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30" w:type="pct"/>
            <w:tcBorders>
              <w:top w:val="single" w:color="000000" w:sz="4" w:space="0"/>
              <w:left w:val="single" w:color="000000" w:sz="4" w:space="0"/>
              <w:bottom w:val="single" w:color="000000" w:sz="4" w:space="0"/>
              <w:right w:val="single" w:color="000000" w:sz="4" w:space="0"/>
            </w:tcBorders>
            <w:vAlign w:val="center"/>
          </w:tcPr>
          <w:p w14:paraId="0B36FB0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拖洗</w:t>
            </w:r>
          </w:p>
        </w:tc>
        <w:tc>
          <w:tcPr>
            <w:tcW w:w="463" w:type="pct"/>
            <w:tcBorders>
              <w:top w:val="single" w:color="000000" w:sz="4" w:space="0"/>
              <w:left w:val="single" w:color="000000" w:sz="4" w:space="0"/>
              <w:bottom w:val="single" w:color="000000" w:sz="4" w:space="0"/>
              <w:right w:val="single" w:color="000000" w:sz="4" w:space="0"/>
            </w:tcBorders>
            <w:vAlign w:val="center"/>
          </w:tcPr>
          <w:p w14:paraId="0A4FC55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continue"/>
            <w:tcBorders>
              <w:left w:val="single" w:color="000000" w:sz="4" w:space="0"/>
              <w:right w:val="single" w:color="000000" w:sz="4" w:space="0"/>
            </w:tcBorders>
            <w:vAlign w:val="center"/>
          </w:tcPr>
          <w:p w14:paraId="341ACED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29" w:type="pct"/>
            <w:vMerge w:val="continue"/>
            <w:tcBorders>
              <w:left w:val="single" w:color="000000" w:sz="4" w:space="0"/>
              <w:right w:val="single" w:color="000000" w:sz="4" w:space="0"/>
            </w:tcBorders>
            <w:vAlign w:val="center"/>
          </w:tcPr>
          <w:p w14:paraId="3D1104D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continue"/>
            <w:tcBorders>
              <w:left w:val="single" w:color="000000" w:sz="4" w:space="0"/>
              <w:right w:val="single" w:color="000000" w:sz="4" w:space="0"/>
            </w:tcBorders>
            <w:vAlign w:val="center"/>
          </w:tcPr>
          <w:p w14:paraId="5C75021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4840BB67">
        <w:tblPrEx>
          <w:tblCellMar>
            <w:top w:w="0" w:type="dxa"/>
            <w:left w:w="108" w:type="dxa"/>
            <w:bottom w:w="0" w:type="dxa"/>
            <w:right w:w="108" w:type="dxa"/>
          </w:tblCellMar>
        </w:tblPrEx>
        <w:trPr>
          <w:trHeight w:val="397" w:hRule="exact"/>
          <w:jc w:val="center"/>
        </w:trPr>
        <w:tc>
          <w:tcPr>
            <w:tcW w:w="437" w:type="pct"/>
            <w:vMerge w:val="continue"/>
            <w:tcBorders>
              <w:left w:val="single" w:color="000000" w:sz="4" w:space="0"/>
              <w:right w:val="single" w:color="000000" w:sz="4" w:space="0"/>
            </w:tcBorders>
            <w:vAlign w:val="center"/>
          </w:tcPr>
          <w:p w14:paraId="7CFC705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25" w:type="pct"/>
            <w:vMerge w:val="continue"/>
            <w:tcBorders>
              <w:left w:val="single" w:color="000000" w:sz="4" w:space="0"/>
              <w:right w:val="single" w:color="000000" w:sz="4" w:space="0"/>
            </w:tcBorders>
            <w:vAlign w:val="center"/>
          </w:tcPr>
          <w:p w14:paraId="0395DDD8">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p>
        </w:tc>
        <w:tc>
          <w:tcPr>
            <w:tcW w:w="440" w:type="pct"/>
            <w:vMerge w:val="continue"/>
            <w:tcBorders>
              <w:left w:val="single" w:color="000000" w:sz="4" w:space="0"/>
              <w:right w:val="single" w:color="000000" w:sz="4" w:space="0"/>
            </w:tcBorders>
            <w:vAlign w:val="center"/>
          </w:tcPr>
          <w:p w14:paraId="66E2CF3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30" w:type="pct"/>
            <w:tcBorders>
              <w:top w:val="single" w:color="000000" w:sz="4" w:space="0"/>
              <w:left w:val="single" w:color="000000" w:sz="4" w:space="0"/>
              <w:bottom w:val="single" w:color="000000" w:sz="4" w:space="0"/>
              <w:right w:val="single" w:color="000000" w:sz="4" w:space="0"/>
            </w:tcBorders>
            <w:vAlign w:val="center"/>
          </w:tcPr>
          <w:p w14:paraId="28657F0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窗户擦拭</w:t>
            </w:r>
          </w:p>
        </w:tc>
        <w:tc>
          <w:tcPr>
            <w:tcW w:w="463" w:type="pct"/>
            <w:tcBorders>
              <w:top w:val="single" w:color="000000" w:sz="4" w:space="0"/>
              <w:left w:val="single" w:color="000000" w:sz="4" w:space="0"/>
              <w:bottom w:val="single" w:color="000000" w:sz="4" w:space="0"/>
              <w:right w:val="single" w:color="000000" w:sz="4" w:space="0"/>
            </w:tcBorders>
            <w:vAlign w:val="center"/>
          </w:tcPr>
          <w:p w14:paraId="760ABA0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continue"/>
            <w:tcBorders>
              <w:left w:val="single" w:color="000000" w:sz="4" w:space="0"/>
              <w:right w:val="single" w:color="000000" w:sz="4" w:space="0"/>
            </w:tcBorders>
            <w:vAlign w:val="center"/>
          </w:tcPr>
          <w:p w14:paraId="72397D8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29" w:type="pct"/>
            <w:vMerge w:val="continue"/>
            <w:tcBorders>
              <w:left w:val="single" w:color="000000" w:sz="4" w:space="0"/>
              <w:right w:val="single" w:color="000000" w:sz="4" w:space="0"/>
            </w:tcBorders>
            <w:vAlign w:val="center"/>
          </w:tcPr>
          <w:p w14:paraId="25C858D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continue"/>
            <w:tcBorders>
              <w:left w:val="single" w:color="000000" w:sz="4" w:space="0"/>
              <w:right w:val="single" w:color="000000" w:sz="4" w:space="0"/>
            </w:tcBorders>
            <w:vAlign w:val="center"/>
          </w:tcPr>
          <w:p w14:paraId="25611F9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198F2F9C">
        <w:tblPrEx>
          <w:tblCellMar>
            <w:top w:w="0" w:type="dxa"/>
            <w:left w:w="108" w:type="dxa"/>
            <w:bottom w:w="0" w:type="dxa"/>
            <w:right w:w="108" w:type="dxa"/>
          </w:tblCellMar>
        </w:tblPrEx>
        <w:trPr>
          <w:trHeight w:val="397" w:hRule="exact"/>
          <w:jc w:val="center"/>
        </w:trPr>
        <w:tc>
          <w:tcPr>
            <w:tcW w:w="437" w:type="pct"/>
            <w:vMerge w:val="continue"/>
            <w:tcBorders>
              <w:left w:val="single" w:color="000000" w:sz="4" w:space="0"/>
              <w:right w:val="single" w:color="000000" w:sz="4" w:space="0"/>
            </w:tcBorders>
            <w:vAlign w:val="center"/>
          </w:tcPr>
          <w:p w14:paraId="44619B5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25" w:type="pct"/>
            <w:vMerge w:val="continue"/>
            <w:tcBorders>
              <w:left w:val="single" w:color="000000" w:sz="4" w:space="0"/>
              <w:right w:val="single" w:color="000000" w:sz="4" w:space="0"/>
            </w:tcBorders>
            <w:vAlign w:val="center"/>
          </w:tcPr>
          <w:p w14:paraId="7559D36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p>
        </w:tc>
        <w:tc>
          <w:tcPr>
            <w:tcW w:w="440" w:type="pct"/>
            <w:vMerge w:val="continue"/>
            <w:tcBorders>
              <w:left w:val="single" w:color="000000" w:sz="4" w:space="0"/>
              <w:right w:val="single" w:color="000000" w:sz="4" w:space="0"/>
            </w:tcBorders>
            <w:vAlign w:val="center"/>
          </w:tcPr>
          <w:p w14:paraId="125705B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30" w:type="pct"/>
            <w:tcBorders>
              <w:top w:val="single" w:color="000000" w:sz="4" w:space="0"/>
              <w:left w:val="single" w:color="000000" w:sz="4" w:space="0"/>
              <w:bottom w:val="single" w:color="000000" w:sz="4" w:space="0"/>
              <w:right w:val="single" w:color="000000" w:sz="4" w:space="0"/>
            </w:tcBorders>
            <w:vAlign w:val="center"/>
          </w:tcPr>
          <w:p w14:paraId="718447F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扫地</w:t>
            </w:r>
          </w:p>
        </w:tc>
        <w:tc>
          <w:tcPr>
            <w:tcW w:w="463" w:type="pct"/>
            <w:tcBorders>
              <w:top w:val="single" w:color="000000" w:sz="4" w:space="0"/>
              <w:left w:val="single" w:color="000000" w:sz="4" w:space="0"/>
              <w:bottom w:val="single" w:color="000000" w:sz="4" w:space="0"/>
              <w:right w:val="single" w:color="000000" w:sz="4" w:space="0"/>
            </w:tcBorders>
            <w:vAlign w:val="center"/>
          </w:tcPr>
          <w:p w14:paraId="58BC45F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continue"/>
            <w:tcBorders>
              <w:left w:val="single" w:color="000000" w:sz="4" w:space="0"/>
              <w:right w:val="single" w:color="000000" w:sz="4" w:space="0"/>
            </w:tcBorders>
            <w:vAlign w:val="center"/>
          </w:tcPr>
          <w:p w14:paraId="264F0FD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29" w:type="pct"/>
            <w:vMerge w:val="continue"/>
            <w:tcBorders>
              <w:left w:val="single" w:color="000000" w:sz="4" w:space="0"/>
              <w:right w:val="single" w:color="000000" w:sz="4" w:space="0"/>
            </w:tcBorders>
            <w:vAlign w:val="center"/>
          </w:tcPr>
          <w:p w14:paraId="6052004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continue"/>
            <w:tcBorders>
              <w:left w:val="single" w:color="000000" w:sz="4" w:space="0"/>
              <w:right w:val="single" w:color="000000" w:sz="4" w:space="0"/>
            </w:tcBorders>
            <w:vAlign w:val="center"/>
          </w:tcPr>
          <w:p w14:paraId="18111B4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6ABD8010">
        <w:tblPrEx>
          <w:tblCellMar>
            <w:top w:w="0" w:type="dxa"/>
            <w:left w:w="108" w:type="dxa"/>
            <w:bottom w:w="0" w:type="dxa"/>
            <w:right w:w="108" w:type="dxa"/>
          </w:tblCellMar>
        </w:tblPrEx>
        <w:trPr>
          <w:trHeight w:val="397" w:hRule="exact"/>
          <w:jc w:val="center"/>
        </w:trPr>
        <w:tc>
          <w:tcPr>
            <w:tcW w:w="437" w:type="pct"/>
            <w:vMerge w:val="continue"/>
            <w:tcBorders>
              <w:left w:val="single" w:color="000000" w:sz="4" w:space="0"/>
              <w:right w:val="single" w:color="000000" w:sz="4" w:space="0"/>
            </w:tcBorders>
            <w:vAlign w:val="center"/>
          </w:tcPr>
          <w:p w14:paraId="2ACB0B3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25" w:type="pct"/>
            <w:vMerge w:val="continue"/>
            <w:tcBorders>
              <w:left w:val="single" w:color="000000" w:sz="4" w:space="0"/>
              <w:right w:val="single" w:color="000000" w:sz="4" w:space="0"/>
            </w:tcBorders>
            <w:vAlign w:val="center"/>
          </w:tcPr>
          <w:p w14:paraId="095FDEF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p>
        </w:tc>
        <w:tc>
          <w:tcPr>
            <w:tcW w:w="440" w:type="pct"/>
            <w:vMerge w:val="continue"/>
            <w:tcBorders>
              <w:left w:val="single" w:color="000000" w:sz="4" w:space="0"/>
              <w:right w:val="single" w:color="000000" w:sz="4" w:space="0"/>
            </w:tcBorders>
            <w:vAlign w:val="center"/>
          </w:tcPr>
          <w:p w14:paraId="5D2BCD8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30" w:type="pct"/>
            <w:tcBorders>
              <w:top w:val="single" w:color="000000" w:sz="4" w:space="0"/>
              <w:left w:val="single" w:color="000000" w:sz="4" w:space="0"/>
              <w:bottom w:val="single" w:color="000000" w:sz="4" w:space="0"/>
              <w:right w:val="single" w:color="000000" w:sz="4" w:space="0"/>
            </w:tcBorders>
            <w:vAlign w:val="center"/>
          </w:tcPr>
          <w:p w14:paraId="58A1B02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消防设施</w:t>
            </w:r>
          </w:p>
        </w:tc>
        <w:tc>
          <w:tcPr>
            <w:tcW w:w="463" w:type="pct"/>
            <w:tcBorders>
              <w:top w:val="single" w:color="000000" w:sz="4" w:space="0"/>
              <w:left w:val="single" w:color="000000" w:sz="4" w:space="0"/>
              <w:bottom w:val="single" w:color="000000" w:sz="4" w:space="0"/>
              <w:right w:val="single" w:color="000000" w:sz="4" w:space="0"/>
            </w:tcBorders>
            <w:vAlign w:val="center"/>
          </w:tcPr>
          <w:p w14:paraId="6253D0F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continue"/>
            <w:tcBorders>
              <w:left w:val="single" w:color="000000" w:sz="4" w:space="0"/>
              <w:right w:val="single" w:color="000000" w:sz="4" w:space="0"/>
            </w:tcBorders>
            <w:vAlign w:val="center"/>
          </w:tcPr>
          <w:p w14:paraId="4F79678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29" w:type="pct"/>
            <w:vMerge w:val="continue"/>
            <w:tcBorders>
              <w:left w:val="single" w:color="000000" w:sz="4" w:space="0"/>
              <w:right w:val="single" w:color="000000" w:sz="4" w:space="0"/>
            </w:tcBorders>
            <w:vAlign w:val="center"/>
          </w:tcPr>
          <w:p w14:paraId="0F1EADE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continue"/>
            <w:tcBorders>
              <w:left w:val="single" w:color="000000" w:sz="4" w:space="0"/>
              <w:right w:val="single" w:color="000000" w:sz="4" w:space="0"/>
            </w:tcBorders>
            <w:vAlign w:val="center"/>
          </w:tcPr>
          <w:p w14:paraId="6AF27B8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1DEFD9F1">
        <w:tblPrEx>
          <w:tblCellMar>
            <w:top w:w="0" w:type="dxa"/>
            <w:left w:w="108" w:type="dxa"/>
            <w:bottom w:w="0" w:type="dxa"/>
            <w:right w:w="108" w:type="dxa"/>
          </w:tblCellMar>
        </w:tblPrEx>
        <w:trPr>
          <w:trHeight w:val="397" w:hRule="exact"/>
          <w:jc w:val="center"/>
        </w:trPr>
        <w:tc>
          <w:tcPr>
            <w:tcW w:w="437" w:type="pct"/>
            <w:vMerge w:val="continue"/>
            <w:tcBorders>
              <w:left w:val="single" w:color="000000" w:sz="4" w:space="0"/>
              <w:bottom w:val="single" w:color="000000" w:sz="4" w:space="0"/>
              <w:right w:val="single" w:color="000000" w:sz="4" w:space="0"/>
            </w:tcBorders>
            <w:shd w:val="clear" w:color="auto" w:fill="auto"/>
            <w:vAlign w:val="center"/>
          </w:tcPr>
          <w:p w14:paraId="61486D5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25" w:type="pct"/>
            <w:vMerge w:val="continue"/>
            <w:tcBorders>
              <w:left w:val="single" w:color="000000" w:sz="4" w:space="0"/>
              <w:bottom w:val="single" w:color="000000" w:sz="4" w:space="0"/>
              <w:right w:val="single" w:color="000000" w:sz="4" w:space="0"/>
            </w:tcBorders>
            <w:vAlign w:val="center"/>
          </w:tcPr>
          <w:p w14:paraId="1414AB5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p>
        </w:tc>
        <w:tc>
          <w:tcPr>
            <w:tcW w:w="440" w:type="pct"/>
            <w:vMerge w:val="continue"/>
            <w:tcBorders>
              <w:left w:val="single" w:color="000000" w:sz="4" w:space="0"/>
              <w:bottom w:val="single" w:color="000000" w:sz="4" w:space="0"/>
              <w:right w:val="single" w:color="000000" w:sz="4" w:space="0"/>
            </w:tcBorders>
            <w:vAlign w:val="center"/>
          </w:tcPr>
          <w:p w14:paraId="631CA1C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30" w:type="pct"/>
            <w:tcBorders>
              <w:top w:val="single" w:color="000000" w:sz="4" w:space="0"/>
              <w:left w:val="single" w:color="000000" w:sz="4" w:space="0"/>
              <w:bottom w:val="single" w:color="000000" w:sz="4" w:space="0"/>
              <w:right w:val="single" w:color="000000" w:sz="4" w:space="0"/>
            </w:tcBorders>
            <w:vAlign w:val="center"/>
          </w:tcPr>
          <w:p w14:paraId="5639D54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烟灰缸</w:t>
            </w:r>
          </w:p>
        </w:tc>
        <w:tc>
          <w:tcPr>
            <w:tcW w:w="463" w:type="pct"/>
            <w:tcBorders>
              <w:top w:val="single" w:color="000000" w:sz="4" w:space="0"/>
              <w:left w:val="single" w:color="000000" w:sz="4" w:space="0"/>
              <w:bottom w:val="single" w:color="000000" w:sz="4" w:space="0"/>
              <w:right w:val="single" w:color="000000" w:sz="4" w:space="0"/>
            </w:tcBorders>
            <w:vAlign w:val="center"/>
          </w:tcPr>
          <w:p w14:paraId="0DA2B29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continue"/>
            <w:tcBorders>
              <w:left w:val="single" w:color="000000" w:sz="4" w:space="0"/>
              <w:bottom w:val="single" w:color="000000" w:sz="4" w:space="0"/>
              <w:right w:val="single" w:color="000000" w:sz="4" w:space="0"/>
            </w:tcBorders>
            <w:vAlign w:val="center"/>
          </w:tcPr>
          <w:p w14:paraId="3D2F1B2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29" w:type="pct"/>
            <w:vMerge w:val="continue"/>
            <w:tcBorders>
              <w:left w:val="single" w:color="000000" w:sz="4" w:space="0"/>
              <w:bottom w:val="single" w:color="000000" w:sz="4" w:space="0"/>
              <w:right w:val="single" w:color="000000" w:sz="4" w:space="0"/>
            </w:tcBorders>
            <w:vAlign w:val="center"/>
          </w:tcPr>
          <w:p w14:paraId="0169B93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continue"/>
            <w:tcBorders>
              <w:left w:val="single" w:color="000000" w:sz="4" w:space="0"/>
              <w:bottom w:val="single" w:color="000000" w:sz="4" w:space="0"/>
              <w:right w:val="single" w:color="000000" w:sz="4" w:space="0"/>
            </w:tcBorders>
            <w:vAlign w:val="center"/>
          </w:tcPr>
          <w:p w14:paraId="20BD4F9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4522E654">
        <w:tblPrEx>
          <w:tblCellMar>
            <w:top w:w="0" w:type="dxa"/>
            <w:left w:w="108" w:type="dxa"/>
            <w:bottom w:w="0" w:type="dxa"/>
            <w:right w:w="108" w:type="dxa"/>
          </w:tblCellMar>
        </w:tblPrEx>
        <w:trPr>
          <w:trHeight w:val="510" w:hRule="exact"/>
          <w:jc w:val="center"/>
        </w:trPr>
        <w:tc>
          <w:tcPr>
            <w:tcW w:w="437" w:type="pct"/>
            <w:vMerge w:val="restart"/>
            <w:tcBorders>
              <w:top w:val="single" w:color="000000" w:sz="4" w:space="0"/>
              <w:left w:val="single" w:color="000000" w:sz="4" w:space="0"/>
              <w:right w:val="single" w:color="000000" w:sz="4" w:space="0"/>
            </w:tcBorders>
            <w:shd w:val="clear" w:color="auto" w:fill="auto"/>
            <w:vAlign w:val="center"/>
          </w:tcPr>
          <w:p w14:paraId="352A679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5</w:t>
            </w:r>
          </w:p>
        </w:tc>
        <w:tc>
          <w:tcPr>
            <w:tcW w:w="925" w:type="pct"/>
            <w:vMerge w:val="restart"/>
            <w:tcBorders>
              <w:top w:val="single" w:color="000000" w:sz="4" w:space="0"/>
              <w:left w:val="single" w:color="000000" w:sz="4" w:space="0"/>
              <w:right w:val="single" w:color="000000" w:sz="4" w:space="0"/>
            </w:tcBorders>
            <w:vAlign w:val="center"/>
          </w:tcPr>
          <w:p w14:paraId="1D81250E">
            <w:pPr>
              <w:keepNext w:val="0"/>
              <w:keepLines w:val="0"/>
              <w:pageBreakBefore w:val="0"/>
              <w:widowControl w:val="0"/>
              <w:kinsoku/>
              <w:wordWrap/>
              <w:overflowPunct/>
              <w:topLinePunct w:val="0"/>
              <w:autoSpaceDE/>
              <w:autoSpaceDN/>
              <w:bidi w:val="0"/>
              <w:adjustRightInd/>
              <w:snapToGrid/>
              <w:spacing w:after="157" w:afterLines="50" w:line="240" w:lineRule="exact"/>
              <w:jc w:val="left"/>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楼内地面清洁，目视基本无污迹、无水迹印痕</w:t>
            </w:r>
          </w:p>
          <w:p w14:paraId="7D9C1ED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楼内消防栓、防火门、指示牌、开关面板等公共设施目视无灰尘、无污迹</w:t>
            </w:r>
          </w:p>
        </w:tc>
        <w:tc>
          <w:tcPr>
            <w:tcW w:w="440" w:type="pct"/>
            <w:vMerge w:val="restart"/>
            <w:tcBorders>
              <w:top w:val="single" w:color="000000" w:sz="4" w:space="0"/>
              <w:left w:val="single" w:color="000000" w:sz="4" w:space="0"/>
              <w:right w:val="single" w:color="000000" w:sz="4" w:space="0"/>
            </w:tcBorders>
            <w:vAlign w:val="center"/>
          </w:tcPr>
          <w:p w14:paraId="342AC81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5</w:t>
            </w:r>
          </w:p>
        </w:tc>
        <w:tc>
          <w:tcPr>
            <w:tcW w:w="930" w:type="pct"/>
            <w:tcBorders>
              <w:top w:val="single" w:color="000000" w:sz="4" w:space="0"/>
              <w:left w:val="single" w:color="000000" w:sz="4" w:space="0"/>
              <w:bottom w:val="single" w:color="000000" w:sz="4" w:space="0"/>
              <w:right w:val="single" w:color="000000" w:sz="4" w:space="0"/>
            </w:tcBorders>
            <w:vAlign w:val="center"/>
          </w:tcPr>
          <w:p w14:paraId="723622E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尘推清理</w:t>
            </w:r>
          </w:p>
        </w:tc>
        <w:tc>
          <w:tcPr>
            <w:tcW w:w="463" w:type="pct"/>
            <w:tcBorders>
              <w:top w:val="single" w:color="000000" w:sz="4" w:space="0"/>
              <w:left w:val="single" w:color="000000" w:sz="4" w:space="0"/>
              <w:bottom w:val="single" w:color="000000" w:sz="4" w:space="0"/>
              <w:right w:val="single" w:color="000000" w:sz="4" w:space="0"/>
            </w:tcBorders>
            <w:vAlign w:val="center"/>
          </w:tcPr>
          <w:p w14:paraId="7A8F228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restart"/>
            <w:tcBorders>
              <w:top w:val="single" w:color="000000" w:sz="4" w:space="0"/>
              <w:left w:val="single" w:color="000000" w:sz="4" w:space="0"/>
              <w:right w:val="single" w:color="000000" w:sz="4" w:space="0"/>
            </w:tcBorders>
            <w:vAlign w:val="center"/>
          </w:tcPr>
          <w:p w14:paraId="7EF0AC6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发现一处不合格扣1分</w:t>
            </w:r>
          </w:p>
        </w:tc>
        <w:tc>
          <w:tcPr>
            <w:tcW w:w="429" w:type="pct"/>
            <w:vMerge w:val="restart"/>
            <w:tcBorders>
              <w:top w:val="single" w:color="000000" w:sz="4" w:space="0"/>
              <w:left w:val="single" w:color="000000" w:sz="4" w:space="0"/>
              <w:right w:val="single" w:color="000000" w:sz="4" w:space="0"/>
            </w:tcBorders>
            <w:vAlign w:val="center"/>
          </w:tcPr>
          <w:p w14:paraId="7EFF6F0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restart"/>
            <w:tcBorders>
              <w:top w:val="single" w:color="000000" w:sz="4" w:space="0"/>
              <w:left w:val="single" w:color="000000" w:sz="4" w:space="0"/>
              <w:right w:val="single" w:color="000000" w:sz="4" w:space="0"/>
            </w:tcBorders>
            <w:vAlign w:val="center"/>
          </w:tcPr>
          <w:p w14:paraId="563CE96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21B71F15">
        <w:tblPrEx>
          <w:tblCellMar>
            <w:top w:w="0" w:type="dxa"/>
            <w:left w:w="108" w:type="dxa"/>
            <w:bottom w:w="0" w:type="dxa"/>
            <w:right w:w="108" w:type="dxa"/>
          </w:tblCellMar>
        </w:tblPrEx>
        <w:trPr>
          <w:trHeight w:val="510" w:hRule="exact"/>
          <w:jc w:val="center"/>
        </w:trPr>
        <w:tc>
          <w:tcPr>
            <w:tcW w:w="437" w:type="pct"/>
            <w:vMerge w:val="continue"/>
            <w:tcBorders>
              <w:left w:val="single" w:color="000000" w:sz="4" w:space="0"/>
              <w:right w:val="single" w:color="000000" w:sz="4" w:space="0"/>
            </w:tcBorders>
            <w:shd w:val="clear" w:color="auto" w:fill="auto"/>
            <w:vAlign w:val="center"/>
          </w:tcPr>
          <w:p w14:paraId="3F6B728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25" w:type="pct"/>
            <w:vMerge w:val="continue"/>
            <w:tcBorders>
              <w:left w:val="single" w:color="000000" w:sz="4" w:space="0"/>
              <w:right w:val="single" w:color="000000" w:sz="4" w:space="0"/>
            </w:tcBorders>
            <w:vAlign w:val="center"/>
          </w:tcPr>
          <w:p w14:paraId="6DC3D1B4">
            <w:pPr>
              <w:keepNext w:val="0"/>
              <w:keepLines w:val="0"/>
              <w:pageBreakBefore w:val="0"/>
              <w:widowControl w:val="0"/>
              <w:kinsoku/>
              <w:wordWrap/>
              <w:overflowPunct/>
              <w:topLinePunct w:val="0"/>
              <w:autoSpaceDE/>
              <w:autoSpaceDN/>
              <w:bidi w:val="0"/>
              <w:adjustRightInd/>
              <w:snapToGrid/>
              <w:spacing w:after="157" w:afterLines="50" w:line="240" w:lineRule="exact"/>
              <w:jc w:val="left"/>
              <w:textAlignment w:val="auto"/>
              <w:rPr>
                <w:rFonts w:hint="eastAsia" w:ascii="楷体_GB2312" w:eastAsia="楷体_GB2312"/>
                <w:color w:val="auto"/>
                <w:sz w:val="24"/>
                <w:highlight w:val="none"/>
                <w:lang w:val="en-US" w:eastAsia="zh-CN"/>
              </w:rPr>
            </w:pPr>
          </w:p>
        </w:tc>
        <w:tc>
          <w:tcPr>
            <w:tcW w:w="440" w:type="pct"/>
            <w:vMerge w:val="continue"/>
            <w:tcBorders>
              <w:left w:val="single" w:color="000000" w:sz="4" w:space="0"/>
              <w:right w:val="single" w:color="000000" w:sz="4" w:space="0"/>
            </w:tcBorders>
            <w:vAlign w:val="center"/>
          </w:tcPr>
          <w:p w14:paraId="7B6B7F0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30" w:type="pct"/>
            <w:tcBorders>
              <w:top w:val="single" w:color="000000" w:sz="4" w:space="0"/>
              <w:left w:val="single" w:color="000000" w:sz="4" w:space="0"/>
              <w:bottom w:val="single" w:color="000000" w:sz="4" w:space="0"/>
              <w:right w:val="single" w:color="000000" w:sz="4" w:space="0"/>
            </w:tcBorders>
            <w:vAlign w:val="center"/>
          </w:tcPr>
          <w:p w14:paraId="3EBA566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消防设施</w:t>
            </w:r>
          </w:p>
        </w:tc>
        <w:tc>
          <w:tcPr>
            <w:tcW w:w="463" w:type="pct"/>
            <w:tcBorders>
              <w:top w:val="single" w:color="000000" w:sz="4" w:space="0"/>
              <w:left w:val="single" w:color="000000" w:sz="4" w:space="0"/>
              <w:bottom w:val="single" w:color="000000" w:sz="4" w:space="0"/>
              <w:right w:val="single" w:color="000000" w:sz="4" w:space="0"/>
            </w:tcBorders>
            <w:vAlign w:val="center"/>
          </w:tcPr>
          <w:p w14:paraId="77CCC20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continue"/>
            <w:tcBorders>
              <w:left w:val="single" w:color="000000" w:sz="4" w:space="0"/>
              <w:right w:val="single" w:color="000000" w:sz="4" w:space="0"/>
            </w:tcBorders>
            <w:vAlign w:val="center"/>
          </w:tcPr>
          <w:p w14:paraId="270F53A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29" w:type="pct"/>
            <w:vMerge w:val="continue"/>
            <w:tcBorders>
              <w:left w:val="single" w:color="000000" w:sz="4" w:space="0"/>
              <w:right w:val="single" w:color="000000" w:sz="4" w:space="0"/>
            </w:tcBorders>
            <w:vAlign w:val="center"/>
          </w:tcPr>
          <w:p w14:paraId="32BB15B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continue"/>
            <w:tcBorders>
              <w:left w:val="single" w:color="000000" w:sz="4" w:space="0"/>
              <w:right w:val="single" w:color="000000" w:sz="4" w:space="0"/>
            </w:tcBorders>
            <w:vAlign w:val="center"/>
          </w:tcPr>
          <w:p w14:paraId="485D2B7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59483A9A">
        <w:tblPrEx>
          <w:tblCellMar>
            <w:top w:w="0" w:type="dxa"/>
            <w:left w:w="108" w:type="dxa"/>
            <w:bottom w:w="0" w:type="dxa"/>
            <w:right w:w="108" w:type="dxa"/>
          </w:tblCellMar>
        </w:tblPrEx>
        <w:trPr>
          <w:trHeight w:val="510" w:hRule="exact"/>
          <w:jc w:val="center"/>
        </w:trPr>
        <w:tc>
          <w:tcPr>
            <w:tcW w:w="437" w:type="pct"/>
            <w:vMerge w:val="continue"/>
            <w:tcBorders>
              <w:left w:val="single" w:color="000000" w:sz="4" w:space="0"/>
              <w:right w:val="single" w:color="000000" w:sz="4" w:space="0"/>
            </w:tcBorders>
            <w:shd w:val="clear" w:color="auto" w:fill="auto"/>
            <w:vAlign w:val="center"/>
          </w:tcPr>
          <w:p w14:paraId="6A1C523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25" w:type="pct"/>
            <w:vMerge w:val="continue"/>
            <w:tcBorders>
              <w:left w:val="single" w:color="000000" w:sz="4" w:space="0"/>
              <w:right w:val="single" w:color="000000" w:sz="4" w:space="0"/>
            </w:tcBorders>
            <w:vAlign w:val="center"/>
          </w:tcPr>
          <w:p w14:paraId="7C7D071D">
            <w:pPr>
              <w:keepNext w:val="0"/>
              <w:keepLines w:val="0"/>
              <w:pageBreakBefore w:val="0"/>
              <w:widowControl w:val="0"/>
              <w:kinsoku/>
              <w:wordWrap/>
              <w:overflowPunct/>
              <w:topLinePunct w:val="0"/>
              <w:autoSpaceDE/>
              <w:autoSpaceDN/>
              <w:bidi w:val="0"/>
              <w:adjustRightInd/>
              <w:snapToGrid/>
              <w:spacing w:after="157" w:afterLines="50" w:line="240" w:lineRule="exact"/>
              <w:jc w:val="left"/>
              <w:textAlignment w:val="auto"/>
              <w:rPr>
                <w:rFonts w:hint="eastAsia" w:ascii="楷体_GB2312" w:eastAsia="楷体_GB2312"/>
                <w:color w:val="auto"/>
                <w:sz w:val="24"/>
                <w:highlight w:val="none"/>
                <w:lang w:val="en-US" w:eastAsia="zh-CN"/>
              </w:rPr>
            </w:pPr>
          </w:p>
        </w:tc>
        <w:tc>
          <w:tcPr>
            <w:tcW w:w="440" w:type="pct"/>
            <w:vMerge w:val="continue"/>
            <w:tcBorders>
              <w:left w:val="single" w:color="000000" w:sz="4" w:space="0"/>
              <w:right w:val="single" w:color="000000" w:sz="4" w:space="0"/>
            </w:tcBorders>
            <w:vAlign w:val="center"/>
          </w:tcPr>
          <w:p w14:paraId="1B2FA38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30" w:type="pct"/>
            <w:tcBorders>
              <w:top w:val="single" w:color="000000" w:sz="4" w:space="0"/>
              <w:left w:val="single" w:color="000000" w:sz="4" w:space="0"/>
              <w:bottom w:val="single" w:color="000000" w:sz="4" w:space="0"/>
              <w:right w:val="single" w:color="000000" w:sz="4" w:space="0"/>
            </w:tcBorders>
            <w:vAlign w:val="center"/>
          </w:tcPr>
          <w:p w14:paraId="09A56E7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窗户擦拭</w:t>
            </w:r>
          </w:p>
        </w:tc>
        <w:tc>
          <w:tcPr>
            <w:tcW w:w="463" w:type="pct"/>
            <w:tcBorders>
              <w:top w:val="single" w:color="000000" w:sz="4" w:space="0"/>
              <w:left w:val="single" w:color="000000" w:sz="4" w:space="0"/>
              <w:bottom w:val="single" w:color="000000" w:sz="4" w:space="0"/>
              <w:right w:val="single" w:color="000000" w:sz="4" w:space="0"/>
            </w:tcBorders>
            <w:vAlign w:val="center"/>
          </w:tcPr>
          <w:p w14:paraId="43ADEEC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continue"/>
            <w:tcBorders>
              <w:left w:val="single" w:color="000000" w:sz="4" w:space="0"/>
              <w:right w:val="single" w:color="000000" w:sz="4" w:space="0"/>
            </w:tcBorders>
            <w:vAlign w:val="center"/>
          </w:tcPr>
          <w:p w14:paraId="4E90069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29" w:type="pct"/>
            <w:vMerge w:val="continue"/>
            <w:tcBorders>
              <w:left w:val="single" w:color="000000" w:sz="4" w:space="0"/>
              <w:right w:val="single" w:color="000000" w:sz="4" w:space="0"/>
            </w:tcBorders>
            <w:vAlign w:val="center"/>
          </w:tcPr>
          <w:p w14:paraId="514CE8B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continue"/>
            <w:tcBorders>
              <w:left w:val="single" w:color="000000" w:sz="4" w:space="0"/>
              <w:right w:val="single" w:color="000000" w:sz="4" w:space="0"/>
            </w:tcBorders>
            <w:vAlign w:val="center"/>
          </w:tcPr>
          <w:p w14:paraId="144D153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0A587F46">
        <w:tblPrEx>
          <w:tblCellMar>
            <w:top w:w="0" w:type="dxa"/>
            <w:left w:w="108" w:type="dxa"/>
            <w:bottom w:w="0" w:type="dxa"/>
            <w:right w:w="108" w:type="dxa"/>
          </w:tblCellMar>
        </w:tblPrEx>
        <w:trPr>
          <w:trHeight w:val="510" w:hRule="exact"/>
          <w:jc w:val="center"/>
        </w:trPr>
        <w:tc>
          <w:tcPr>
            <w:tcW w:w="437" w:type="pct"/>
            <w:vMerge w:val="continue"/>
            <w:tcBorders>
              <w:left w:val="single" w:color="000000" w:sz="4" w:space="0"/>
              <w:right w:val="single" w:color="000000" w:sz="4" w:space="0"/>
            </w:tcBorders>
            <w:shd w:val="clear" w:color="auto" w:fill="auto"/>
            <w:vAlign w:val="center"/>
          </w:tcPr>
          <w:p w14:paraId="77A9B76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25" w:type="pct"/>
            <w:vMerge w:val="continue"/>
            <w:tcBorders>
              <w:left w:val="single" w:color="000000" w:sz="4" w:space="0"/>
              <w:right w:val="single" w:color="000000" w:sz="4" w:space="0"/>
            </w:tcBorders>
            <w:vAlign w:val="center"/>
          </w:tcPr>
          <w:p w14:paraId="0EEA4878">
            <w:pPr>
              <w:keepNext w:val="0"/>
              <w:keepLines w:val="0"/>
              <w:pageBreakBefore w:val="0"/>
              <w:widowControl w:val="0"/>
              <w:kinsoku/>
              <w:wordWrap/>
              <w:overflowPunct/>
              <w:topLinePunct w:val="0"/>
              <w:autoSpaceDE/>
              <w:autoSpaceDN/>
              <w:bidi w:val="0"/>
              <w:adjustRightInd/>
              <w:snapToGrid/>
              <w:spacing w:after="157" w:afterLines="50" w:line="240" w:lineRule="exact"/>
              <w:jc w:val="left"/>
              <w:textAlignment w:val="auto"/>
              <w:rPr>
                <w:rFonts w:hint="eastAsia" w:ascii="楷体_GB2312" w:eastAsia="楷体_GB2312"/>
                <w:color w:val="auto"/>
                <w:sz w:val="24"/>
                <w:highlight w:val="none"/>
                <w:lang w:val="en-US" w:eastAsia="zh-CN"/>
              </w:rPr>
            </w:pPr>
          </w:p>
        </w:tc>
        <w:tc>
          <w:tcPr>
            <w:tcW w:w="440" w:type="pct"/>
            <w:vMerge w:val="continue"/>
            <w:tcBorders>
              <w:left w:val="single" w:color="000000" w:sz="4" w:space="0"/>
              <w:right w:val="single" w:color="000000" w:sz="4" w:space="0"/>
            </w:tcBorders>
            <w:vAlign w:val="center"/>
          </w:tcPr>
          <w:p w14:paraId="07039E7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30" w:type="pct"/>
            <w:tcBorders>
              <w:top w:val="single" w:color="000000" w:sz="4" w:space="0"/>
              <w:left w:val="single" w:color="000000" w:sz="4" w:space="0"/>
              <w:bottom w:val="single" w:color="000000" w:sz="4" w:space="0"/>
              <w:right w:val="single" w:color="000000" w:sz="4" w:space="0"/>
            </w:tcBorders>
            <w:vAlign w:val="center"/>
          </w:tcPr>
          <w:p w14:paraId="74A3407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电梯外框</w:t>
            </w:r>
          </w:p>
        </w:tc>
        <w:tc>
          <w:tcPr>
            <w:tcW w:w="463" w:type="pct"/>
            <w:tcBorders>
              <w:top w:val="single" w:color="000000" w:sz="4" w:space="0"/>
              <w:left w:val="single" w:color="000000" w:sz="4" w:space="0"/>
              <w:bottom w:val="single" w:color="000000" w:sz="4" w:space="0"/>
              <w:right w:val="single" w:color="000000" w:sz="4" w:space="0"/>
            </w:tcBorders>
            <w:vAlign w:val="center"/>
          </w:tcPr>
          <w:p w14:paraId="6178E71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continue"/>
            <w:tcBorders>
              <w:left w:val="single" w:color="000000" w:sz="4" w:space="0"/>
              <w:right w:val="single" w:color="000000" w:sz="4" w:space="0"/>
            </w:tcBorders>
            <w:vAlign w:val="center"/>
          </w:tcPr>
          <w:p w14:paraId="2EF2585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29" w:type="pct"/>
            <w:vMerge w:val="continue"/>
            <w:tcBorders>
              <w:left w:val="single" w:color="000000" w:sz="4" w:space="0"/>
              <w:right w:val="single" w:color="000000" w:sz="4" w:space="0"/>
            </w:tcBorders>
            <w:vAlign w:val="center"/>
          </w:tcPr>
          <w:p w14:paraId="3F15E5E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continue"/>
            <w:tcBorders>
              <w:left w:val="single" w:color="000000" w:sz="4" w:space="0"/>
              <w:right w:val="single" w:color="000000" w:sz="4" w:space="0"/>
            </w:tcBorders>
            <w:vAlign w:val="center"/>
          </w:tcPr>
          <w:p w14:paraId="443CA75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167ACC57">
        <w:tblPrEx>
          <w:tblCellMar>
            <w:top w:w="0" w:type="dxa"/>
            <w:left w:w="108" w:type="dxa"/>
            <w:bottom w:w="0" w:type="dxa"/>
            <w:right w:w="108" w:type="dxa"/>
          </w:tblCellMar>
        </w:tblPrEx>
        <w:trPr>
          <w:trHeight w:val="510" w:hRule="exact"/>
          <w:jc w:val="center"/>
        </w:trPr>
        <w:tc>
          <w:tcPr>
            <w:tcW w:w="437" w:type="pct"/>
            <w:vMerge w:val="continue"/>
            <w:tcBorders>
              <w:left w:val="single" w:color="000000" w:sz="4" w:space="0"/>
              <w:right w:val="single" w:color="000000" w:sz="4" w:space="0"/>
            </w:tcBorders>
            <w:shd w:val="clear" w:color="auto" w:fill="auto"/>
            <w:vAlign w:val="center"/>
          </w:tcPr>
          <w:p w14:paraId="4E198DD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25" w:type="pct"/>
            <w:vMerge w:val="continue"/>
            <w:tcBorders>
              <w:left w:val="single" w:color="000000" w:sz="4" w:space="0"/>
              <w:right w:val="single" w:color="000000" w:sz="4" w:space="0"/>
            </w:tcBorders>
            <w:vAlign w:val="center"/>
          </w:tcPr>
          <w:p w14:paraId="487C9838">
            <w:pPr>
              <w:keepNext w:val="0"/>
              <w:keepLines w:val="0"/>
              <w:pageBreakBefore w:val="0"/>
              <w:widowControl w:val="0"/>
              <w:kinsoku/>
              <w:wordWrap/>
              <w:overflowPunct/>
              <w:topLinePunct w:val="0"/>
              <w:autoSpaceDE/>
              <w:autoSpaceDN/>
              <w:bidi w:val="0"/>
              <w:adjustRightInd/>
              <w:snapToGrid/>
              <w:spacing w:after="157" w:afterLines="50" w:line="240" w:lineRule="exact"/>
              <w:jc w:val="left"/>
              <w:textAlignment w:val="auto"/>
              <w:rPr>
                <w:rFonts w:hint="eastAsia" w:ascii="楷体_GB2312" w:eastAsia="楷体_GB2312"/>
                <w:color w:val="auto"/>
                <w:sz w:val="24"/>
                <w:highlight w:val="none"/>
                <w:lang w:val="en-US" w:eastAsia="zh-CN"/>
              </w:rPr>
            </w:pPr>
          </w:p>
        </w:tc>
        <w:tc>
          <w:tcPr>
            <w:tcW w:w="440" w:type="pct"/>
            <w:vMerge w:val="continue"/>
            <w:tcBorders>
              <w:left w:val="single" w:color="000000" w:sz="4" w:space="0"/>
              <w:right w:val="single" w:color="000000" w:sz="4" w:space="0"/>
            </w:tcBorders>
            <w:vAlign w:val="center"/>
          </w:tcPr>
          <w:p w14:paraId="10EF261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30" w:type="pct"/>
            <w:tcBorders>
              <w:top w:val="single" w:color="000000" w:sz="4" w:space="0"/>
              <w:left w:val="single" w:color="000000" w:sz="4" w:space="0"/>
              <w:bottom w:val="single" w:color="000000" w:sz="4" w:space="0"/>
              <w:right w:val="single" w:color="000000" w:sz="4" w:space="0"/>
            </w:tcBorders>
            <w:vAlign w:val="center"/>
          </w:tcPr>
          <w:p w14:paraId="756434B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地面拖洗</w:t>
            </w:r>
          </w:p>
        </w:tc>
        <w:tc>
          <w:tcPr>
            <w:tcW w:w="463" w:type="pct"/>
            <w:tcBorders>
              <w:top w:val="single" w:color="000000" w:sz="4" w:space="0"/>
              <w:left w:val="single" w:color="000000" w:sz="4" w:space="0"/>
              <w:bottom w:val="single" w:color="000000" w:sz="4" w:space="0"/>
              <w:right w:val="single" w:color="000000" w:sz="4" w:space="0"/>
            </w:tcBorders>
            <w:vAlign w:val="center"/>
          </w:tcPr>
          <w:p w14:paraId="510B22E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continue"/>
            <w:tcBorders>
              <w:left w:val="single" w:color="000000" w:sz="4" w:space="0"/>
              <w:right w:val="single" w:color="000000" w:sz="4" w:space="0"/>
            </w:tcBorders>
            <w:vAlign w:val="center"/>
          </w:tcPr>
          <w:p w14:paraId="1339E7F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29" w:type="pct"/>
            <w:vMerge w:val="continue"/>
            <w:tcBorders>
              <w:left w:val="single" w:color="000000" w:sz="4" w:space="0"/>
              <w:right w:val="single" w:color="000000" w:sz="4" w:space="0"/>
            </w:tcBorders>
            <w:vAlign w:val="center"/>
          </w:tcPr>
          <w:p w14:paraId="1642C0A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continue"/>
            <w:tcBorders>
              <w:left w:val="single" w:color="000000" w:sz="4" w:space="0"/>
              <w:right w:val="single" w:color="000000" w:sz="4" w:space="0"/>
            </w:tcBorders>
            <w:vAlign w:val="center"/>
          </w:tcPr>
          <w:p w14:paraId="32E625C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6D36C65D">
        <w:tblPrEx>
          <w:tblCellMar>
            <w:top w:w="0" w:type="dxa"/>
            <w:left w:w="108" w:type="dxa"/>
            <w:bottom w:w="0" w:type="dxa"/>
            <w:right w:w="108" w:type="dxa"/>
          </w:tblCellMar>
        </w:tblPrEx>
        <w:trPr>
          <w:trHeight w:val="510" w:hRule="exact"/>
          <w:jc w:val="center"/>
        </w:trPr>
        <w:tc>
          <w:tcPr>
            <w:tcW w:w="437" w:type="pct"/>
            <w:vMerge w:val="continue"/>
            <w:tcBorders>
              <w:left w:val="single" w:color="000000" w:sz="4" w:space="0"/>
              <w:bottom w:val="single" w:color="000000" w:sz="4" w:space="0"/>
              <w:right w:val="single" w:color="000000" w:sz="4" w:space="0"/>
            </w:tcBorders>
            <w:shd w:val="clear" w:color="auto" w:fill="auto"/>
            <w:vAlign w:val="center"/>
          </w:tcPr>
          <w:p w14:paraId="216D0C6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25" w:type="pct"/>
            <w:vMerge w:val="continue"/>
            <w:tcBorders>
              <w:left w:val="single" w:color="000000" w:sz="4" w:space="0"/>
              <w:bottom w:val="single" w:color="000000" w:sz="4" w:space="0"/>
              <w:right w:val="single" w:color="000000" w:sz="4" w:space="0"/>
            </w:tcBorders>
            <w:vAlign w:val="center"/>
          </w:tcPr>
          <w:p w14:paraId="1C647517">
            <w:pPr>
              <w:keepNext w:val="0"/>
              <w:keepLines w:val="0"/>
              <w:pageBreakBefore w:val="0"/>
              <w:widowControl w:val="0"/>
              <w:kinsoku/>
              <w:wordWrap/>
              <w:overflowPunct/>
              <w:topLinePunct w:val="0"/>
              <w:autoSpaceDE/>
              <w:autoSpaceDN/>
              <w:bidi w:val="0"/>
              <w:adjustRightInd/>
              <w:snapToGrid/>
              <w:spacing w:after="157" w:afterLines="50" w:line="240" w:lineRule="exact"/>
              <w:jc w:val="left"/>
              <w:textAlignment w:val="auto"/>
              <w:rPr>
                <w:rFonts w:hint="eastAsia" w:ascii="楷体_GB2312" w:eastAsia="楷体_GB2312"/>
                <w:color w:val="auto"/>
                <w:sz w:val="24"/>
                <w:highlight w:val="none"/>
                <w:lang w:val="en-US" w:eastAsia="zh-CN"/>
              </w:rPr>
            </w:pPr>
          </w:p>
        </w:tc>
        <w:tc>
          <w:tcPr>
            <w:tcW w:w="440" w:type="pct"/>
            <w:vMerge w:val="continue"/>
            <w:tcBorders>
              <w:left w:val="single" w:color="000000" w:sz="4" w:space="0"/>
              <w:bottom w:val="single" w:color="000000" w:sz="4" w:space="0"/>
              <w:right w:val="single" w:color="000000" w:sz="4" w:space="0"/>
            </w:tcBorders>
            <w:vAlign w:val="center"/>
          </w:tcPr>
          <w:p w14:paraId="2E29C53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30" w:type="pct"/>
            <w:tcBorders>
              <w:top w:val="single" w:color="000000" w:sz="4" w:space="0"/>
              <w:left w:val="single" w:color="000000" w:sz="4" w:space="0"/>
              <w:bottom w:val="single" w:color="000000" w:sz="4" w:space="0"/>
              <w:right w:val="single" w:color="000000" w:sz="4" w:space="0"/>
            </w:tcBorders>
            <w:vAlign w:val="center"/>
          </w:tcPr>
          <w:p w14:paraId="63961C6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垃圾清理</w:t>
            </w:r>
          </w:p>
        </w:tc>
        <w:tc>
          <w:tcPr>
            <w:tcW w:w="463" w:type="pct"/>
            <w:tcBorders>
              <w:top w:val="single" w:color="000000" w:sz="4" w:space="0"/>
              <w:left w:val="single" w:color="000000" w:sz="4" w:space="0"/>
              <w:bottom w:val="single" w:color="000000" w:sz="4" w:space="0"/>
              <w:right w:val="single" w:color="000000" w:sz="4" w:space="0"/>
            </w:tcBorders>
            <w:vAlign w:val="center"/>
          </w:tcPr>
          <w:p w14:paraId="181F623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continue"/>
            <w:tcBorders>
              <w:left w:val="single" w:color="000000" w:sz="4" w:space="0"/>
              <w:bottom w:val="single" w:color="000000" w:sz="4" w:space="0"/>
              <w:right w:val="single" w:color="000000" w:sz="4" w:space="0"/>
            </w:tcBorders>
            <w:vAlign w:val="center"/>
          </w:tcPr>
          <w:p w14:paraId="5D0D75A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29" w:type="pct"/>
            <w:vMerge w:val="continue"/>
            <w:tcBorders>
              <w:left w:val="single" w:color="000000" w:sz="4" w:space="0"/>
              <w:bottom w:val="single" w:color="000000" w:sz="4" w:space="0"/>
              <w:right w:val="single" w:color="000000" w:sz="4" w:space="0"/>
            </w:tcBorders>
            <w:vAlign w:val="center"/>
          </w:tcPr>
          <w:p w14:paraId="69A6633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continue"/>
            <w:tcBorders>
              <w:left w:val="single" w:color="000000" w:sz="4" w:space="0"/>
              <w:bottom w:val="single" w:color="000000" w:sz="4" w:space="0"/>
              <w:right w:val="single" w:color="000000" w:sz="4" w:space="0"/>
            </w:tcBorders>
            <w:vAlign w:val="center"/>
          </w:tcPr>
          <w:p w14:paraId="45A58D5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030F077A">
        <w:tblPrEx>
          <w:tblCellMar>
            <w:top w:w="0" w:type="dxa"/>
            <w:left w:w="108" w:type="dxa"/>
            <w:bottom w:w="0" w:type="dxa"/>
            <w:right w:w="108" w:type="dxa"/>
          </w:tblCellMar>
        </w:tblPrEx>
        <w:trPr>
          <w:trHeight w:val="567" w:hRule="exact"/>
          <w:jc w:val="center"/>
        </w:trPr>
        <w:tc>
          <w:tcPr>
            <w:tcW w:w="437" w:type="pct"/>
            <w:vMerge w:val="restart"/>
            <w:tcBorders>
              <w:top w:val="single" w:color="000000" w:sz="4" w:space="0"/>
              <w:left w:val="single" w:color="000000" w:sz="4" w:space="0"/>
              <w:right w:val="single" w:color="000000" w:sz="4" w:space="0"/>
            </w:tcBorders>
            <w:shd w:val="clear" w:color="auto" w:fill="auto"/>
            <w:vAlign w:val="center"/>
          </w:tcPr>
          <w:p w14:paraId="7A2343F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6</w:t>
            </w:r>
          </w:p>
        </w:tc>
        <w:tc>
          <w:tcPr>
            <w:tcW w:w="925" w:type="pct"/>
            <w:vMerge w:val="restart"/>
            <w:tcBorders>
              <w:top w:val="single" w:color="000000" w:sz="4" w:space="0"/>
              <w:left w:val="single" w:color="000000" w:sz="4" w:space="0"/>
              <w:right w:val="single" w:color="000000" w:sz="4" w:space="0"/>
            </w:tcBorders>
            <w:vAlign w:val="center"/>
          </w:tcPr>
          <w:p w14:paraId="5597B5C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架空层地面清洁，目视基本无污迹</w:t>
            </w:r>
          </w:p>
        </w:tc>
        <w:tc>
          <w:tcPr>
            <w:tcW w:w="440" w:type="pct"/>
            <w:vMerge w:val="restart"/>
            <w:tcBorders>
              <w:top w:val="single" w:color="000000" w:sz="4" w:space="0"/>
              <w:left w:val="single" w:color="000000" w:sz="4" w:space="0"/>
              <w:right w:val="single" w:color="000000" w:sz="4" w:space="0"/>
            </w:tcBorders>
            <w:vAlign w:val="center"/>
          </w:tcPr>
          <w:p w14:paraId="4452592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3</w:t>
            </w:r>
          </w:p>
        </w:tc>
        <w:tc>
          <w:tcPr>
            <w:tcW w:w="930" w:type="pct"/>
            <w:tcBorders>
              <w:top w:val="single" w:color="000000" w:sz="4" w:space="0"/>
              <w:left w:val="single" w:color="000000" w:sz="4" w:space="0"/>
              <w:bottom w:val="single" w:color="000000" w:sz="4" w:space="0"/>
              <w:right w:val="single" w:color="000000" w:sz="4" w:space="0"/>
            </w:tcBorders>
            <w:vAlign w:val="center"/>
          </w:tcPr>
          <w:p w14:paraId="75A009D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地面打扫</w:t>
            </w:r>
          </w:p>
        </w:tc>
        <w:tc>
          <w:tcPr>
            <w:tcW w:w="463" w:type="pct"/>
            <w:tcBorders>
              <w:top w:val="single" w:color="000000" w:sz="4" w:space="0"/>
              <w:left w:val="single" w:color="000000" w:sz="4" w:space="0"/>
              <w:bottom w:val="single" w:color="000000" w:sz="4" w:space="0"/>
              <w:right w:val="single" w:color="000000" w:sz="4" w:space="0"/>
            </w:tcBorders>
            <w:vAlign w:val="center"/>
          </w:tcPr>
          <w:p w14:paraId="7E8A032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restart"/>
            <w:tcBorders>
              <w:top w:val="single" w:color="000000" w:sz="4" w:space="0"/>
              <w:left w:val="single" w:color="000000" w:sz="4" w:space="0"/>
              <w:right w:val="single" w:color="000000" w:sz="4" w:space="0"/>
            </w:tcBorders>
            <w:vAlign w:val="center"/>
          </w:tcPr>
          <w:p w14:paraId="52B3604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发现一处不合格扣1分</w:t>
            </w:r>
          </w:p>
        </w:tc>
        <w:tc>
          <w:tcPr>
            <w:tcW w:w="429" w:type="pct"/>
            <w:vMerge w:val="restart"/>
            <w:tcBorders>
              <w:top w:val="single" w:color="000000" w:sz="4" w:space="0"/>
              <w:left w:val="single" w:color="000000" w:sz="4" w:space="0"/>
              <w:right w:val="single" w:color="000000" w:sz="4" w:space="0"/>
            </w:tcBorders>
            <w:vAlign w:val="center"/>
          </w:tcPr>
          <w:p w14:paraId="72D969B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restart"/>
            <w:tcBorders>
              <w:top w:val="single" w:color="000000" w:sz="4" w:space="0"/>
              <w:left w:val="single" w:color="000000" w:sz="4" w:space="0"/>
              <w:right w:val="single" w:color="000000" w:sz="4" w:space="0"/>
            </w:tcBorders>
            <w:vAlign w:val="center"/>
          </w:tcPr>
          <w:p w14:paraId="7B1DAB7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14C5F569">
        <w:tblPrEx>
          <w:tblCellMar>
            <w:top w:w="0" w:type="dxa"/>
            <w:left w:w="108" w:type="dxa"/>
            <w:bottom w:w="0" w:type="dxa"/>
            <w:right w:w="108" w:type="dxa"/>
          </w:tblCellMar>
        </w:tblPrEx>
        <w:trPr>
          <w:trHeight w:val="567" w:hRule="exact"/>
          <w:jc w:val="center"/>
        </w:trPr>
        <w:tc>
          <w:tcPr>
            <w:tcW w:w="437" w:type="pct"/>
            <w:vMerge w:val="continue"/>
            <w:tcBorders>
              <w:left w:val="single" w:color="000000" w:sz="4" w:space="0"/>
              <w:bottom w:val="single" w:color="auto" w:sz="4" w:space="0"/>
              <w:right w:val="single" w:color="000000" w:sz="4" w:space="0"/>
            </w:tcBorders>
            <w:shd w:val="clear" w:color="auto" w:fill="auto"/>
            <w:vAlign w:val="center"/>
          </w:tcPr>
          <w:p w14:paraId="14E6138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25" w:type="pct"/>
            <w:vMerge w:val="continue"/>
            <w:tcBorders>
              <w:left w:val="single" w:color="000000" w:sz="4" w:space="0"/>
              <w:bottom w:val="single" w:color="auto" w:sz="4" w:space="0"/>
              <w:right w:val="single" w:color="000000" w:sz="4" w:space="0"/>
            </w:tcBorders>
            <w:vAlign w:val="center"/>
          </w:tcPr>
          <w:p w14:paraId="7E79BC0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p>
        </w:tc>
        <w:tc>
          <w:tcPr>
            <w:tcW w:w="440" w:type="pct"/>
            <w:vMerge w:val="continue"/>
            <w:tcBorders>
              <w:left w:val="single" w:color="000000" w:sz="4" w:space="0"/>
              <w:bottom w:val="single" w:color="auto" w:sz="4" w:space="0"/>
              <w:right w:val="single" w:color="000000" w:sz="4" w:space="0"/>
            </w:tcBorders>
            <w:vAlign w:val="center"/>
          </w:tcPr>
          <w:p w14:paraId="5724CF8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30" w:type="pct"/>
            <w:tcBorders>
              <w:top w:val="single" w:color="000000" w:sz="4" w:space="0"/>
              <w:left w:val="single" w:color="000000" w:sz="4" w:space="0"/>
              <w:bottom w:val="single" w:color="auto" w:sz="4" w:space="0"/>
              <w:right w:val="single" w:color="000000" w:sz="4" w:space="0"/>
            </w:tcBorders>
            <w:vAlign w:val="center"/>
          </w:tcPr>
          <w:p w14:paraId="1EB8CC6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配件擦拭</w:t>
            </w:r>
          </w:p>
        </w:tc>
        <w:tc>
          <w:tcPr>
            <w:tcW w:w="463" w:type="pct"/>
            <w:tcBorders>
              <w:top w:val="single" w:color="000000" w:sz="4" w:space="0"/>
              <w:left w:val="single" w:color="000000" w:sz="4" w:space="0"/>
              <w:bottom w:val="single" w:color="auto" w:sz="4" w:space="0"/>
              <w:right w:val="single" w:color="000000" w:sz="4" w:space="0"/>
            </w:tcBorders>
            <w:vAlign w:val="center"/>
          </w:tcPr>
          <w:p w14:paraId="1AEC1A1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continue"/>
            <w:tcBorders>
              <w:left w:val="single" w:color="000000" w:sz="4" w:space="0"/>
              <w:bottom w:val="single" w:color="auto" w:sz="4" w:space="0"/>
              <w:right w:val="single" w:color="000000" w:sz="4" w:space="0"/>
            </w:tcBorders>
            <w:vAlign w:val="center"/>
          </w:tcPr>
          <w:p w14:paraId="461E3C4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29" w:type="pct"/>
            <w:vMerge w:val="continue"/>
            <w:tcBorders>
              <w:left w:val="single" w:color="000000" w:sz="4" w:space="0"/>
              <w:bottom w:val="single" w:color="auto" w:sz="4" w:space="0"/>
              <w:right w:val="single" w:color="000000" w:sz="4" w:space="0"/>
            </w:tcBorders>
            <w:vAlign w:val="center"/>
          </w:tcPr>
          <w:p w14:paraId="291DCB7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continue"/>
            <w:tcBorders>
              <w:left w:val="single" w:color="000000" w:sz="4" w:space="0"/>
              <w:bottom w:val="single" w:color="auto" w:sz="4" w:space="0"/>
              <w:right w:val="single" w:color="000000" w:sz="4" w:space="0"/>
            </w:tcBorders>
            <w:vAlign w:val="center"/>
          </w:tcPr>
          <w:p w14:paraId="39DE654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43864AF0">
        <w:tblPrEx>
          <w:tblCellMar>
            <w:top w:w="0" w:type="dxa"/>
            <w:left w:w="108" w:type="dxa"/>
            <w:bottom w:w="0" w:type="dxa"/>
            <w:right w:w="108" w:type="dxa"/>
          </w:tblCellMar>
        </w:tblPrEx>
        <w:trPr>
          <w:trHeight w:val="454" w:hRule="exact"/>
          <w:jc w:val="center"/>
        </w:trPr>
        <w:tc>
          <w:tcPr>
            <w:tcW w:w="43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5AE68F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7</w:t>
            </w:r>
          </w:p>
        </w:tc>
        <w:tc>
          <w:tcPr>
            <w:tcW w:w="925" w:type="pct"/>
            <w:vMerge w:val="restart"/>
            <w:tcBorders>
              <w:top w:val="single" w:color="auto" w:sz="4" w:space="0"/>
              <w:left w:val="single" w:color="auto" w:sz="4" w:space="0"/>
              <w:bottom w:val="single" w:color="auto" w:sz="4" w:space="0"/>
              <w:right w:val="single" w:color="auto" w:sz="4" w:space="0"/>
            </w:tcBorders>
            <w:vAlign w:val="center"/>
          </w:tcPr>
          <w:p w14:paraId="20CFD60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公共卫生间垃圾桶及时清理，不得溢出，保持卫生间清洁无异味；地面无积水</w:t>
            </w:r>
          </w:p>
        </w:tc>
        <w:tc>
          <w:tcPr>
            <w:tcW w:w="440" w:type="pct"/>
            <w:vMerge w:val="restart"/>
            <w:tcBorders>
              <w:top w:val="single" w:color="auto" w:sz="4" w:space="0"/>
              <w:left w:val="single" w:color="auto" w:sz="4" w:space="0"/>
              <w:bottom w:val="single" w:color="auto" w:sz="4" w:space="0"/>
              <w:right w:val="single" w:color="auto" w:sz="4" w:space="0"/>
            </w:tcBorders>
            <w:vAlign w:val="center"/>
          </w:tcPr>
          <w:p w14:paraId="3BF5A07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5</w:t>
            </w:r>
          </w:p>
        </w:tc>
        <w:tc>
          <w:tcPr>
            <w:tcW w:w="930" w:type="pct"/>
            <w:tcBorders>
              <w:top w:val="single" w:color="auto" w:sz="4" w:space="0"/>
              <w:left w:val="single" w:color="auto" w:sz="4" w:space="0"/>
              <w:bottom w:val="single" w:color="auto" w:sz="4" w:space="0"/>
              <w:right w:val="single" w:color="auto" w:sz="4" w:space="0"/>
            </w:tcBorders>
            <w:vAlign w:val="center"/>
          </w:tcPr>
          <w:p w14:paraId="049BDB9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镜面清洗</w:t>
            </w:r>
          </w:p>
        </w:tc>
        <w:tc>
          <w:tcPr>
            <w:tcW w:w="463" w:type="pct"/>
            <w:tcBorders>
              <w:top w:val="single" w:color="auto" w:sz="4" w:space="0"/>
              <w:left w:val="single" w:color="auto" w:sz="4" w:space="0"/>
              <w:bottom w:val="single" w:color="auto" w:sz="4" w:space="0"/>
              <w:right w:val="single" w:color="auto" w:sz="4" w:space="0"/>
            </w:tcBorders>
            <w:vAlign w:val="center"/>
          </w:tcPr>
          <w:p w14:paraId="35791A3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restart"/>
            <w:tcBorders>
              <w:top w:val="single" w:color="auto" w:sz="4" w:space="0"/>
              <w:left w:val="single" w:color="auto" w:sz="4" w:space="0"/>
              <w:bottom w:val="single" w:color="auto" w:sz="4" w:space="0"/>
              <w:right w:val="single" w:color="auto" w:sz="4" w:space="0"/>
            </w:tcBorders>
            <w:vAlign w:val="center"/>
          </w:tcPr>
          <w:p w14:paraId="6A7502B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发现一处不合格扣1分</w:t>
            </w:r>
          </w:p>
        </w:tc>
        <w:tc>
          <w:tcPr>
            <w:tcW w:w="429" w:type="pct"/>
            <w:vMerge w:val="restart"/>
            <w:tcBorders>
              <w:top w:val="single" w:color="auto" w:sz="4" w:space="0"/>
              <w:left w:val="single" w:color="auto" w:sz="4" w:space="0"/>
              <w:bottom w:val="single" w:color="auto" w:sz="4" w:space="0"/>
              <w:right w:val="single" w:color="auto" w:sz="4" w:space="0"/>
            </w:tcBorders>
            <w:vAlign w:val="center"/>
          </w:tcPr>
          <w:p w14:paraId="431C9F8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restart"/>
            <w:tcBorders>
              <w:top w:val="single" w:color="auto" w:sz="4" w:space="0"/>
              <w:left w:val="single" w:color="auto" w:sz="4" w:space="0"/>
              <w:bottom w:val="single" w:color="auto" w:sz="4" w:space="0"/>
              <w:right w:val="single" w:color="auto" w:sz="4" w:space="0"/>
            </w:tcBorders>
            <w:vAlign w:val="center"/>
          </w:tcPr>
          <w:p w14:paraId="071462F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7D59CBF6">
        <w:tblPrEx>
          <w:tblCellMar>
            <w:top w:w="0" w:type="dxa"/>
            <w:left w:w="108" w:type="dxa"/>
            <w:bottom w:w="0" w:type="dxa"/>
            <w:right w:w="108" w:type="dxa"/>
          </w:tblCellMar>
        </w:tblPrEx>
        <w:trPr>
          <w:trHeight w:val="454" w:hRule="exact"/>
          <w:jc w:val="center"/>
        </w:trPr>
        <w:tc>
          <w:tcPr>
            <w:tcW w:w="437" w:type="pct"/>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2A7912F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25" w:type="pct"/>
            <w:vMerge w:val="continue"/>
            <w:tcBorders>
              <w:top w:val="single" w:color="auto" w:sz="4" w:space="0"/>
              <w:left w:val="single" w:color="000000" w:sz="4" w:space="0"/>
              <w:bottom w:val="single" w:color="auto" w:sz="4" w:space="0"/>
              <w:right w:val="single" w:color="auto" w:sz="4" w:space="0"/>
            </w:tcBorders>
            <w:vAlign w:val="center"/>
          </w:tcPr>
          <w:p w14:paraId="343A0268">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p>
        </w:tc>
        <w:tc>
          <w:tcPr>
            <w:tcW w:w="440" w:type="pct"/>
            <w:vMerge w:val="continue"/>
            <w:tcBorders>
              <w:top w:val="single" w:color="auto" w:sz="4" w:space="0"/>
              <w:left w:val="single" w:color="auto" w:sz="4" w:space="0"/>
              <w:right w:val="single" w:color="000000" w:sz="4" w:space="0"/>
            </w:tcBorders>
            <w:vAlign w:val="center"/>
          </w:tcPr>
          <w:p w14:paraId="2024D3E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p>
        </w:tc>
        <w:tc>
          <w:tcPr>
            <w:tcW w:w="930" w:type="pct"/>
            <w:tcBorders>
              <w:top w:val="single" w:color="auto" w:sz="4" w:space="0"/>
              <w:left w:val="single" w:color="000000" w:sz="4" w:space="0"/>
              <w:bottom w:val="single" w:color="000000" w:sz="4" w:space="0"/>
              <w:right w:val="single" w:color="000000" w:sz="4" w:space="0"/>
            </w:tcBorders>
            <w:vAlign w:val="center"/>
          </w:tcPr>
          <w:p w14:paraId="63CE903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洗手台打扫</w:t>
            </w:r>
          </w:p>
        </w:tc>
        <w:tc>
          <w:tcPr>
            <w:tcW w:w="463" w:type="pct"/>
            <w:tcBorders>
              <w:top w:val="single" w:color="auto" w:sz="4" w:space="0"/>
              <w:left w:val="single" w:color="000000" w:sz="4" w:space="0"/>
              <w:bottom w:val="single" w:color="000000" w:sz="4" w:space="0"/>
              <w:right w:val="single" w:color="000000" w:sz="4" w:space="0"/>
            </w:tcBorders>
            <w:vAlign w:val="center"/>
          </w:tcPr>
          <w:p w14:paraId="24F2E9B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continue"/>
            <w:tcBorders>
              <w:top w:val="single" w:color="auto" w:sz="4" w:space="0"/>
              <w:left w:val="single" w:color="000000" w:sz="4" w:space="0"/>
              <w:right w:val="single" w:color="000000" w:sz="4" w:space="0"/>
            </w:tcBorders>
            <w:vAlign w:val="center"/>
          </w:tcPr>
          <w:p w14:paraId="17362CC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29" w:type="pct"/>
            <w:vMerge w:val="continue"/>
            <w:tcBorders>
              <w:top w:val="single" w:color="auto" w:sz="4" w:space="0"/>
              <w:left w:val="single" w:color="000000" w:sz="4" w:space="0"/>
              <w:right w:val="single" w:color="000000" w:sz="4" w:space="0"/>
            </w:tcBorders>
            <w:vAlign w:val="center"/>
          </w:tcPr>
          <w:p w14:paraId="116C524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continue"/>
            <w:tcBorders>
              <w:top w:val="single" w:color="auto" w:sz="4" w:space="0"/>
              <w:left w:val="single" w:color="000000" w:sz="4" w:space="0"/>
              <w:right w:val="single" w:color="auto" w:sz="4" w:space="0"/>
            </w:tcBorders>
            <w:vAlign w:val="center"/>
          </w:tcPr>
          <w:p w14:paraId="2BC834E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039B4C6A">
        <w:tblPrEx>
          <w:tblCellMar>
            <w:top w:w="0" w:type="dxa"/>
            <w:left w:w="108" w:type="dxa"/>
            <w:bottom w:w="0" w:type="dxa"/>
            <w:right w:w="108" w:type="dxa"/>
          </w:tblCellMar>
        </w:tblPrEx>
        <w:trPr>
          <w:trHeight w:val="454" w:hRule="exact"/>
          <w:jc w:val="center"/>
        </w:trPr>
        <w:tc>
          <w:tcPr>
            <w:tcW w:w="437" w:type="pct"/>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4C52CA1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25" w:type="pct"/>
            <w:vMerge w:val="continue"/>
            <w:tcBorders>
              <w:top w:val="single" w:color="auto" w:sz="4" w:space="0"/>
              <w:left w:val="single" w:color="000000" w:sz="4" w:space="0"/>
              <w:bottom w:val="single" w:color="auto" w:sz="4" w:space="0"/>
              <w:right w:val="single" w:color="auto" w:sz="4" w:space="0"/>
            </w:tcBorders>
            <w:vAlign w:val="center"/>
          </w:tcPr>
          <w:p w14:paraId="3C99A784">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p>
        </w:tc>
        <w:tc>
          <w:tcPr>
            <w:tcW w:w="440" w:type="pct"/>
            <w:vMerge w:val="continue"/>
            <w:tcBorders>
              <w:left w:val="single" w:color="auto" w:sz="4" w:space="0"/>
              <w:right w:val="single" w:color="000000" w:sz="4" w:space="0"/>
            </w:tcBorders>
            <w:vAlign w:val="center"/>
          </w:tcPr>
          <w:p w14:paraId="523110F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p>
        </w:tc>
        <w:tc>
          <w:tcPr>
            <w:tcW w:w="930" w:type="pct"/>
            <w:tcBorders>
              <w:top w:val="single" w:color="000000" w:sz="4" w:space="0"/>
              <w:left w:val="single" w:color="000000" w:sz="4" w:space="0"/>
              <w:bottom w:val="single" w:color="000000" w:sz="4" w:space="0"/>
              <w:right w:val="single" w:color="000000" w:sz="4" w:space="0"/>
            </w:tcBorders>
            <w:vAlign w:val="center"/>
          </w:tcPr>
          <w:p w14:paraId="5E7DBD0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隔间清洗</w:t>
            </w:r>
          </w:p>
        </w:tc>
        <w:tc>
          <w:tcPr>
            <w:tcW w:w="463" w:type="pct"/>
            <w:tcBorders>
              <w:top w:val="single" w:color="000000" w:sz="4" w:space="0"/>
              <w:left w:val="single" w:color="000000" w:sz="4" w:space="0"/>
              <w:bottom w:val="single" w:color="000000" w:sz="4" w:space="0"/>
              <w:right w:val="single" w:color="000000" w:sz="4" w:space="0"/>
            </w:tcBorders>
            <w:vAlign w:val="center"/>
          </w:tcPr>
          <w:p w14:paraId="3E8AE7F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continue"/>
            <w:tcBorders>
              <w:left w:val="single" w:color="000000" w:sz="4" w:space="0"/>
              <w:right w:val="single" w:color="000000" w:sz="4" w:space="0"/>
            </w:tcBorders>
            <w:vAlign w:val="center"/>
          </w:tcPr>
          <w:p w14:paraId="6E2DAE7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29" w:type="pct"/>
            <w:vMerge w:val="continue"/>
            <w:tcBorders>
              <w:left w:val="single" w:color="000000" w:sz="4" w:space="0"/>
              <w:right w:val="single" w:color="000000" w:sz="4" w:space="0"/>
            </w:tcBorders>
            <w:vAlign w:val="center"/>
          </w:tcPr>
          <w:p w14:paraId="7241008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continue"/>
            <w:tcBorders>
              <w:left w:val="single" w:color="000000" w:sz="4" w:space="0"/>
              <w:right w:val="single" w:color="auto" w:sz="4" w:space="0"/>
            </w:tcBorders>
            <w:vAlign w:val="center"/>
          </w:tcPr>
          <w:p w14:paraId="48BAC8E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0BA04FBB">
        <w:tblPrEx>
          <w:tblCellMar>
            <w:top w:w="0" w:type="dxa"/>
            <w:left w:w="108" w:type="dxa"/>
            <w:bottom w:w="0" w:type="dxa"/>
            <w:right w:w="108" w:type="dxa"/>
          </w:tblCellMar>
        </w:tblPrEx>
        <w:trPr>
          <w:trHeight w:val="454" w:hRule="exact"/>
          <w:jc w:val="center"/>
        </w:trPr>
        <w:tc>
          <w:tcPr>
            <w:tcW w:w="437" w:type="pct"/>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4343470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25" w:type="pct"/>
            <w:vMerge w:val="continue"/>
            <w:tcBorders>
              <w:top w:val="single" w:color="auto" w:sz="4" w:space="0"/>
              <w:left w:val="single" w:color="000000" w:sz="4" w:space="0"/>
              <w:bottom w:val="single" w:color="auto" w:sz="4" w:space="0"/>
              <w:right w:val="single" w:color="auto" w:sz="4" w:space="0"/>
            </w:tcBorders>
            <w:vAlign w:val="center"/>
          </w:tcPr>
          <w:p w14:paraId="61AF557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p>
        </w:tc>
        <w:tc>
          <w:tcPr>
            <w:tcW w:w="440" w:type="pct"/>
            <w:vMerge w:val="continue"/>
            <w:tcBorders>
              <w:left w:val="single" w:color="auto" w:sz="4" w:space="0"/>
              <w:bottom w:val="single" w:color="000000" w:sz="4" w:space="0"/>
              <w:right w:val="single" w:color="000000" w:sz="4" w:space="0"/>
            </w:tcBorders>
            <w:vAlign w:val="center"/>
          </w:tcPr>
          <w:p w14:paraId="6A1BAC0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p>
        </w:tc>
        <w:tc>
          <w:tcPr>
            <w:tcW w:w="930" w:type="pct"/>
            <w:tcBorders>
              <w:top w:val="single" w:color="000000" w:sz="4" w:space="0"/>
              <w:left w:val="single" w:color="000000" w:sz="4" w:space="0"/>
              <w:bottom w:val="single" w:color="000000" w:sz="4" w:space="0"/>
              <w:right w:val="single" w:color="000000" w:sz="4" w:space="0"/>
            </w:tcBorders>
            <w:vAlign w:val="center"/>
          </w:tcPr>
          <w:p w14:paraId="03EF836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便池</w:t>
            </w:r>
          </w:p>
        </w:tc>
        <w:tc>
          <w:tcPr>
            <w:tcW w:w="463" w:type="pct"/>
            <w:tcBorders>
              <w:top w:val="single" w:color="000000" w:sz="4" w:space="0"/>
              <w:left w:val="single" w:color="000000" w:sz="4" w:space="0"/>
              <w:bottom w:val="single" w:color="000000" w:sz="4" w:space="0"/>
              <w:right w:val="single" w:color="000000" w:sz="4" w:space="0"/>
            </w:tcBorders>
            <w:vAlign w:val="center"/>
          </w:tcPr>
          <w:p w14:paraId="247134B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continue"/>
            <w:tcBorders>
              <w:left w:val="single" w:color="000000" w:sz="4" w:space="0"/>
              <w:bottom w:val="single" w:color="000000" w:sz="4" w:space="0"/>
              <w:right w:val="single" w:color="000000" w:sz="4" w:space="0"/>
            </w:tcBorders>
            <w:vAlign w:val="center"/>
          </w:tcPr>
          <w:p w14:paraId="3DAF56B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29" w:type="pct"/>
            <w:vMerge w:val="continue"/>
            <w:tcBorders>
              <w:left w:val="single" w:color="000000" w:sz="4" w:space="0"/>
              <w:bottom w:val="single" w:color="000000" w:sz="4" w:space="0"/>
              <w:right w:val="single" w:color="000000" w:sz="4" w:space="0"/>
            </w:tcBorders>
            <w:vAlign w:val="center"/>
          </w:tcPr>
          <w:p w14:paraId="4945BD3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continue"/>
            <w:tcBorders>
              <w:left w:val="single" w:color="000000" w:sz="4" w:space="0"/>
              <w:bottom w:val="single" w:color="000000" w:sz="4" w:space="0"/>
              <w:right w:val="single" w:color="auto" w:sz="4" w:space="0"/>
            </w:tcBorders>
            <w:vAlign w:val="center"/>
          </w:tcPr>
          <w:p w14:paraId="4E6CB41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0C114200">
        <w:tblPrEx>
          <w:tblCellMar>
            <w:top w:w="0" w:type="dxa"/>
            <w:left w:w="108" w:type="dxa"/>
            <w:bottom w:w="0" w:type="dxa"/>
            <w:right w:w="108" w:type="dxa"/>
          </w:tblCellMar>
        </w:tblPrEx>
        <w:trPr>
          <w:trHeight w:val="454" w:hRule="exact"/>
          <w:jc w:val="center"/>
        </w:trPr>
        <w:tc>
          <w:tcPr>
            <w:tcW w:w="437" w:type="pct"/>
            <w:vMerge w:val="restart"/>
            <w:tcBorders>
              <w:top w:val="single" w:color="auto" w:sz="4" w:space="0"/>
              <w:left w:val="single" w:color="000000" w:sz="4" w:space="0"/>
              <w:right w:val="single" w:color="000000" w:sz="4" w:space="0"/>
            </w:tcBorders>
            <w:shd w:val="clear" w:color="auto" w:fill="auto"/>
            <w:vAlign w:val="center"/>
          </w:tcPr>
          <w:p w14:paraId="4D482C2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8</w:t>
            </w:r>
          </w:p>
        </w:tc>
        <w:tc>
          <w:tcPr>
            <w:tcW w:w="925" w:type="pct"/>
            <w:vMerge w:val="restart"/>
            <w:tcBorders>
              <w:top w:val="single" w:color="auto" w:sz="4" w:space="0"/>
              <w:left w:val="single" w:color="000000" w:sz="4" w:space="0"/>
              <w:right w:val="single" w:color="000000" w:sz="4" w:space="0"/>
            </w:tcBorders>
            <w:shd w:val="clear" w:color="auto" w:fill="auto"/>
            <w:vAlign w:val="center"/>
          </w:tcPr>
          <w:p w14:paraId="752BF18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地下车库保持清洁、无垃圾、无杂物</w:t>
            </w:r>
          </w:p>
        </w:tc>
        <w:tc>
          <w:tcPr>
            <w:tcW w:w="440" w:type="pct"/>
            <w:vMerge w:val="restart"/>
            <w:tcBorders>
              <w:top w:val="single" w:color="000000" w:sz="4" w:space="0"/>
              <w:left w:val="single" w:color="000000" w:sz="4" w:space="0"/>
              <w:right w:val="single" w:color="000000" w:sz="4" w:space="0"/>
            </w:tcBorders>
            <w:shd w:val="clear" w:color="auto" w:fill="auto"/>
            <w:vAlign w:val="center"/>
          </w:tcPr>
          <w:p w14:paraId="1E95B08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3</w:t>
            </w: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23F2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地面打扫</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0EE7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restart"/>
            <w:tcBorders>
              <w:top w:val="single" w:color="000000" w:sz="4" w:space="0"/>
              <w:left w:val="single" w:color="000000" w:sz="4" w:space="0"/>
              <w:right w:val="single" w:color="000000" w:sz="4" w:space="0"/>
            </w:tcBorders>
            <w:shd w:val="clear" w:color="auto" w:fill="auto"/>
            <w:vAlign w:val="center"/>
          </w:tcPr>
          <w:p w14:paraId="1A1C98E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发现一处不合格扣1分</w:t>
            </w:r>
          </w:p>
        </w:tc>
        <w:tc>
          <w:tcPr>
            <w:tcW w:w="429" w:type="pct"/>
            <w:vMerge w:val="restart"/>
            <w:tcBorders>
              <w:top w:val="single" w:color="000000" w:sz="4" w:space="0"/>
              <w:left w:val="single" w:color="000000" w:sz="4" w:space="0"/>
              <w:right w:val="single" w:color="000000" w:sz="4" w:space="0"/>
            </w:tcBorders>
            <w:vAlign w:val="center"/>
          </w:tcPr>
          <w:p w14:paraId="059213A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restart"/>
            <w:tcBorders>
              <w:top w:val="single" w:color="000000" w:sz="4" w:space="0"/>
              <w:left w:val="single" w:color="000000" w:sz="4" w:space="0"/>
              <w:right w:val="single" w:color="000000" w:sz="4" w:space="0"/>
            </w:tcBorders>
            <w:vAlign w:val="center"/>
          </w:tcPr>
          <w:p w14:paraId="50219B2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3A5D1210">
        <w:tblPrEx>
          <w:tblCellMar>
            <w:top w:w="0" w:type="dxa"/>
            <w:left w:w="108" w:type="dxa"/>
            <w:bottom w:w="0" w:type="dxa"/>
            <w:right w:w="108" w:type="dxa"/>
          </w:tblCellMar>
        </w:tblPrEx>
        <w:trPr>
          <w:trHeight w:val="454" w:hRule="exact"/>
          <w:jc w:val="center"/>
        </w:trPr>
        <w:tc>
          <w:tcPr>
            <w:tcW w:w="437" w:type="pct"/>
            <w:vMerge w:val="continue"/>
            <w:tcBorders>
              <w:left w:val="single" w:color="000000" w:sz="4" w:space="0"/>
              <w:bottom w:val="single" w:color="000000" w:sz="4" w:space="0"/>
              <w:right w:val="single" w:color="000000" w:sz="4" w:space="0"/>
            </w:tcBorders>
            <w:shd w:val="clear" w:color="auto" w:fill="auto"/>
            <w:vAlign w:val="center"/>
          </w:tcPr>
          <w:p w14:paraId="6A63D4C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25" w:type="pct"/>
            <w:vMerge w:val="continue"/>
            <w:tcBorders>
              <w:left w:val="single" w:color="000000" w:sz="4" w:space="0"/>
              <w:bottom w:val="single" w:color="000000" w:sz="4" w:space="0"/>
              <w:right w:val="single" w:color="000000" w:sz="4" w:space="0"/>
            </w:tcBorders>
            <w:shd w:val="clear" w:color="auto" w:fill="auto"/>
            <w:vAlign w:val="center"/>
          </w:tcPr>
          <w:p w14:paraId="5EF3C9F8">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p>
        </w:tc>
        <w:tc>
          <w:tcPr>
            <w:tcW w:w="440" w:type="pct"/>
            <w:vMerge w:val="continue"/>
            <w:tcBorders>
              <w:left w:val="single" w:color="000000" w:sz="4" w:space="0"/>
              <w:bottom w:val="single" w:color="000000" w:sz="4" w:space="0"/>
              <w:right w:val="single" w:color="000000" w:sz="4" w:space="0"/>
            </w:tcBorders>
            <w:shd w:val="clear" w:color="auto" w:fill="auto"/>
            <w:vAlign w:val="center"/>
          </w:tcPr>
          <w:p w14:paraId="5869B52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182E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消火栓打扫</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BE5A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continue"/>
            <w:tcBorders>
              <w:left w:val="single" w:color="000000" w:sz="4" w:space="0"/>
              <w:bottom w:val="single" w:color="000000" w:sz="4" w:space="0"/>
              <w:right w:val="single" w:color="000000" w:sz="4" w:space="0"/>
            </w:tcBorders>
            <w:shd w:val="clear" w:color="auto" w:fill="auto"/>
            <w:vAlign w:val="center"/>
          </w:tcPr>
          <w:p w14:paraId="0FF0452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29" w:type="pct"/>
            <w:vMerge w:val="continue"/>
            <w:tcBorders>
              <w:left w:val="single" w:color="000000" w:sz="4" w:space="0"/>
              <w:bottom w:val="single" w:color="000000" w:sz="4" w:space="0"/>
              <w:right w:val="single" w:color="000000" w:sz="4" w:space="0"/>
            </w:tcBorders>
            <w:vAlign w:val="center"/>
          </w:tcPr>
          <w:p w14:paraId="19EAB64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continue"/>
            <w:tcBorders>
              <w:left w:val="single" w:color="000000" w:sz="4" w:space="0"/>
              <w:bottom w:val="single" w:color="000000" w:sz="4" w:space="0"/>
              <w:right w:val="single" w:color="000000" w:sz="4" w:space="0"/>
            </w:tcBorders>
            <w:vAlign w:val="center"/>
          </w:tcPr>
          <w:p w14:paraId="0BB5187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1C36D044">
        <w:tblPrEx>
          <w:tblCellMar>
            <w:top w:w="0" w:type="dxa"/>
            <w:left w:w="108" w:type="dxa"/>
            <w:bottom w:w="0" w:type="dxa"/>
            <w:right w:w="108" w:type="dxa"/>
          </w:tblCellMar>
        </w:tblPrEx>
        <w:trPr>
          <w:trHeight w:val="90" w:hRule="atLeast"/>
          <w:jc w:val="center"/>
        </w:trPr>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F426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9</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4914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垃圾厢（房）：对垃圾厢（房）循环保洁，并保证垃圾桶（箱）目视整洁、干净、无异味；灭害措施完善</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5ABF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5</w:t>
            </w: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6F25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垃圾分类/清运</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75DF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2E88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发现一处不合格扣1分</w:t>
            </w:r>
          </w:p>
        </w:tc>
        <w:tc>
          <w:tcPr>
            <w:tcW w:w="429" w:type="pct"/>
            <w:tcBorders>
              <w:top w:val="single" w:color="000000" w:sz="4" w:space="0"/>
              <w:left w:val="single" w:color="000000" w:sz="4" w:space="0"/>
              <w:bottom w:val="single" w:color="000000" w:sz="4" w:space="0"/>
              <w:right w:val="single" w:color="000000" w:sz="4" w:space="0"/>
            </w:tcBorders>
            <w:vAlign w:val="center"/>
          </w:tcPr>
          <w:p w14:paraId="7D8C1D2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tcBorders>
              <w:top w:val="single" w:color="000000" w:sz="4" w:space="0"/>
              <w:left w:val="single" w:color="000000" w:sz="4" w:space="0"/>
              <w:bottom w:val="single" w:color="000000" w:sz="4" w:space="0"/>
              <w:right w:val="single" w:color="000000" w:sz="4" w:space="0"/>
            </w:tcBorders>
            <w:vAlign w:val="center"/>
          </w:tcPr>
          <w:p w14:paraId="6BE52F7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008EE40F">
        <w:tblPrEx>
          <w:tblCellMar>
            <w:top w:w="0" w:type="dxa"/>
            <w:left w:w="108" w:type="dxa"/>
            <w:bottom w:w="0" w:type="dxa"/>
            <w:right w:w="108" w:type="dxa"/>
          </w:tblCellMar>
        </w:tblPrEx>
        <w:trPr>
          <w:trHeight w:val="624" w:hRule="exact"/>
          <w:jc w:val="center"/>
        </w:trPr>
        <w:tc>
          <w:tcPr>
            <w:tcW w:w="437" w:type="pct"/>
            <w:vMerge w:val="restart"/>
            <w:tcBorders>
              <w:top w:val="single" w:color="000000" w:sz="4" w:space="0"/>
              <w:left w:val="single" w:color="000000" w:sz="4" w:space="0"/>
              <w:right w:val="single" w:color="000000" w:sz="4" w:space="0"/>
            </w:tcBorders>
            <w:shd w:val="clear" w:color="auto" w:fill="auto"/>
            <w:vAlign w:val="center"/>
          </w:tcPr>
          <w:p w14:paraId="75A0C6A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10</w:t>
            </w:r>
          </w:p>
        </w:tc>
        <w:tc>
          <w:tcPr>
            <w:tcW w:w="925" w:type="pct"/>
            <w:vMerge w:val="restart"/>
            <w:tcBorders>
              <w:top w:val="single" w:color="000000" w:sz="4" w:space="0"/>
              <w:left w:val="single" w:color="000000" w:sz="4" w:space="0"/>
              <w:right w:val="single" w:color="000000" w:sz="4" w:space="0"/>
            </w:tcBorders>
            <w:shd w:val="clear" w:color="auto" w:fill="auto"/>
            <w:vAlign w:val="center"/>
          </w:tcPr>
          <w:p w14:paraId="6C2FCEF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道路公共灯具、标识牌、开关面板、矮柱灯立面、信报箱、宣传栏、小品等目视无泥土、手印、积尘</w:t>
            </w:r>
          </w:p>
          <w:p w14:paraId="2EBCF69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道路地面、绿地、室外车场目视清洁无杂物；明沟无杂物、无积水</w:t>
            </w:r>
          </w:p>
        </w:tc>
        <w:tc>
          <w:tcPr>
            <w:tcW w:w="440" w:type="pct"/>
            <w:vMerge w:val="restart"/>
            <w:tcBorders>
              <w:top w:val="single" w:color="000000" w:sz="4" w:space="0"/>
              <w:left w:val="single" w:color="000000" w:sz="4" w:space="0"/>
              <w:right w:val="single" w:color="000000" w:sz="4" w:space="0"/>
            </w:tcBorders>
            <w:vAlign w:val="center"/>
          </w:tcPr>
          <w:p w14:paraId="3FFA734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5</w:t>
            </w:r>
          </w:p>
        </w:tc>
        <w:tc>
          <w:tcPr>
            <w:tcW w:w="930" w:type="pct"/>
            <w:tcBorders>
              <w:top w:val="single" w:color="000000" w:sz="4" w:space="0"/>
              <w:left w:val="single" w:color="000000" w:sz="4" w:space="0"/>
              <w:bottom w:val="single" w:color="000000" w:sz="4" w:space="0"/>
              <w:right w:val="single" w:color="000000" w:sz="4" w:space="0"/>
            </w:tcBorders>
            <w:vAlign w:val="center"/>
          </w:tcPr>
          <w:p w14:paraId="7CD140C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地面打扫</w:t>
            </w:r>
          </w:p>
        </w:tc>
        <w:tc>
          <w:tcPr>
            <w:tcW w:w="463" w:type="pct"/>
            <w:tcBorders>
              <w:top w:val="single" w:color="000000" w:sz="4" w:space="0"/>
              <w:left w:val="single" w:color="000000" w:sz="4" w:space="0"/>
              <w:bottom w:val="single" w:color="000000" w:sz="4" w:space="0"/>
              <w:right w:val="single" w:color="000000" w:sz="4" w:space="0"/>
            </w:tcBorders>
            <w:vAlign w:val="center"/>
          </w:tcPr>
          <w:p w14:paraId="77F49D5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restart"/>
            <w:tcBorders>
              <w:top w:val="single" w:color="000000" w:sz="4" w:space="0"/>
              <w:left w:val="single" w:color="000000" w:sz="4" w:space="0"/>
              <w:right w:val="single" w:color="000000" w:sz="4" w:space="0"/>
            </w:tcBorders>
            <w:vAlign w:val="center"/>
          </w:tcPr>
          <w:p w14:paraId="54D0002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发现一处不合格扣1分</w:t>
            </w:r>
          </w:p>
        </w:tc>
        <w:tc>
          <w:tcPr>
            <w:tcW w:w="429" w:type="pct"/>
            <w:vMerge w:val="restart"/>
            <w:tcBorders>
              <w:top w:val="single" w:color="000000" w:sz="4" w:space="0"/>
              <w:left w:val="single" w:color="000000" w:sz="4" w:space="0"/>
              <w:right w:val="single" w:color="000000" w:sz="4" w:space="0"/>
            </w:tcBorders>
            <w:vAlign w:val="center"/>
          </w:tcPr>
          <w:p w14:paraId="54323F9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restart"/>
            <w:tcBorders>
              <w:top w:val="single" w:color="000000" w:sz="4" w:space="0"/>
              <w:left w:val="single" w:color="000000" w:sz="4" w:space="0"/>
              <w:right w:val="single" w:color="000000" w:sz="4" w:space="0"/>
            </w:tcBorders>
            <w:vAlign w:val="center"/>
          </w:tcPr>
          <w:p w14:paraId="1266425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34ADFEC1">
        <w:tblPrEx>
          <w:tblCellMar>
            <w:top w:w="0" w:type="dxa"/>
            <w:left w:w="108" w:type="dxa"/>
            <w:bottom w:w="0" w:type="dxa"/>
            <w:right w:w="108" w:type="dxa"/>
          </w:tblCellMar>
        </w:tblPrEx>
        <w:trPr>
          <w:trHeight w:val="624" w:hRule="exact"/>
          <w:jc w:val="center"/>
        </w:trPr>
        <w:tc>
          <w:tcPr>
            <w:tcW w:w="437" w:type="pct"/>
            <w:vMerge w:val="continue"/>
            <w:tcBorders>
              <w:left w:val="single" w:color="000000" w:sz="4" w:space="0"/>
              <w:right w:val="single" w:color="000000" w:sz="4" w:space="0"/>
            </w:tcBorders>
            <w:shd w:val="clear" w:color="auto" w:fill="auto"/>
            <w:vAlign w:val="center"/>
          </w:tcPr>
          <w:p w14:paraId="343E0FB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25" w:type="pct"/>
            <w:vMerge w:val="continue"/>
            <w:tcBorders>
              <w:left w:val="single" w:color="000000" w:sz="4" w:space="0"/>
              <w:right w:val="single" w:color="000000" w:sz="4" w:space="0"/>
            </w:tcBorders>
            <w:shd w:val="clear" w:color="auto" w:fill="auto"/>
            <w:vAlign w:val="center"/>
          </w:tcPr>
          <w:p w14:paraId="2B84C5D0">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p>
        </w:tc>
        <w:tc>
          <w:tcPr>
            <w:tcW w:w="440" w:type="pct"/>
            <w:vMerge w:val="continue"/>
            <w:tcBorders>
              <w:left w:val="single" w:color="000000" w:sz="4" w:space="0"/>
              <w:right w:val="single" w:color="000000" w:sz="4" w:space="0"/>
            </w:tcBorders>
            <w:vAlign w:val="center"/>
          </w:tcPr>
          <w:p w14:paraId="6D93070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30" w:type="pct"/>
            <w:tcBorders>
              <w:top w:val="single" w:color="000000" w:sz="4" w:space="0"/>
              <w:left w:val="single" w:color="000000" w:sz="4" w:space="0"/>
              <w:bottom w:val="single" w:color="000000" w:sz="4" w:space="0"/>
              <w:right w:val="single" w:color="000000" w:sz="4" w:space="0"/>
            </w:tcBorders>
            <w:vAlign w:val="center"/>
          </w:tcPr>
          <w:p w14:paraId="2398C38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沟渠清理</w:t>
            </w:r>
          </w:p>
        </w:tc>
        <w:tc>
          <w:tcPr>
            <w:tcW w:w="463" w:type="pct"/>
            <w:tcBorders>
              <w:top w:val="single" w:color="000000" w:sz="4" w:space="0"/>
              <w:left w:val="single" w:color="000000" w:sz="4" w:space="0"/>
              <w:bottom w:val="single" w:color="000000" w:sz="4" w:space="0"/>
              <w:right w:val="single" w:color="000000" w:sz="4" w:space="0"/>
            </w:tcBorders>
            <w:vAlign w:val="center"/>
          </w:tcPr>
          <w:p w14:paraId="3F16BBA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continue"/>
            <w:tcBorders>
              <w:left w:val="single" w:color="000000" w:sz="4" w:space="0"/>
              <w:right w:val="single" w:color="000000" w:sz="4" w:space="0"/>
            </w:tcBorders>
            <w:vAlign w:val="center"/>
          </w:tcPr>
          <w:p w14:paraId="4071C2C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29" w:type="pct"/>
            <w:vMerge w:val="continue"/>
            <w:tcBorders>
              <w:left w:val="single" w:color="000000" w:sz="4" w:space="0"/>
              <w:right w:val="single" w:color="000000" w:sz="4" w:space="0"/>
            </w:tcBorders>
            <w:vAlign w:val="center"/>
          </w:tcPr>
          <w:p w14:paraId="7E6E336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continue"/>
            <w:tcBorders>
              <w:left w:val="single" w:color="000000" w:sz="4" w:space="0"/>
              <w:right w:val="single" w:color="000000" w:sz="4" w:space="0"/>
            </w:tcBorders>
            <w:vAlign w:val="center"/>
          </w:tcPr>
          <w:p w14:paraId="7A03922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1F1298C2">
        <w:tblPrEx>
          <w:tblCellMar>
            <w:top w:w="0" w:type="dxa"/>
            <w:left w:w="108" w:type="dxa"/>
            <w:bottom w:w="0" w:type="dxa"/>
            <w:right w:w="108" w:type="dxa"/>
          </w:tblCellMar>
        </w:tblPrEx>
        <w:trPr>
          <w:trHeight w:val="624" w:hRule="exact"/>
          <w:jc w:val="center"/>
        </w:trPr>
        <w:tc>
          <w:tcPr>
            <w:tcW w:w="437" w:type="pct"/>
            <w:vMerge w:val="continue"/>
            <w:tcBorders>
              <w:left w:val="single" w:color="000000" w:sz="4" w:space="0"/>
              <w:right w:val="single" w:color="000000" w:sz="4" w:space="0"/>
            </w:tcBorders>
            <w:shd w:val="clear" w:color="auto" w:fill="auto"/>
            <w:vAlign w:val="center"/>
          </w:tcPr>
          <w:p w14:paraId="6846D6F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25" w:type="pct"/>
            <w:vMerge w:val="continue"/>
            <w:tcBorders>
              <w:left w:val="single" w:color="000000" w:sz="4" w:space="0"/>
              <w:right w:val="single" w:color="000000" w:sz="4" w:space="0"/>
            </w:tcBorders>
            <w:shd w:val="clear" w:color="auto" w:fill="auto"/>
            <w:vAlign w:val="center"/>
          </w:tcPr>
          <w:p w14:paraId="2B7E5A34">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p>
        </w:tc>
        <w:tc>
          <w:tcPr>
            <w:tcW w:w="440" w:type="pct"/>
            <w:vMerge w:val="continue"/>
            <w:tcBorders>
              <w:left w:val="single" w:color="000000" w:sz="4" w:space="0"/>
              <w:right w:val="single" w:color="000000" w:sz="4" w:space="0"/>
            </w:tcBorders>
            <w:vAlign w:val="center"/>
          </w:tcPr>
          <w:p w14:paraId="60F39BB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30" w:type="pct"/>
            <w:tcBorders>
              <w:top w:val="single" w:color="000000" w:sz="4" w:space="0"/>
              <w:left w:val="single" w:color="000000" w:sz="4" w:space="0"/>
              <w:bottom w:val="single" w:color="000000" w:sz="4" w:space="0"/>
              <w:right w:val="single" w:color="000000" w:sz="4" w:space="0"/>
            </w:tcBorders>
            <w:vAlign w:val="center"/>
          </w:tcPr>
          <w:p w14:paraId="37CAD5B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消火栓</w:t>
            </w:r>
          </w:p>
        </w:tc>
        <w:tc>
          <w:tcPr>
            <w:tcW w:w="463" w:type="pct"/>
            <w:tcBorders>
              <w:top w:val="single" w:color="000000" w:sz="4" w:space="0"/>
              <w:left w:val="single" w:color="000000" w:sz="4" w:space="0"/>
              <w:bottom w:val="single" w:color="000000" w:sz="4" w:space="0"/>
              <w:right w:val="single" w:color="000000" w:sz="4" w:space="0"/>
            </w:tcBorders>
            <w:vAlign w:val="center"/>
          </w:tcPr>
          <w:p w14:paraId="0CE9956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continue"/>
            <w:tcBorders>
              <w:left w:val="single" w:color="000000" w:sz="4" w:space="0"/>
              <w:right w:val="single" w:color="000000" w:sz="4" w:space="0"/>
            </w:tcBorders>
            <w:vAlign w:val="center"/>
          </w:tcPr>
          <w:p w14:paraId="483EA89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29" w:type="pct"/>
            <w:vMerge w:val="continue"/>
            <w:tcBorders>
              <w:left w:val="single" w:color="000000" w:sz="4" w:space="0"/>
              <w:right w:val="single" w:color="000000" w:sz="4" w:space="0"/>
            </w:tcBorders>
            <w:vAlign w:val="center"/>
          </w:tcPr>
          <w:p w14:paraId="73559EE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continue"/>
            <w:tcBorders>
              <w:left w:val="single" w:color="000000" w:sz="4" w:space="0"/>
              <w:right w:val="single" w:color="000000" w:sz="4" w:space="0"/>
            </w:tcBorders>
            <w:vAlign w:val="center"/>
          </w:tcPr>
          <w:p w14:paraId="7DB65EA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416754CC">
        <w:tblPrEx>
          <w:tblCellMar>
            <w:top w:w="0" w:type="dxa"/>
            <w:left w:w="108" w:type="dxa"/>
            <w:bottom w:w="0" w:type="dxa"/>
            <w:right w:w="108" w:type="dxa"/>
          </w:tblCellMar>
        </w:tblPrEx>
        <w:trPr>
          <w:trHeight w:val="624" w:hRule="exact"/>
          <w:jc w:val="center"/>
        </w:trPr>
        <w:tc>
          <w:tcPr>
            <w:tcW w:w="437" w:type="pct"/>
            <w:vMerge w:val="continue"/>
            <w:tcBorders>
              <w:left w:val="single" w:color="000000" w:sz="4" w:space="0"/>
              <w:right w:val="single" w:color="000000" w:sz="4" w:space="0"/>
            </w:tcBorders>
            <w:shd w:val="clear" w:color="auto" w:fill="auto"/>
            <w:vAlign w:val="center"/>
          </w:tcPr>
          <w:p w14:paraId="6EE283C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25" w:type="pct"/>
            <w:vMerge w:val="continue"/>
            <w:tcBorders>
              <w:left w:val="single" w:color="000000" w:sz="4" w:space="0"/>
              <w:right w:val="single" w:color="000000" w:sz="4" w:space="0"/>
            </w:tcBorders>
            <w:shd w:val="clear" w:color="auto" w:fill="auto"/>
            <w:vAlign w:val="center"/>
          </w:tcPr>
          <w:p w14:paraId="6CF1E181">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p>
        </w:tc>
        <w:tc>
          <w:tcPr>
            <w:tcW w:w="440" w:type="pct"/>
            <w:vMerge w:val="continue"/>
            <w:tcBorders>
              <w:left w:val="single" w:color="000000" w:sz="4" w:space="0"/>
              <w:right w:val="single" w:color="000000" w:sz="4" w:space="0"/>
            </w:tcBorders>
            <w:vAlign w:val="center"/>
          </w:tcPr>
          <w:p w14:paraId="6B61A1E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30" w:type="pct"/>
            <w:tcBorders>
              <w:top w:val="single" w:color="000000" w:sz="4" w:space="0"/>
              <w:left w:val="single" w:color="000000" w:sz="4" w:space="0"/>
              <w:bottom w:val="single" w:color="000000" w:sz="4" w:space="0"/>
              <w:right w:val="single" w:color="000000" w:sz="4" w:space="0"/>
            </w:tcBorders>
            <w:vAlign w:val="center"/>
          </w:tcPr>
          <w:p w14:paraId="1BB9B56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宣传栏</w:t>
            </w:r>
          </w:p>
        </w:tc>
        <w:tc>
          <w:tcPr>
            <w:tcW w:w="463" w:type="pct"/>
            <w:tcBorders>
              <w:top w:val="single" w:color="000000" w:sz="4" w:space="0"/>
              <w:left w:val="single" w:color="000000" w:sz="4" w:space="0"/>
              <w:bottom w:val="single" w:color="000000" w:sz="4" w:space="0"/>
              <w:right w:val="single" w:color="000000" w:sz="4" w:space="0"/>
            </w:tcBorders>
            <w:vAlign w:val="center"/>
          </w:tcPr>
          <w:p w14:paraId="735E353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continue"/>
            <w:tcBorders>
              <w:left w:val="single" w:color="000000" w:sz="4" w:space="0"/>
              <w:right w:val="single" w:color="000000" w:sz="4" w:space="0"/>
            </w:tcBorders>
            <w:vAlign w:val="center"/>
          </w:tcPr>
          <w:p w14:paraId="2DE9C9A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29" w:type="pct"/>
            <w:vMerge w:val="continue"/>
            <w:tcBorders>
              <w:left w:val="single" w:color="000000" w:sz="4" w:space="0"/>
              <w:right w:val="single" w:color="000000" w:sz="4" w:space="0"/>
            </w:tcBorders>
            <w:vAlign w:val="center"/>
          </w:tcPr>
          <w:p w14:paraId="65713BE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continue"/>
            <w:tcBorders>
              <w:left w:val="single" w:color="000000" w:sz="4" w:space="0"/>
              <w:right w:val="single" w:color="000000" w:sz="4" w:space="0"/>
            </w:tcBorders>
            <w:vAlign w:val="center"/>
          </w:tcPr>
          <w:p w14:paraId="581A253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2FB980BC">
        <w:tblPrEx>
          <w:tblCellMar>
            <w:top w:w="0" w:type="dxa"/>
            <w:left w:w="108" w:type="dxa"/>
            <w:bottom w:w="0" w:type="dxa"/>
            <w:right w:w="108" w:type="dxa"/>
          </w:tblCellMar>
        </w:tblPrEx>
        <w:trPr>
          <w:trHeight w:val="624" w:hRule="exact"/>
          <w:jc w:val="center"/>
        </w:trPr>
        <w:tc>
          <w:tcPr>
            <w:tcW w:w="437" w:type="pct"/>
            <w:vMerge w:val="continue"/>
            <w:tcBorders>
              <w:left w:val="single" w:color="000000" w:sz="4" w:space="0"/>
              <w:bottom w:val="single" w:color="000000" w:sz="4" w:space="0"/>
              <w:right w:val="single" w:color="000000" w:sz="4" w:space="0"/>
            </w:tcBorders>
            <w:shd w:val="clear" w:color="auto" w:fill="auto"/>
            <w:vAlign w:val="center"/>
          </w:tcPr>
          <w:p w14:paraId="2172DD4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25" w:type="pct"/>
            <w:vMerge w:val="continue"/>
            <w:tcBorders>
              <w:left w:val="single" w:color="000000" w:sz="4" w:space="0"/>
              <w:bottom w:val="single" w:color="000000" w:sz="4" w:space="0"/>
              <w:right w:val="single" w:color="000000" w:sz="4" w:space="0"/>
            </w:tcBorders>
            <w:shd w:val="clear" w:color="auto" w:fill="auto"/>
            <w:vAlign w:val="center"/>
          </w:tcPr>
          <w:p w14:paraId="2BEBCC71">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p>
        </w:tc>
        <w:tc>
          <w:tcPr>
            <w:tcW w:w="440" w:type="pct"/>
            <w:vMerge w:val="continue"/>
            <w:tcBorders>
              <w:left w:val="single" w:color="000000" w:sz="4" w:space="0"/>
              <w:bottom w:val="single" w:color="000000" w:sz="4" w:space="0"/>
              <w:right w:val="single" w:color="000000" w:sz="4" w:space="0"/>
            </w:tcBorders>
            <w:vAlign w:val="center"/>
          </w:tcPr>
          <w:p w14:paraId="22FB5BA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930" w:type="pct"/>
            <w:tcBorders>
              <w:top w:val="single" w:color="000000" w:sz="4" w:space="0"/>
              <w:left w:val="single" w:color="000000" w:sz="4" w:space="0"/>
              <w:bottom w:val="single" w:color="000000" w:sz="4" w:space="0"/>
              <w:right w:val="single" w:color="000000" w:sz="4" w:space="0"/>
            </w:tcBorders>
            <w:vAlign w:val="center"/>
          </w:tcPr>
          <w:p w14:paraId="01C238B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垃圾桶</w:t>
            </w:r>
          </w:p>
        </w:tc>
        <w:tc>
          <w:tcPr>
            <w:tcW w:w="463" w:type="pct"/>
            <w:tcBorders>
              <w:top w:val="single" w:color="000000" w:sz="4" w:space="0"/>
              <w:left w:val="single" w:color="000000" w:sz="4" w:space="0"/>
              <w:bottom w:val="single" w:color="000000" w:sz="4" w:space="0"/>
              <w:right w:val="single" w:color="000000" w:sz="4" w:space="0"/>
            </w:tcBorders>
            <w:vAlign w:val="center"/>
          </w:tcPr>
          <w:p w14:paraId="3B8E333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vMerge w:val="continue"/>
            <w:tcBorders>
              <w:left w:val="single" w:color="000000" w:sz="4" w:space="0"/>
              <w:bottom w:val="single" w:color="000000" w:sz="4" w:space="0"/>
              <w:right w:val="single" w:color="000000" w:sz="4" w:space="0"/>
            </w:tcBorders>
            <w:vAlign w:val="center"/>
          </w:tcPr>
          <w:p w14:paraId="78EC080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29" w:type="pct"/>
            <w:vMerge w:val="continue"/>
            <w:tcBorders>
              <w:left w:val="single" w:color="000000" w:sz="4" w:space="0"/>
              <w:bottom w:val="single" w:color="000000" w:sz="4" w:space="0"/>
              <w:right w:val="single" w:color="000000" w:sz="4" w:space="0"/>
            </w:tcBorders>
            <w:vAlign w:val="center"/>
          </w:tcPr>
          <w:p w14:paraId="16D0805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vMerge w:val="continue"/>
            <w:tcBorders>
              <w:left w:val="single" w:color="000000" w:sz="4" w:space="0"/>
              <w:bottom w:val="single" w:color="000000" w:sz="4" w:space="0"/>
              <w:right w:val="single" w:color="000000" w:sz="4" w:space="0"/>
            </w:tcBorders>
            <w:vAlign w:val="center"/>
          </w:tcPr>
          <w:p w14:paraId="18F2959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29A7E1BA">
        <w:tblPrEx>
          <w:tblCellMar>
            <w:top w:w="0" w:type="dxa"/>
            <w:left w:w="108" w:type="dxa"/>
            <w:bottom w:w="0" w:type="dxa"/>
            <w:right w:w="108" w:type="dxa"/>
          </w:tblCellMar>
        </w:tblPrEx>
        <w:trPr>
          <w:trHeight w:val="570" w:hRule="atLeast"/>
          <w:jc w:val="center"/>
        </w:trPr>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859C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11</w:t>
            </w:r>
          </w:p>
        </w:tc>
        <w:tc>
          <w:tcPr>
            <w:tcW w:w="925" w:type="pct"/>
            <w:tcBorders>
              <w:top w:val="single" w:color="000000" w:sz="4" w:space="0"/>
              <w:left w:val="single" w:color="000000" w:sz="4" w:space="0"/>
              <w:bottom w:val="single" w:color="000000" w:sz="4" w:space="0"/>
              <w:right w:val="single" w:color="000000" w:sz="4" w:space="0"/>
            </w:tcBorders>
            <w:vAlign w:val="center"/>
          </w:tcPr>
          <w:p w14:paraId="0046EA0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根据项目情况编制年度消杀计划，按计划进行消杀</w:t>
            </w:r>
          </w:p>
        </w:tc>
        <w:tc>
          <w:tcPr>
            <w:tcW w:w="440" w:type="pct"/>
            <w:tcBorders>
              <w:top w:val="single" w:color="000000" w:sz="4" w:space="0"/>
              <w:left w:val="single" w:color="000000" w:sz="4" w:space="0"/>
              <w:bottom w:val="single" w:color="000000" w:sz="4" w:space="0"/>
              <w:right w:val="single" w:color="000000" w:sz="4" w:space="0"/>
            </w:tcBorders>
            <w:vAlign w:val="center"/>
          </w:tcPr>
          <w:p w14:paraId="694A70C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5</w:t>
            </w:r>
          </w:p>
        </w:tc>
        <w:tc>
          <w:tcPr>
            <w:tcW w:w="930" w:type="pct"/>
            <w:tcBorders>
              <w:top w:val="single" w:color="000000" w:sz="4" w:space="0"/>
              <w:left w:val="single" w:color="000000" w:sz="4" w:space="0"/>
              <w:bottom w:val="single" w:color="000000" w:sz="4" w:space="0"/>
              <w:right w:val="single" w:color="000000" w:sz="4" w:space="0"/>
            </w:tcBorders>
            <w:vAlign w:val="center"/>
          </w:tcPr>
          <w:p w14:paraId="51C79C3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63" w:type="pct"/>
            <w:tcBorders>
              <w:top w:val="single" w:color="000000" w:sz="4" w:space="0"/>
              <w:left w:val="single" w:color="000000" w:sz="4" w:space="0"/>
              <w:bottom w:val="single" w:color="000000" w:sz="4" w:space="0"/>
              <w:right w:val="single" w:color="000000" w:sz="4" w:space="0"/>
            </w:tcBorders>
            <w:vAlign w:val="center"/>
          </w:tcPr>
          <w:p w14:paraId="50AF488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tcBorders>
              <w:top w:val="single" w:color="000000" w:sz="4" w:space="0"/>
              <w:left w:val="single" w:color="000000" w:sz="4" w:space="0"/>
              <w:bottom w:val="single" w:color="000000" w:sz="4" w:space="0"/>
              <w:right w:val="single" w:color="000000" w:sz="4" w:space="0"/>
            </w:tcBorders>
            <w:vAlign w:val="center"/>
          </w:tcPr>
          <w:p w14:paraId="6445C5A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发现一处不合格扣1分</w:t>
            </w:r>
          </w:p>
        </w:tc>
        <w:tc>
          <w:tcPr>
            <w:tcW w:w="429" w:type="pct"/>
            <w:tcBorders>
              <w:top w:val="single" w:color="000000" w:sz="4" w:space="0"/>
              <w:left w:val="single" w:color="000000" w:sz="4" w:space="0"/>
              <w:bottom w:val="single" w:color="000000" w:sz="4" w:space="0"/>
              <w:right w:val="single" w:color="000000" w:sz="4" w:space="0"/>
            </w:tcBorders>
            <w:vAlign w:val="center"/>
          </w:tcPr>
          <w:p w14:paraId="0297BA5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tcBorders>
              <w:top w:val="single" w:color="000000" w:sz="4" w:space="0"/>
              <w:left w:val="single" w:color="000000" w:sz="4" w:space="0"/>
              <w:bottom w:val="single" w:color="000000" w:sz="4" w:space="0"/>
              <w:right w:val="single" w:color="000000" w:sz="4" w:space="0"/>
            </w:tcBorders>
            <w:vAlign w:val="center"/>
          </w:tcPr>
          <w:p w14:paraId="08337A1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749C1F6D">
        <w:tblPrEx>
          <w:tblCellMar>
            <w:top w:w="0" w:type="dxa"/>
            <w:left w:w="108" w:type="dxa"/>
            <w:bottom w:w="0" w:type="dxa"/>
            <w:right w:w="108" w:type="dxa"/>
          </w:tblCellMar>
        </w:tblPrEx>
        <w:trPr>
          <w:trHeight w:val="847" w:hRule="atLeast"/>
          <w:jc w:val="center"/>
        </w:trPr>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6B9D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12</w:t>
            </w:r>
          </w:p>
        </w:tc>
        <w:tc>
          <w:tcPr>
            <w:tcW w:w="925" w:type="pct"/>
            <w:tcBorders>
              <w:top w:val="single" w:color="000000" w:sz="4" w:space="0"/>
              <w:left w:val="single" w:color="000000" w:sz="4" w:space="0"/>
              <w:bottom w:val="single" w:color="000000" w:sz="4" w:space="0"/>
              <w:right w:val="single" w:color="000000" w:sz="4" w:space="0"/>
            </w:tcBorders>
            <w:vAlign w:val="center"/>
          </w:tcPr>
          <w:p w14:paraId="0F6EB4C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相关工具摆放有序，不影响形象</w:t>
            </w:r>
          </w:p>
        </w:tc>
        <w:tc>
          <w:tcPr>
            <w:tcW w:w="440" w:type="pct"/>
            <w:tcBorders>
              <w:top w:val="single" w:color="000000" w:sz="4" w:space="0"/>
              <w:left w:val="single" w:color="000000" w:sz="4" w:space="0"/>
              <w:bottom w:val="single" w:color="000000" w:sz="4" w:space="0"/>
              <w:right w:val="single" w:color="000000" w:sz="4" w:space="0"/>
            </w:tcBorders>
            <w:vAlign w:val="center"/>
          </w:tcPr>
          <w:p w14:paraId="1A62D8F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3</w:t>
            </w:r>
          </w:p>
        </w:tc>
        <w:tc>
          <w:tcPr>
            <w:tcW w:w="930" w:type="pct"/>
            <w:tcBorders>
              <w:top w:val="single" w:color="000000" w:sz="4" w:space="0"/>
              <w:left w:val="single" w:color="000000" w:sz="4" w:space="0"/>
              <w:bottom w:val="single" w:color="000000" w:sz="4" w:space="0"/>
              <w:right w:val="single" w:color="000000" w:sz="4" w:space="0"/>
            </w:tcBorders>
            <w:vAlign w:val="center"/>
          </w:tcPr>
          <w:p w14:paraId="4C93FC8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63" w:type="pct"/>
            <w:tcBorders>
              <w:top w:val="single" w:color="000000" w:sz="4" w:space="0"/>
              <w:left w:val="single" w:color="000000" w:sz="4" w:space="0"/>
              <w:bottom w:val="single" w:color="000000" w:sz="4" w:space="0"/>
              <w:right w:val="single" w:color="000000" w:sz="4" w:space="0"/>
            </w:tcBorders>
            <w:vAlign w:val="center"/>
          </w:tcPr>
          <w:p w14:paraId="26F2372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tcBorders>
              <w:top w:val="single" w:color="000000" w:sz="4" w:space="0"/>
              <w:left w:val="single" w:color="000000" w:sz="4" w:space="0"/>
              <w:bottom w:val="single" w:color="000000" w:sz="4" w:space="0"/>
              <w:right w:val="single" w:color="000000" w:sz="4" w:space="0"/>
            </w:tcBorders>
            <w:vAlign w:val="center"/>
          </w:tcPr>
          <w:p w14:paraId="0706E06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发现一处不合格扣1分</w:t>
            </w:r>
          </w:p>
        </w:tc>
        <w:tc>
          <w:tcPr>
            <w:tcW w:w="429" w:type="pct"/>
            <w:tcBorders>
              <w:top w:val="single" w:color="000000" w:sz="4" w:space="0"/>
              <w:left w:val="single" w:color="000000" w:sz="4" w:space="0"/>
              <w:bottom w:val="single" w:color="000000" w:sz="4" w:space="0"/>
              <w:right w:val="single" w:color="000000" w:sz="4" w:space="0"/>
            </w:tcBorders>
            <w:vAlign w:val="center"/>
          </w:tcPr>
          <w:p w14:paraId="7F117D0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tcBorders>
              <w:top w:val="single" w:color="000000" w:sz="4" w:space="0"/>
              <w:left w:val="single" w:color="000000" w:sz="4" w:space="0"/>
              <w:bottom w:val="single" w:color="000000" w:sz="4" w:space="0"/>
              <w:right w:val="single" w:color="000000" w:sz="4" w:space="0"/>
            </w:tcBorders>
            <w:vAlign w:val="center"/>
          </w:tcPr>
          <w:p w14:paraId="5755742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0204AB94">
        <w:tblPrEx>
          <w:tblCellMar>
            <w:top w:w="0" w:type="dxa"/>
            <w:left w:w="108" w:type="dxa"/>
            <w:bottom w:w="0" w:type="dxa"/>
            <w:right w:w="108" w:type="dxa"/>
          </w:tblCellMar>
        </w:tblPrEx>
        <w:trPr>
          <w:trHeight w:val="454" w:hRule="exact"/>
          <w:jc w:val="center"/>
        </w:trPr>
        <w:tc>
          <w:tcPr>
            <w:tcW w:w="5000" w:type="pct"/>
            <w:gridSpan w:val="8"/>
            <w:tcBorders>
              <w:top w:val="single" w:color="000000" w:sz="4" w:space="0"/>
              <w:left w:val="single" w:color="000000" w:sz="4" w:space="0"/>
              <w:bottom w:val="single" w:color="000000" w:sz="4" w:space="0"/>
              <w:right w:val="single" w:color="000000" w:sz="4" w:space="0"/>
            </w:tcBorders>
            <w:vAlign w:val="center"/>
          </w:tcPr>
          <w:p w14:paraId="183BF94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绿化</w:t>
            </w:r>
          </w:p>
        </w:tc>
      </w:tr>
      <w:tr w14:paraId="77FB2835">
        <w:tblPrEx>
          <w:tblCellMar>
            <w:top w:w="0" w:type="dxa"/>
            <w:left w:w="108" w:type="dxa"/>
            <w:bottom w:w="0" w:type="dxa"/>
            <w:right w:w="108" w:type="dxa"/>
          </w:tblCellMar>
        </w:tblPrEx>
        <w:trPr>
          <w:trHeight w:val="206" w:hRule="atLeast"/>
          <w:jc w:val="center"/>
        </w:trPr>
        <w:tc>
          <w:tcPr>
            <w:tcW w:w="437" w:type="pct"/>
            <w:tcBorders>
              <w:top w:val="single" w:color="000000" w:sz="4" w:space="0"/>
              <w:left w:val="single" w:color="000000" w:sz="4" w:space="0"/>
              <w:bottom w:val="single" w:color="000000" w:sz="4" w:space="0"/>
              <w:right w:val="single" w:color="000000" w:sz="4" w:space="0"/>
            </w:tcBorders>
            <w:vAlign w:val="center"/>
          </w:tcPr>
          <w:p w14:paraId="738E9BD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13</w:t>
            </w:r>
          </w:p>
        </w:tc>
        <w:tc>
          <w:tcPr>
            <w:tcW w:w="925" w:type="pct"/>
            <w:tcBorders>
              <w:top w:val="single" w:color="000000" w:sz="4" w:space="0"/>
              <w:left w:val="single" w:color="000000" w:sz="4" w:space="0"/>
              <w:bottom w:val="single" w:color="000000" w:sz="4" w:space="0"/>
              <w:right w:val="single" w:color="000000" w:sz="4" w:space="0"/>
            </w:tcBorders>
            <w:vAlign w:val="center"/>
          </w:tcPr>
          <w:p w14:paraId="516C7BE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绿化带周边内外要保持清洁，定时或不定时清理周边枯叶及杂物</w:t>
            </w:r>
          </w:p>
        </w:tc>
        <w:tc>
          <w:tcPr>
            <w:tcW w:w="440" w:type="pct"/>
            <w:tcBorders>
              <w:top w:val="single" w:color="000000" w:sz="4" w:space="0"/>
              <w:left w:val="single" w:color="000000" w:sz="4" w:space="0"/>
              <w:bottom w:val="single" w:color="000000" w:sz="4" w:space="0"/>
              <w:right w:val="single" w:color="000000" w:sz="4" w:space="0"/>
            </w:tcBorders>
            <w:vAlign w:val="center"/>
          </w:tcPr>
          <w:p w14:paraId="7FE60C5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5</w:t>
            </w:r>
          </w:p>
        </w:tc>
        <w:tc>
          <w:tcPr>
            <w:tcW w:w="930" w:type="pct"/>
            <w:tcBorders>
              <w:top w:val="single" w:color="000000" w:sz="4" w:space="0"/>
              <w:left w:val="single" w:color="000000" w:sz="4" w:space="0"/>
              <w:bottom w:val="single" w:color="000000" w:sz="4" w:space="0"/>
              <w:right w:val="single" w:color="000000" w:sz="4" w:space="0"/>
            </w:tcBorders>
            <w:vAlign w:val="center"/>
          </w:tcPr>
          <w:p w14:paraId="0DAEF09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63" w:type="pct"/>
            <w:tcBorders>
              <w:top w:val="single" w:color="000000" w:sz="4" w:space="0"/>
              <w:left w:val="single" w:color="000000" w:sz="4" w:space="0"/>
              <w:bottom w:val="single" w:color="000000" w:sz="4" w:space="0"/>
              <w:right w:val="single" w:color="000000" w:sz="4" w:space="0"/>
            </w:tcBorders>
            <w:vAlign w:val="center"/>
          </w:tcPr>
          <w:p w14:paraId="48C72C3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tcBorders>
              <w:top w:val="single" w:color="000000" w:sz="4" w:space="0"/>
              <w:left w:val="single" w:color="000000" w:sz="4" w:space="0"/>
              <w:bottom w:val="single" w:color="000000" w:sz="4" w:space="0"/>
              <w:right w:val="single" w:color="000000" w:sz="4" w:space="0"/>
            </w:tcBorders>
            <w:vAlign w:val="center"/>
          </w:tcPr>
          <w:p w14:paraId="76934CB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发现一处不合格扣1分</w:t>
            </w:r>
          </w:p>
        </w:tc>
        <w:tc>
          <w:tcPr>
            <w:tcW w:w="429" w:type="pct"/>
            <w:tcBorders>
              <w:top w:val="single" w:color="000000" w:sz="4" w:space="0"/>
              <w:left w:val="single" w:color="000000" w:sz="4" w:space="0"/>
              <w:bottom w:val="single" w:color="000000" w:sz="4" w:space="0"/>
              <w:right w:val="single" w:color="000000" w:sz="4" w:space="0"/>
            </w:tcBorders>
            <w:vAlign w:val="center"/>
          </w:tcPr>
          <w:p w14:paraId="1E673BA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tcBorders>
              <w:top w:val="single" w:color="000000" w:sz="4" w:space="0"/>
              <w:left w:val="single" w:color="000000" w:sz="4" w:space="0"/>
              <w:bottom w:val="single" w:color="000000" w:sz="4" w:space="0"/>
              <w:right w:val="single" w:color="000000" w:sz="4" w:space="0"/>
            </w:tcBorders>
            <w:vAlign w:val="center"/>
          </w:tcPr>
          <w:p w14:paraId="3A4E1C9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729E70BD">
        <w:tblPrEx>
          <w:tblCellMar>
            <w:top w:w="0" w:type="dxa"/>
            <w:left w:w="108" w:type="dxa"/>
            <w:bottom w:w="0" w:type="dxa"/>
            <w:right w:w="108" w:type="dxa"/>
          </w:tblCellMar>
        </w:tblPrEx>
        <w:trPr>
          <w:trHeight w:val="570" w:hRule="atLeast"/>
          <w:jc w:val="center"/>
        </w:trPr>
        <w:tc>
          <w:tcPr>
            <w:tcW w:w="437" w:type="pct"/>
            <w:tcBorders>
              <w:top w:val="single" w:color="000000" w:sz="4" w:space="0"/>
              <w:left w:val="single" w:color="000000" w:sz="4" w:space="0"/>
              <w:bottom w:val="single" w:color="000000" w:sz="4" w:space="0"/>
              <w:right w:val="single" w:color="000000" w:sz="4" w:space="0"/>
            </w:tcBorders>
            <w:vAlign w:val="center"/>
          </w:tcPr>
          <w:p w14:paraId="66FD1EB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14</w:t>
            </w:r>
          </w:p>
        </w:tc>
        <w:tc>
          <w:tcPr>
            <w:tcW w:w="925" w:type="pct"/>
            <w:tcBorders>
              <w:top w:val="single" w:color="000000" w:sz="4" w:space="0"/>
              <w:left w:val="single" w:color="000000" w:sz="4" w:space="0"/>
              <w:bottom w:val="single" w:color="000000" w:sz="4" w:space="0"/>
              <w:right w:val="single" w:color="000000" w:sz="4" w:space="0"/>
            </w:tcBorders>
            <w:vAlign w:val="center"/>
          </w:tcPr>
          <w:p w14:paraId="36D56841">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及时处理杂草，目视绿地内杂草不超过5%。</w:t>
            </w:r>
          </w:p>
        </w:tc>
        <w:tc>
          <w:tcPr>
            <w:tcW w:w="440" w:type="pct"/>
            <w:tcBorders>
              <w:top w:val="single" w:color="000000" w:sz="4" w:space="0"/>
              <w:left w:val="single" w:color="000000" w:sz="4" w:space="0"/>
              <w:bottom w:val="single" w:color="000000" w:sz="4" w:space="0"/>
              <w:right w:val="single" w:color="000000" w:sz="4" w:space="0"/>
            </w:tcBorders>
            <w:vAlign w:val="center"/>
          </w:tcPr>
          <w:p w14:paraId="0EF2301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5</w:t>
            </w:r>
          </w:p>
        </w:tc>
        <w:tc>
          <w:tcPr>
            <w:tcW w:w="930" w:type="pct"/>
            <w:tcBorders>
              <w:top w:val="single" w:color="000000" w:sz="4" w:space="0"/>
              <w:left w:val="single" w:color="000000" w:sz="4" w:space="0"/>
              <w:bottom w:val="single" w:color="000000" w:sz="4" w:space="0"/>
              <w:right w:val="single" w:color="000000" w:sz="4" w:space="0"/>
            </w:tcBorders>
            <w:vAlign w:val="center"/>
          </w:tcPr>
          <w:p w14:paraId="5E3FDBF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63" w:type="pct"/>
            <w:tcBorders>
              <w:top w:val="single" w:color="000000" w:sz="4" w:space="0"/>
              <w:left w:val="single" w:color="000000" w:sz="4" w:space="0"/>
              <w:bottom w:val="single" w:color="000000" w:sz="4" w:space="0"/>
              <w:right w:val="single" w:color="000000" w:sz="4" w:space="0"/>
            </w:tcBorders>
            <w:vAlign w:val="center"/>
          </w:tcPr>
          <w:p w14:paraId="5C51E04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tcBorders>
              <w:top w:val="single" w:color="000000" w:sz="4" w:space="0"/>
              <w:left w:val="single" w:color="000000" w:sz="4" w:space="0"/>
              <w:bottom w:val="single" w:color="000000" w:sz="4" w:space="0"/>
              <w:right w:val="single" w:color="000000" w:sz="4" w:space="0"/>
            </w:tcBorders>
            <w:vAlign w:val="center"/>
          </w:tcPr>
          <w:p w14:paraId="2294B40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发现一处不合格扣1分</w:t>
            </w:r>
          </w:p>
        </w:tc>
        <w:tc>
          <w:tcPr>
            <w:tcW w:w="429" w:type="pct"/>
            <w:tcBorders>
              <w:top w:val="single" w:color="000000" w:sz="4" w:space="0"/>
              <w:left w:val="single" w:color="000000" w:sz="4" w:space="0"/>
              <w:bottom w:val="single" w:color="000000" w:sz="4" w:space="0"/>
              <w:right w:val="single" w:color="000000" w:sz="4" w:space="0"/>
            </w:tcBorders>
            <w:vAlign w:val="center"/>
          </w:tcPr>
          <w:p w14:paraId="0C841E8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tcBorders>
              <w:top w:val="single" w:color="000000" w:sz="4" w:space="0"/>
              <w:left w:val="single" w:color="000000" w:sz="4" w:space="0"/>
              <w:bottom w:val="single" w:color="000000" w:sz="4" w:space="0"/>
              <w:right w:val="single" w:color="000000" w:sz="4" w:space="0"/>
            </w:tcBorders>
            <w:vAlign w:val="center"/>
          </w:tcPr>
          <w:p w14:paraId="4493442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6E4A7142">
        <w:tblPrEx>
          <w:tblCellMar>
            <w:top w:w="0" w:type="dxa"/>
            <w:left w:w="108" w:type="dxa"/>
            <w:bottom w:w="0" w:type="dxa"/>
            <w:right w:w="108" w:type="dxa"/>
          </w:tblCellMar>
        </w:tblPrEx>
        <w:trPr>
          <w:trHeight w:val="90" w:hRule="atLeast"/>
          <w:jc w:val="center"/>
        </w:trPr>
        <w:tc>
          <w:tcPr>
            <w:tcW w:w="437" w:type="pct"/>
            <w:tcBorders>
              <w:top w:val="single" w:color="000000" w:sz="4" w:space="0"/>
              <w:left w:val="single" w:color="000000" w:sz="4" w:space="0"/>
              <w:bottom w:val="single" w:color="000000" w:sz="4" w:space="0"/>
              <w:right w:val="single" w:color="000000" w:sz="4" w:space="0"/>
            </w:tcBorders>
            <w:vAlign w:val="center"/>
          </w:tcPr>
          <w:p w14:paraId="741BBE7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15</w:t>
            </w:r>
          </w:p>
        </w:tc>
        <w:tc>
          <w:tcPr>
            <w:tcW w:w="925" w:type="pct"/>
            <w:tcBorders>
              <w:top w:val="single" w:color="000000" w:sz="4" w:space="0"/>
              <w:left w:val="single" w:color="000000" w:sz="4" w:space="0"/>
              <w:bottom w:val="single" w:color="000000" w:sz="4" w:space="0"/>
              <w:right w:val="single" w:color="000000" w:sz="4" w:space="0"/>
            </w:tcBorders>
            <w:vAlign w:val="center"/>
          </w:tcPr>
          <w:p w14:paraId="608FC0C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及时补植，目视无明显黄土裸露，绿地完整</w:t>
            </w:r>
          </w:p>
        </w:tc>
        <w:tc>
          <w:tcPr>
            <w:tcW w:w="440" w:type="pct"/>
            <w:tcBorders>
              <w:top w:val="single" w:color="000000" w:sz="4" w:space="0"/>
              <w:left w:val="single" w:color="000000" w:sz="4" w:space="0"/>
              <w:bottom w:val="single" w:color="000000" w:sz="4" w:space="0"/>
              <w:right w:val="single" w:color="000000" w:sz="4" w:space="0"/>
            </w:tcBorders>
            <w:vAlign w:val="center"/>
          </w:tcPr>
          <w:p w14:paraId="2326CC2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5</w:t>
            </w:r>
          </w:p>
        </w:tc>
        <w:tc>
          <w:tcPr>
            <w:tcW w:w="930" w:type="pct"/>
            <w:tcBorders>
              <w:top w:val="single" w:color="000000" w:sz="4" w:space="0"/>
              <w:left w:val="single" w:color="000000" w:sz="4" w:space="0"/>
              <w:bottom w:val="single" w:color="000000" w:sz="4" w:space="0"/>
              <w:right w:val="single" w:color="000000" w:sz="4" w:space="0"/>
            </w:tcBorders>
            <w:vAlign w:val="center"/>
          </w:tcPr>
          <w:p w14:paraId="6D5F6EC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63" w:type="pct"/>
            <w:tcBorders>
              <w:top w:val="single" w:color="000000" w:sz="4" w:space="0"/>
              <w:left w:val="single" w:color="000000" w:sz="4" w:space="0"/>
              <w:bottom w:val="single" w:color="000000" w:sz="4" w:space="0"/>
              <w:right w:val="single" w:color="000000" w:sz="4" w:space="0"/>
            </w:tcBorders>
            <w:vAlign w:val="center"/>
          </w:tcPr>
          <w:p w14:paraId="0C94E65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tcBorders>
              <w:top w:val="single" w:color="000000" w:sz="4" w:space="0"/>
              <w:left w:val="single" w:color="000000" w:sz="4" w:space="0"/>
              <w:bottom w:val="single" w:color="000000" w:sz="4" w:space="0"/>
              <w:right w:val="single" w:color="000000" w:sz="4" w:space="0"/>
            </w:tcBorders>
            <w:vAlign w:val="center"/>
          </w:tcPr>
          <w:p w14:paraId="63015A8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发现一处不合格扣1分</w:t>
            </w:r>
          </w:p>
        </w:tc>
        <w:tc>
          <w:tcPr>
            <w:tcW w:w="429" w:type="pct"/>
            <w:tcBorders>
              <w:top w:val="single" w:color="000000" w:sz="4" w:space="0"/>
              <w:left w:val="single" w:color="000000" w:sz="4" w:space="0"/>
              <w:bottom w:val="single" w:color="000000" w:sz="4" w:space="0"/>
              <w:right w:val="single" w:color="000000" w:sz="4" w:space="0"/>
            </w:tcBorders>
            <w:vAlign w:val="center"/>
          </w:tcPr>
          <w:p w14:paraId="36F66EA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tcBorders>
              <w:top w:val="single" w:color="000000" w:sz="4" w:space="0"/>
              <w:left w:val="single" w:color="000000" w:sz="4" w:space="0"/>
              <w:bottom w:val="single" w:color="000000" w:sz="4" w:space="0"/>
              <w:right w:val="single" w:color="000000" w:sz="4" w:space="0"/>
            </w:tcBorders>
            <w:vAlign w:val="center"/>
          </w:tcPr>
          <w:p w14:paraId="3D0F690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346CF387">
        <w:tblPrEx>
          <w:tblCellMar>
            <w:top w:w="0" w:type="dxa"/>
            <w:left w:w="108" w:type="dxa"/>
            <w:bottom w:w="0" w:type="dxa"/>
            <w:right w:w="108" w:type="dxa"/>
          </w:tblCellMar>
        </w:tblPrEx>
        <w:trPr>
          <w:trHeight w:val="1255" w:hRule="atLeast"/>
          <w:jc w:val="center"/>
        </w:trPr>
        <w:tc>
          <w:tcPr>
            <w:tcW w:w="437" w:type="pct"/>
            <w:tcBorders>
              <w:top w:val="single" w:color="000000" w:sz="4" w:space="0"/>
              <w:left w:val="single" w:color="000000" w:sz="4" w:space="0"/>
              <w:bottom w:val="single" w:color="000000" w:sz="4" w:space="0"/>
              <w:right w:val="single" w:color="000000" w:sz="4" w:space="0"/>
            </w:tcBorders>
            <w:vAlign w:val="center"/>
          </w:tcPr>
          <w:p w14:paraId="6FFA29A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16</w:t>
            </w:r>
          </w:p>
        </w:tc>
        <w:tc>
          <w:tcPr>
            <w:tcW w:w="925" w:type="pct"/>
            <w:tcBorders>
              <w:top w:val="single" w:color="000000" w:sz="4" w:space="0"/>
              <w:left w:val="single" w:color="000000" w:sz="4" w:space="0"/>
              <w:bottom w:val="single" w:color="000000" w:sz="4" w:space="0"/>
              <w:right w:val="single" w:color="000000" w:sz="4" w:space="0"/>
            </w:tcBorders>
            <w:vAlign w:val="center"/>
          </w:tcPr>
          <w:p w14:paraId="10FBADC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绿地浇水均匀无遗漏全覆盖，无明显缺水现象，无长期积水</w:t>
            </w:r>
          </w:p>
        </w:tc>
        <w:tc>
          <w:tcPr>
            <w:tcW w:w="440" w:type="pct"/>
            <w:tcBorders>
              <w:top w:val="single" w:color="000000" w:sz="4" w:space="0"/>
              <w:left w:val="single" w:color="000000" w:sz="4" w:space="0"/>
              <w:bottom w:val="single" w:color="000000" w:sz="4" w:space="0"/>
              <w:right w:val="single" w:color="000000" w:sz="4" w:space="0"/>
            </w:tcBorders>
            <w:vAlign w:val="center"/>
          </w:tcPr>
          <w:p w14:paraId="377032D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5</w:t>
            </w:r>
          </w:p>
        </w:tc>
        <w:tc>
          <w:tcPr>
            <w:tcW w:w="930" w:type="pct"/>
            <w:tcBorders>
              <w:top w:val="single" w:color="000000" w:sz="4" w:space="0"/>
              <w:left w:val="single" w:color="000000" w:sz="4" w:space="0"/>
              <w:bottom w:val="single" w:color="000000" w:sz="4" w:space="0"/>
              <w:right w:val="single" w:color="000000" w:sz="4" w:space="0"/>
            </w:tcBorders>
            <w:vAlign w:val="center"/>
          </w:tcPr>
          <w:p w14:paraId="12D08AE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63" w:type="pct"/>
            <w:tcBorders>
              <w:top w:val="single" w:color="000000" w:sz="4" w:space="0"/>
              <w:left w:val="single" w:color="000000" w:sz="4" w:space="0"/>
              <w:bottom w:val="single" w:color="000000" w:sz="4" w:space="0"/>
              <w:right w:val="single" w:color="000000" w:sz="4" w:space="0"/>
            </w:tcBorders>
            <w:vAlign w:val="center"/>
          </w:tcPr>
          <w:p w14:paraId="4D2C83E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tcBorders>
              <w:top w:val="single" w:color="000000" w:sz="4" w:space="0"/>
              <w:left w:val="single" w:color="000000" w:sz="4" w:space="0"/>
              <w:bottom w:val="single" w:color="000000" w:sz="4" w:space="0"/>
              <w:right w:val="single" w:color="000000" w:sz="4" w:space="0"/>
            </w:tcBorders>
            <w:vAlign w:val="center"/>
          </w:tcPr>
          <w:p w14:paraId="1B9F19E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发现一处不合格扣1分</w:t>
            </w:r>
          </w:p>
        </w:tc>
        <w:tc>
          <w:tcPr>
            <w:tcW w:w="429" w:type="pct"/>
            <w:tcBorders>
              <w:top w:val="single" w:color="000000" w:sz="4" w:space="0"/>
              <w:left w:val="single" w:color="000000" w:sz="4" w:space="0"/>
              <w:bottom w:val="single" w:color="000000" w:sz="4" w:space="0"/>
              <w:right w:val="single" w:color="000000" w:sz="4" w:space="0"/>
            </w:tcBorders>
            <w:vAlign w:val="center"/>
          </w:tcPr>
          <w:p w14:paraId="1C624AC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tcBorders>
              <w:top w:val="single" w:color="000000" w:sz="4" w:space="0"/>
              <w:left w:val="single" w:color="000000" w:sz="4" w:space="0"/>
              <w:bottom w:val="single" w:color="000000" w:sz="4" w:space="0"/>
              <w:right w:val="single" w:color="000000" w:sz="4" w:space="0"/>
            </w:tcBorders>
            <w:vAlign w:val="center"/>
          </w:tcPr>
          <w:p w14:paraId="2611CA9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080630D4">
        <w:tblPrEx>
          <w:tblCellMar>
            <w:top w:w="0" w:type="dxa"/>
            <w:left w:w="108" w:type="dxa"/>
            <w:bottom w:w="0" w:type="dxa"/>
            <w:right w:w="108" w:type="dxa"/>
          </w:tblCellMar>
        </w:tblPrEx>
        <w:trPr>
          <w:trHeight w:val="570" w:hRule="atLeast"/>
          <w:jc w:val="center"/>
        </w:trPr>
        <w:tc>
          <w:tcPr>
            <w:tcW w:w="437" w:type="pct"/>
            <w:tcBorders>
              <w:top w:val="single" w:color="000000" w:sz="4" w:space="0"/>
              <w:left w:val="single" w:color="000000" w:sz="4" w:space="0"/>
              <w:bottom w:val="single" w:color="000000" w:sz="4" w:space="0"/>
              <w:right w:val="single" w:color="000000" w:sz="4" w:space="0"/>
            </w:tcBorders>
            <w:vAlign w:val="center"/>
          </w:tcPr>
          <w:p w14:paraId="143A335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17</w:t>
            </w:r>
          </w:p>
        </w:tc>
        <w:tc>
          <w:tcPr>
            <w:tcW w:w="925" w:type="pct"/>
            <w:tcBorders>
              <w:top w:val="single" w:color="000000" w:sz="4" w:space="0"/>
              <w:left w:val="single" w:color="000000" w:sz="4" w:space="0"/>
              <w:bottom w:val="single" w:color="000000" w:sz="4" w:space="0"/>
              <w:right w:val="single" w:color="000000" w:sz="4" w:space="0"/>
            </w:tcBorders>
            <w:vAlign w:val="center"/>
          </w:tcPr>
          <w:p w14:paraId="7649E75F">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修剪及时，草地平整无斑秃，草高不超过6厘米；灌木色带造型美观无下部空虚；乔木通透、树型端正，无影响通行或存在安全隐患；观花观果植物正常开花结果。</w:t>
            </w:r>
          </w:p>
        </w:tc>
        <w:tc>
          <w:tcPr>
            <w:tcW w:w="440" w:type="pct"/>
            <w:tcBorders>
              <w:top w:val="single" w:color="000000" w:sz="4" w:space="0"/>
              <w:left w:val="single" w:color="000000" w:sz="4" w:space="0"/>
              <w:bottom w:val="single" w:color="000000" w:sz="4" w:space="0"/>
              <w:right w:val="single" w:color="000000" w:sz="4" w:space="0"/>
            </w:tcBorders>
            <w:vAlign w:val="center"/>
          </w:tcPr>
          <w:p w14:paraId="453E669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5</w:t>
            </w:r>
          </w:p>
        </w:tc>
        <w:tc>
          <w:tcPr>
            <w:tcW w:w="930" w:type="pct"/>
            <w:tcBorders>
              <w:top w:val="single" w:color="000000" w:sz="4" w:space="0"/>
              <w:left w:val="single" w:color="000000" w:sz="4" w:space="0"/>
              <w:bottom w:val="single" w:color="000000" w:sz="4" w:space="0"/>
              <w:right w:val="single" w:color="000000" w:sz="4" w:space="0"/>
            </w:tcBorders>
            <w:vAlign w:val="center"/>
          </w:tcPr>
          <w:p w14:paraId="022FA94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63" w:type="pct"/>
            <w:tcBorders>
              <w:top w:val="single" w:color="000000" w:sz="4" w:space="0"/>
              <w:left w:val="single" w:color="000000" w:sz="4" w:space="0"/>
              <w:bottom w:val="single" w:color="000000" w:sz="4" w:space="0"/>
              <w:right w:val="single" w:color="000000" w:sz="4" w:space="0"/>
            </w:tcBorders>
            <w:vAlign w:val="center"/>
          </w:tcPr>
          <w:p w14:paraId="2568091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tcBorders>
              <w:top w:val="single" w:color="000000" w:sz="4" w:space="0"/>
              <w:left w:val="single" w:color="000000" w:sz="4" w:space="0"/>
              <w:bottom w:val="single" w:color="000000" w:sz="4" w:space="0"/>
              <w:right w:val="single" w:color="000000" w:sz="4" w:space="0"/>
            </w:tcBorders>
            <w:vAlign w:val="center"/>
          </w:tcPr>
          <w:p w14:paraId="4A26257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发现一处不合格扣1分</w:t>
            </w:r>
          </w:p>
        </w:tc>
        <w:tc>
          <w:tcPr>
            <w:tcW w:w="429" w:type="pct"/>
            <w:tcBorders>
              <w:top w:val="single" w:color="000000" w:sz="4" w:space="0"/>
              <w:left w:val="single" w:color="000000" w:sz="4" w:space="0"/>
              <w:bottom w:val="single" w:color="000000" w:sz="4" w:space="0"/>
              <w:right w:val="single" w:color="000000" w:sz="4" w:space="0"/>
            </w:tcBorders>
            <w:vAlign w:val="center"/>
          </w:tcPr>
          <w:p w14:paraId="265F91D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tcBorders>
              <w:top w:val="single" w:color="000000" w:sz="4" w:space="0"/>
              <w:left w:val="single" w:color="000000" w:sz="4" w:space="0"/>
              <w:bottom w:val="single" w:color="000000" w:sz="4" w:space="0"/>
              <w:right w:val="single" w:color="000000" w:sz="4" w:space="0"/>
            </w:tcBorders>
            <w:vAlign w:val="center"/>
          </w:tcPr>
          <w:p w14:paraId="57E2BD9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2DFE7A6F">
        <w:tblPrEx>
          <w:tblCellMar>
            <w:top w:w="0" w:type="dxa"/>
            <w:left w:w="108" w:type="dxa"/>
            <w:bottom w:w="0" w:type="dxa"/>
            <w:right w:w="108" w:type="dxa"/>
          </w:tblCellMar>
        </w:tblPrEx>
        <w:trPr>
          <w:trHeight w:val="570" w:hRule="atLeast"/>
          <w:jc w:val="center"/>
        </w:trPr>
        <w:tc>
          <w:tcPr>
            <w:tcW w:w="437" w:type="pct"/>
            <w:tcBorders>
              <w:top w:val="single" w:color="000000" w:sz="4" w:space="0"/>
              <w:left w:val="single" w:color="000000" w:sz="4" w:space="0"/>
              <w:bottom w:val="single" w:color="000000" w:sz="4" w:space="0"/>
              <w:right w:val="single" w:color="000000" w:sz="4" w:space="0"/>
            </w:tcBorders>
            <w:vAlign w:val="center"/>
          </w:tcPr>
          <w:p w14:paraId="1507F96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18</w:t>
            </w:r>
          </w:p>
        </w:tc>
        <w:tc>
          <w:tcPr>
            <w:tcW w:w="925" w:type="pct"/>
            <w:tcBorders>
              <w:top w:val="single" w:color="000000" w:sz="4" w:space="0"/>
              <w:left w:val="single" w:color="000000" w:sz="4" w:space="0"/>
              <w:bottom w:val="single" w:color="000000" w:sz="4" w:space="0"/>
              <w:right w:val="single" w:color="000000" w:sz="4" w:space="0"/>
            </w:tcBorders>
            <w:vAlign w:val="center"/>
          </w:tcPr>
          <w:p w14:paraId="6FBFA2B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绿化植物长势正良好，无明显缺肥症状</w:t>
            </w:r>
          </w:p>
        </w:tc>
        <w:tc>
          <w:tcPr>
            <w:tcW w:w="440" w:type="pct"/>
            <w:tcBorders>
              <w:top w:val="single" w:color="000000" w:sz="4" w:space="0"/>
              <w:left w:val="single" w:color="000000" w:sz="4" w:space="0"/>
              <w:bottom w:val="single" w:color="000000" w:sz="4" w:space="0"/>
              <w:right w:val="single" w:color="000000" w:sz="4" w:space="0"/>
            </w:tcBorders>
            <w:vAlign w:val="center"/>
          </w:tcPr>
          <w:p w14:paraId="2610D01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5</w:t>
            </w:r>
          </w:p>
        </w:tc>
        <w:tc>
          <w:tcPr>
            <w:tcW w:w="930" w:type="pct"/>
            <w:tcBorders>
              <w:top w:val="single" w:color="000000" w:sz="4" w:space="0"/>
              <w:left w:val="single" w:color="000000" w:sz="4" w:space="0"/>
              <w:bottom w:val="single" w:color="000000" w:sz="4" w:space="0"/>
              <w:right w:val="single" w:color="000000" w:sz="4" w:space="0"/>
            </w:tcBorders>
            <w:vAlign w:val="center"/>
          </w:tcPr>
          <w:p w14:paraId="610C712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63" w:type="pct"/>
            <w:tcBorders>
              <w:top w:val="single" w:color="000000" w:sz="4" w:space="0"/>
              <w:left w:val="single" w:color="000000" w:sz="4" w:space="0"/>
              <w:bottom w:val="single" w:color="000000" w:sz="4" w:space="0"/>
              <w:right w:val="single" w:color="000000" w:sz="4" w:space="0"/>
            </w:tcBorders>
            <w:vAlign w:val="center"/>
          </w:tcPr>
          <w:p w14:paraId="1647749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tcBorders>
              <w:top w:val="single" w:color="000000" w:sz="4" w:space="0"/>
              <w:left w:val="single" w:color="000000" w:sz="4" w:space="0"/>
              <w:bottom w:val="single" w:color="000000" w:sz="4" w:space="0"/>
              <w:right w:val="single" w:color="000000" w:sz="4" w:space="0"/>
            </w:tcBorders>
            <w:vAlign w:val="center"/>
          </w:tcPr>
          <w:p w14:paraId="3001FA2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发现一处不合格扣1分</w:t>
            </w:r>
          </w:p>
        </w:tc>
        <w:tc>
          <w:tcPr>
            <w:tcW w:w="429" w:type="pct"/>
            <w:tcBorders>
              <w:top w:val="single" w:color="000000" w:sz="4" w:space="0"/>
              <w:left w:val="single" w:color="000000" w:sz="4" w:space="0"/>
              <w:bottom w:val="single" w:color="000000" w:sz="4" w:space="0"/>
              <w:right w:val="single" w:color="000000" w:sz="4" w:space="0"/>
            </w:tcBorders>
            <w:vAlign w:val="center"/>
          </w:tcPr>
          <w:p w14:paraId="7C2551C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tcBorders>
              <w:top w:val="single" w:color="000000" w:sz="4" w:space="0"/>
              <w:left w:val="single" w:color="000000" w:sz="4" w:space="0"/>
              <w:bottom w:val="single" w:color="000000" w:sz="4" w:space="0"/>
              <w:right w:val="single" w:color="000000" w:sz="4" w:space="0"/>
            </w:tcBorders>
            <w:vAlign w:val="center"/>
          </w:tcPr>
          <w:p w14:paraId="0ADD31A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7B60ECF7">
        <w:tblPrEx>
          <w:tblCellMar>
            <w:top w:w="0" w:type="dxa"/>
            <w:left w:w="108" w:type="dxa"/>
            <w:bottom w:w="0" w:type="dxa"/>
            <w:right w:w="108" w:type="dxa"/>
          </w:tblCellMar>
        </w:tblPrEx>
        <w:trPr>
          <w:trHeight w:val="570" w:hRule="atLeast"/>
          <w:jc w:val="center"/>
        </w:trPr>
        <w:tc>
          <w:tcPr>
            <w:tcW w:w="437" w:type="pct"/>
            <w:tcBorders>
              <w:top w:val="single" w:color="000000" w:sz="4" w:space="0"/>
              <w:left w:val="single" w:color="000000" w:sz="4" w:space="0"/>
              <w:bottom w:val="single" w:color="000000" w:sz="4" w:space="0"/>
              <w:right w:val="single" w:color="000000" w:sz="4" w:space="0"/>
            </w:tcBorders>
            <w:vAlign w:val="center"/>
          </w:tcPr>
          <w:p w14:paraId="06290E6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19</w:t>
            </w:r>
          </w:p>
        </w:tc>
        <w:tc>
          <w:tcPr>
            <w:tcW w:w="925" w:type="pct"/>
            <w:tcBorders>
              <w:top w:val="single" w:color="000000" w:sz="4" w:space="0"/>
              <w:left w:val="single" w:color="000000" w:sz="4" w:space="0"/>
              <w:bottom w:val="single" w:color="000000" w:sz="4" w:space="0"/>
              <w:right w:val="single" w:color="000000" w:sz="4" w:space="0"/>
            </w:tcBorders>
            <w:vAlign w:val="center"/>
          </w:tcPr>
          <w:p w14:paraId="256298CA">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无明显病虫危害，有制定年度消杀方案、药品管理制度及消杀制度。病虫害发生率低于5%；药剂使用应符合环保要求，不使用高毒高异味农药</w:t>
            </w:r>
          </w:p>
        </w:tc>
        <w:tc>
          <w:tcPr>
            <w:tcW w:w="440" w:type="pct"/>
            <w:tcBorders>
              <w:top w:val="single" w:color="000000" w:sz="4" w:space="0"/>
              <w:left w:val="single" w:color="000000" w:sz="4" w:space="0"/>
              <w:bottom w:val="single" w:color="000000" w:sz="4" w:space="0"/>
              <w:right w:val="single" w:color="000000" w:sz="4" w:space="0"/>
            </w:tcBorders>
            <w:vAlign w:val="center"/>
          </w:tcPr>
          <w:p w14:paraId="6C2C51B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3</w:t>
            </w:r>
          </w:p>
        </w:tc>
        <w:tc>
          <w:tcPr>
            <w:tcW w:w="930" w:type="pct"/>
            <w:tcBorders>
              <w:top w:val="single" w:color="000000" w:sz="4" w:space="0"/>
              <w:left w:val="single" w:color="000000" w:sz="4" w:space="0"/>
              <w:bottom w:val="single" w:color="000000" w:sz="4" w:space="0"/>
              <w:right w:val="single" w:color="000000" w:sz="4" w:space="0"/>
            </w:tcBorders>
            <w:vAlign w:val="center"/>
          </w:tcPr>
          <w:p w14:paraId="3406874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63" w:type="pct"/>
            <w:tcBorders>
              <w:top w:val="single" w:color="000000" w:sz="4" w:space="0"/>
              <w:left w:val="single" w:color="000000" w:sz="4" w:space="0"/>
              <w:bottom w:val="single" w:color="000000" w:sz="4" w:space="0"/>
              <w:right w:val="single" w:color="000000" w:sz="4" w:space="0"/>
            </w:tcBorders>
            <w:vAlign w:val="center"/>
          </w:tcPr>
          <w:p w14:paraId="39F3D4A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tcBorders>
              <w:top w:val="single" w:color="000000" w:sz="4" w:space="0"/>
              <w:left w:val="single" w:color="000000" w:sz="4" w:space="0"/>
              <w:bottom w:val="single" w:color="000000" w:sz="4" w:space="0"/>
              <w:right w:val="single" w:color="000000" w:sz="4" w:space="0"/>
            </w:tcBorders>
            <w:vAlign w:val="center"/>
          </w:tcPr>
          <w:p w14:paraId="6B40275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发现一处不合格扣1分</w:t>
            </w:r>
          </w:p>
        </w:tc>
        <w:tc>
          <w:tcPr>
            <w:tcW w:w="429" w:type="pct"/>
            <w:tcBorders>
              <w:top w:val="single" w:color="000000" w:sz="4" w:space="0"/>
              <w:left w:val="single" w:color="000000" w:sz="4" w:space="0"/>
              <w:bottom w:val="single" w:color="000000" w:sz="4" w:space="0"/>
              <w:right w:val="single" w:color="000000" w:sz="4" w:space="0"/>
            </w:tcBorders>
            <w:vAlign w:val="center"/>
          </w:tcPr>
          <w:p w14:paraId="2412BC6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tcBorders>
              <w:top w:val="single" w:color="000000" w:sz="4" w:space="0"/>
              <w:left w:val="single" w:color="000000" w:sz="4" w:space="0"/>
              <w:bottom w:val="single" w:color="000000" w:sz="4" w:space="0"/>
              <w:right w:val="single" w:color="000000" w:sz="4" w:space="0"/>
            </w:tcBorders>
            <w:vAlign w:val="center"/>
          </w:tcPr>
          <w:p w14:paraId="546D6D7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244C65A3">
        <w:tblPrEx>
          <w:tblCellMar>
            <w:top w:w="0" w:type="dxa"/>
            <w:left w:w="108" w:type="dxa"/>
            <w:bottom w:w="0" w:type="dxa"/>
            <w:right w:w="108" w:type="dxa"/>
          </w:tblCellMar>
        </w:tblPrEx>
        <w:trPr>
          <w:trHeight w:val="570" w:hRule="atLeast"/>
          <w:jc w:val="center"/>
        </w:trPr>
        <w:tc>
          <w:tcPr>
            <w:tcW w:w="437" w:type="pct"/>
            <w:tcBorders>
              <w:top w:val="single" w:color="000000" w:sz="4" w:space="0"/>
              <w:left w:val="single" w:color="000000" w:sz="4" w:space="0"/>
              <w:bottom w:val="single" w:color="000000" w:sz="4" w:space="0"/>
              <w:right w:val="single" w:color="000000" w:sz="4" w:space="0"/>
            </w:tcBorders>
            <w:vAlign w:val="center"/>
          </w:tcPr>
          <w:p w14:paraId="357E9B9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20</w:t>
            </w:r>
          </w:p>
        </w:tc>
        <w:tc>
          <w:tcPr>
            <w:tcW w:w="925" w:type="pct"/>
            <w:tcBorders>
              <w:top w:val="single" w:color="000000" w:sz="4" w:space="0"/>
              <w:left w:val="single" w:color="000000" w:sz="4" w:space="0"/>
              <w:bottom w:val="single" w:color="000000" w:sz="4" w:space="0"/>
              <w:right w:val="single" w:color="000000" w:sz="4" w:space="0"/>
            </w:tcBorders>
            <w:vAlign w:val="center"/>
          </w:tcPr>
          <w:p w14:paraId="50F202E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及时加固扶正发生倒伏的树木（在灾害天气发布预警时能及时对树木进行加固等应急处理），主要道路大乔木有树木标识牌。有灌草分界沟；绿地无停车、晾晒衣物、堆放杂物等现象。乔木无明显枯枝坠落、倒伏、枯朽折断风险；抗风性差和栽植3年内的乔木有必要的支撑防护措施</w:t>
            </w:r>
          </w:p>
        </w:tc>
        <w:tc>
          <w:tcPr>
            <w:tcW w:w="440" w:type="pct"/>
            <w:tcBorders>
              <w:top w:val="single" w:color="000000" w:sz="4" w:space="0"/>
              <w:left w:val="single" w:color="000000" w:sz="4" w:space="0"/>
              <w:bottom w:val="single" w:color="000000" w:sz="4" w:space="0"/>
              <w:right w:val="single" w:color="000000" w:sz="4" w:space="0"/>
            </w:tcBorders>
            <w:vAlign w:val="center"/>
          </w:tcPr>
          <w:p w14:paraId="5139A2E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3</w:t>
            </w:r>
          </w:p>
        </w:tc>
        <w:tc>
          <w:tcPr>
            <w:tcW w:w="930" w:type="pct"/>
            <w:tcBorders>
              <w:top w:val="single" w:color="000000" w:sz="4" w:space="0"/>
              <w:left w:val="single" w:color="000000" w:sz="4" w:space="0"/>
              <w:bottom w:val="single" w:color="000000" w:sz="4" w:space="0"/>
              <w:right w:val="single" w:color="000000" w:sz="4" w:space="0"/>
            </w:tcBorders>
            <w:vAlign w:val="center"/>
          </w:tcPr>
          <w:p w14:paraId="1F10E0B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63" w:type="pct"/>
            <w:tcBorders>
              <w:top w:val="single" w:color="000000" w:sz="4" w:space="0"/>
              <w:left w:val="single" w:color="000000" w:sz="4" w:space="0"/>
              <w:bottom w:val="single" w:color="000000" w:sz="4" w:space="0"/>
              <w:right w:val="single" w:color="000000" w:sz="4" w:space="0"/>
            </w:tcBorders>
            <w:vAlign w:val="center"/>
          </w:tcPr>
          <w:p w14:paraId="29E603B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tcBorders>
              <w:top w:val="single" w:color="000000" w:sz="4" w:space="0"/>
              <w:left w:val="single" w:color="000000" w:sz="4" w:space="0"/>
              <w:bottom w:val="single" w:color="000000" w:sz="4" w:space="0"/>
              <w:right w:val="single" w:color="000000" w:sz="4" w:space="0"/>
            </w:tcBorders>
            <w:vAlign w:val="center"/>
          </w:tcPr>
          <w:p w14:paraId="336A1D5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发现一处不合格扣1分</w:t>
            </w:r>
          </w:p>
        </w:tc>
        <w:tc>
          <w:tcPr>
            <w:tcW w:w="429" w:type="pct"/>
            <w:tcBorders>
              <w:top w:val="single" w:color="000000" w:sz="4" w:space="0"/>
              <w:left w:val="single" w:color="000000" w:sz="4" w:space="0"/>
              <w:bottom w:val="single" w:color="000000" w:sz="4" w:space="0"/>
              <w:right w:val="single" w:color="000000" w:sz="4" w:space="0"/>
            </w:tcBorders>
            <w:vAlign w:val="center"/>
          </w:tcPr>
          <w:p w14:paraId="7E6F072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tcBorders>
              <w:top w:val="single" w:color="000000" w:sz="4" w:space="0"/>
              <w:left w:val="single" w:color="000000" w:sz="4" w:space="0"/>
              <w:bottom w:val="single" w:color="000000" w:sz="4" w:space="0"/>
              <w:right w:val="single" w:color="000000" w:sz="4" w:space="0"/>
            </w:tcBorders>
            <w:vAlign w:val="center"/>
          </w:tcPr>
          <w:p w14:paraId="54A9C38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5B920634">
        <w:tblPrEx>
          <w:tblCellMar>
            <w:top w:w="0" w:type="dxa"/>
            <w:left w:w="108" w:type="dxa"/>
            <w:bottom w:w="0" w:type="dxa"/>
            <w:right w:w="108" w:type="dxa"/>
          </w:tblCellMar>
        </w:tblPrEx>
        <w:trPr>
          <w:trHeight w:val="570" w:hRule="atLeast"/>
          <w:jc w:val="center"/>
        </w:trPr>
        <w:tc>
          <w:tcPr>
            <w:tcW w:w="5000" w:type="pct"/>
            <w:gridSpan w:val="8"/>
            <w:tcBorders>
              <w:top w:val="single" w:color="000000" w:sz="4" w:space="0"/>
              <w:left w:val="single" w:color="000000" w:sz="4" w:space="0"/>
              <w:bottom w:val="single" w:color="000000" w:sz="4" w:space="0"/>
              <w:right w:val="single" w:color="000000" w:sz="4" w:space="0"/>
            </w:tcBorders>
            <w:vAlign w:val="center"/>
          </w:tcPr>
          <w:p w14:paraId="7A29FB0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员工表现</w:t>
            </w:r>
          </w:p>
        </w:tc>
      </w:tr>
      <w:tr w14:paraId="69AD967B">
        <w:tblPrEx>
          <w:tblCellMar>
            <w:top w:w="0" w:type="dxa"/>
            <w:left w:w="108" w:type="dxa"/>
            <w:bottom w:w="0" w:type="dxa"/>
            <w:right w:w="108" w:type="dxa"/>
          </w:tblCellMar>
        </w:tblPrEx>
        <w:trPr>
          <w:trHeight w:val="570" w:hRule="atLeast"/>
          <w:jc w:val="center"/>
        </w:trPr>
        <w:tc>
          <w:tcPr>
            <w:tcW w:w="437" w:type="pct"/>
            <w:tcBorders>
              <w:top w:val="single" w:color="000000" w:sz="4" w:space="0"/>
              <w:left w:val="single" w:color="000000" w:sz="4" w:space="0"/>
              <w:bottom w:val="single" w:color="000000" w:sz="4" w:space="0"/>
              <w:right w:val="single" w:color="000000" w:sz="4" w:space="0"/>
            </w:tcBorders>
            <w:vAlign w:val="center"/>
          </w:tcPr>
          <w:p w14:paraId="12F33C1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21</w:t>
            </w:r>
          </w:p>
        </w:tc>
        <w:tc>
          <w:tcPr>
            <w:tcW w:w="925" w:type="pct"/>
            <w:tcBorders>
              <w:top w:val="single" w:color="000000" w:sz="4" w:space="0"/>
              <w:left w:val="single" w:color="000000" w:sz="4" w:space="0"/>
              <w:bottom w:val="single" w:color="000000" w:sz="4" w:space="0"/>
              <w:right w:val="single" w:color="000000" w:sz="4" w:space="0"/>
            </w:tcBorders>
            <w:vAlign w:val="center"/>
          </w:tcPr>
          <w:p w14:paraId="1B4808F0">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工作时间不准干私活；若保洁员被投诉工作不到位的，经查属实</w:t>
            </w:r>
          </w:p>
        </w:tc>
        <w:tc>
          <w:tcPr>
            <w:tcW w:w="440" w:type="pct"/>
            <w:tcBorders>
              <w:top w:val="single" w:color="000000" w:sz="4" w:space="0"/>
              <w:left w:val="single" w:color="000000" w:sz="4" w:space="0"/>
              <w:bottom w:val="single" w:color="000000" w:sz="4" w:space="0"/>
              <w:right w:val="single" w:color="000000" w:sz="4" w:space="0"/>
            </w:tcBorders>
            <w:vAlign w:val="center"/>
          </w:tcPr>
          <w:p w14:paraId="4952F59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3</w:t>
            </w:r>
          </w:p>
        </w:tc>
        <w:tc>
          <w:tcPr>
            <w:tcW w:w="930" w:type="pct"/>
            <w:tcBorders>
              <w:top w:val="single" w:color="000000" w:sz="4" w:space="0"/>
              <w:left w:val="single" w:color="000000" w:sz="4" w:space="0"/>
              <w:bottom w:val="single" w:color="000000" w:sz="4" w:space="0"/>
              <w:right w:val="single" w:color="000000" w:sz="4" w:space="0"/>
            </w:tcBorders>
            <w:vAlign w:val="center"/>
          </w:tcPr>
          <w:p w14:paraId="01A37A8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63" w:type="pct"/>
            <w:tcBorders>
              <w:top w:val="single" w:color="000000" w:sz="4" w:space="0"/>
              <w:left w:val="single" w:color="000000" w:sz="4" w:space="0"/>
              <w:bottom w:val="single" w:color="000000" w:sz="4" w:space="0"/>
              <w:right w:val="single" w:color="000000" w:sz="4" w:space="0"/>
            </w:tcBorders>
            <w:vAlign w:val="center"/>
          </w:tcPr>
          <w:p w14:paraId="3AF8C9D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tcBorders>
              <w:top w:val="single" w:color="000000" w:sz="4" w:space="0"/>
              <w:left w:val="single" w:color="000000" w:sz="4" w:space="0"/>
              <w:bottom w:val="single" w:color="000000" w:sz="4" w:space="0"/>
              <w:right w:val="single" w:color="000000" w:sz="4" w:space="0"/>
            </w:tcBorders>
            <w:vAlign w:val="center"/>
          </w:tcPr>
          <w:p w14:paraId="37ABAAE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发现一处不合格扣1分</w:t>
            </w:r>
          </w:p>
        </w:tc>
        <w:tc>
          <w:tcPr>
            <w:tcW w:w="429" w:type="pct"/>
            <w:tcBorders>
              <w:top w:val="single" w:color="000000" w:sz="4" w:space="0"/>
              <w:left w:val="single" w:color="000000" w:sz="4" w:space="0"/>
              <w:bottom w:val="single" w:color="000000" w:sz="4" w:space="0"/>
              <w:right w:val="single" w:color="000000" w:sz="4" w:space="0"/>
            </w:tcBorders>
            <w:vAlign w:val="center"/>
          </w:tcPr>
          <w:p w14:paraId="7FA6936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tcBorders>
              <w:top w:val="single" w:color="000000" w:sz="4" w:space="0"/>
              <w:left w:val="single" w:color="000000" w:sz="4" w:space="0"/>
              <w:bottom w:val="single" w:color="000000" w:sz="4" w:space="0"/>
              <w:right w:val="single" w:color="000000" w:sz="4" w:space="0"/>
            </w:tcBorders>
            <w:vAlign w:val="center"/>
          </w:tcPr>
          <w:p w14:paraId="32903E4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38D9851D">
        <w:tblPrEx>
          <w:tblCellMar>
            <w:top w:w="0" w:type="dxa"/>
            <w:left w:w="108" w:type="dxa"/>
            <w:bottom w:w="0" w:type="dxa"/>
            <w:right w:w="108" w:type="dxa"/>
          </w:tblCellMar>
        </w:tblPrEx>
        <w:trPr>
          <w:trHeight w:val="570" w:hRule="atLeast"/>
          <w:jc w:val="center"/>
        </w:trPr>
        <w:tc>
          <w:tcPr>
            <w:tcW w:w="437" w:type="pct"/>
            <w:tcBorders>
              <w:top w:val="single" w:color="000000" w:sz="4" w:space="0"/>
              <w:left w:val="single" w:color="000000" w:sz="4" w:space="0"/>
              <w:bottom w:val="single" w:color="000000" w:sz="4" w:space="0"/>
              <w:right w:val="single" w:color="000000" w:sz="4" w:space="0"/>
            </w:tcBorders>
            <w:vAlign w:val="center"/>
          </w:tcPr>
          <w:p w14:paraId="614B62C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22</w:t>
            </w:r>
          </w:p>
        </w:tc>
        <w:tc>
          <w:tcPr>
            <w:tcW w:w="925" w:type="pct"/>
            <w:tcBorders>
              <w:top w:val="single" w:color="000000" w:sz="4" w:space="0"/>
              <w:left w:val="single" w:color="000000" w:sz="4" w:space="0"/>
              <w:bottom w:val="single" w:color="000000" w:sz="4" w:space="0"/>
              <w:right w:val="single" w:color="000000" w:sz="4" w:space="0"/>
            </w:tcBorders>
            <w:vAlign w:val="center"/>
          </w:tcPr>
          <w:p w14:paraId="01995E9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人员被投诉偷拿物品，情节轻者</w:t>
            </w:r>
          </w:p>
        </w:tc>
        <w:tc>
          <w:tcPr>
            <w:tcW w:w="440" w:type="pct"/>
            <w:tcBorders>
              <w:top w:val="single" w:color="000000" w:sz="4" w:space="0"/>
              <w:left w:val="single" w:color="000000" w:sz="4" w:space="0"/>
              <w:bottom w:val="single" w:color="000000" w:sz="4" w:space="0"/>
              <w:right w:val="single" w:color="000000" w:sz="4" w:space="0"/>
            </w:tcBorders>
            <w:vAlign w:val="center"/>
          </w:tcPr>
          <w:p w14:paraId="3A43FFE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5</w:t>
            </w:r>
          </w:p>
        </w:tc>
        <w:tc>
          <w:tcPr>
            <w:tcW w:w="930" w:type="pct"/>
            <w:tcBorders>
              <w:top w:val="single" w:color="000000" w:sz="4" w:space="0"/>
              <w:left w:val="single" w:color="000000" w:sz="4" w:space="0"/>
              <w:bottom w:val="single" w:color="000000" w:sz="4" w:space="0"/>
              <w:right w:val="single" w:color="000000" w:sz="4" w:space="0"/>
            </w:tcBorders>
            <w:vAlign w:val="center"/>
          </w:tcPr>
          <w:p w14:paraId="7C4BF67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63" w:type="pct"/>
            <w:tcBorders>
              <w:top w:val="single" w:color="000000" w:sz="4" w:space="0"/>
              <w:left w:val="single" w:color="000000" w:sz="4" w:space="0"/>
              <w:bottom w:val="single" w:color="000000" w:sz="4" w:space="0"/>
              <w:right w:val="single" w:color="000000" w:sz="4" w:space="0"/>
            </w:tcBorders>
            <w:vAlign w:val="center"/>
          </w:tcPr>
          <w:p w14:paraId="4B8298C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tcBorders>
              <w:top w:val="single" w:color="000000" w:sz="4" w:space="0"/>
              <w:left w:val="single" w:color="000000" w:sz="4" w:space="0"/>
              <w:bottom w:val="single" w:color="000000" w:sz="4" w:space="0"/>
              <w:right w:val="single" w:color="000000" w:sz="4" w:space="0"/>
            </w:tcBorders>
            <w:vAlign w:val="center"/>
          </w:tcPr>
          <w:p w14:paraId="070EF4F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发现一处不合格扣1分</w:t>
            </w:r>
          </w:p>
        </w:tc>
        <w:tc>
          <w:tcPr>
            <w:tcW w:w="429" w:type="pct"/>
            <w:tcBorders>
              <w:top w:val="single" w:color="000000" w:sz="4" w:space="0"/>
              <w:left w:val="single" w:color="000000" w:sz="4" w:space="0"/>
              <w:bottom w:val="single" w:color="000000" w:sz="4" w:space="0"/>
              <w:right w:val="single" w:color="000000" w:sz="4" w:space="0"/>
            </w:tcBorders>
            <w:vAlign w:val="center"/>
          </w:tcPr>
          <w:p w14:paraId="62F8AA5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tcBorders>
              <w:top w:val="single" w:color="000000" w:sz="4" w:space="0"/>
              <w:left w:val="single" w:color="000000" w:sz="4" w:space="0"/>
              <w:bottom w:val="single" w:color="000000" w:sz="4" w:space="0"/>
              <w:right w:val="single" w:color="000000" w:sz="4" w:space="0"/>
            </w:tcBorders>
            <w:vAlign w:val="center"/>
          </w:tcPr>
          <w:p w14:paraId="284F561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p>
        </w:tc>
      </w:tr>
      <w:tr w14:paraId="615B1C3C">
        <w:tblPrEx>
          <w:tblCellMar>
            <w:top w:w="0" w:type="dxa"/>
            <w:left w:w="108" w:type="dxa"/>
            <w:bottom w:w="0" w:type="dxa"/>
            <w:right w:w="108" w:type="dxa"/>
          </w:tblCellMar>
        </w:tblPrEx>
        <w:trPr>
          <w:trHeight w:val="570" w:hRule="atLeast"/>
          <w:jc w:val="center"/>
        </w:trPr>
        <w:tc>
          <w:tcPr>
            <w:tcW w:w="437" w:type="pct"/>
            <w:tcBorders>
              <w:top w:val="single" w:color="000000" w:sz="4" w:space="0"/>
              <w:left w:val="single" w:color="000000" w:sz="4" w:space="0"/>
              <w:bottom w:val="single" w:color="000000" w:sz="4" w:space="0"/>
              <w:right w:val="single" w:color="000000" w:sz="4" w:space="0"/>
            </w:tcBorders>
            <w:vAlign w:val="center"/>
          </w:tcPr>
          <w:p w14:paraId="73298EF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23</w:t>
            </w:r>
          </w:p>
        </w:tc>
        <w:tc>
          <w:tcPr>
            <w:tcW w:w="925" w:type="pct"/>
            <w:tcBorders>
              <w:top w:val="single" w:color="000000" w:sz="4" w:space="0"/>
              <w:left w:val="single" w:color="000000" w:sz="4" w:space="0"/>
              <w:bottom w:val="single" w:color="000000" w:sz="4" w:space="0"/>
              <w:right w:val="single" w:color="000000" w:sz="4" w:space="0"/>
            </w:tcBorders>
            <w:vAlign w:val="center"/>
          </w:tcPr>
          <w:p w14:paraId="16D80DD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发现有人为践踏、攀折公共区域树木花草，污染水池的行为，未予以制止或经他人告知后未及时汇报。</w:t>
            </w:r>
          </w:p>
        </w:tc>
        <w:tc>
          <w:tcPr>
            <w:tcW w:w="440" w:type="pct"/>
            <w:tcBorders>
              <w:top w:val="single" w:color="000000" w:sz="4" w:space="0"/>
              <w:left w:val="single" w:color="000000" w:sz="4" w:space="0"/>
              <w:bottom w:val="single" w:color="000000" w:sz="4" w:space="0"/>
              <w:right w:val="single" w:color="000000" w:sz="4" w:space="0"/>
            </w:tcBorders>
            <w:vAlign w:val="center"/>
          </w:tcPr>
          <w:p w14:paraId="4B88869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3</w:t>
            </w:r>
          </w:p>
        </w:tc>
        <w:tc>
          <w:tcPr>
            <w:tcW w:w="930" w:type="pct"/>
            <w:tcBorders>
              <w:top w:val="single" w:color="000000" w:sz="4" w:space="0"/>
              <w:left w:val="single" w:color="000000" w:sz="4" w:space="0"/>
              <w:bottom w:val="single" w:color="000000" w:sz="4" w:space="0"/>
              <w:right w:val="single" w:color="000000" w:sz="4" w:space="0"/>
            </w:tcBorders>
            <w:vAlign w:val="center"/>
          </w:tcPr>
          <w:p w14:paraId="0DB86BE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63" w:type="pct"/>
            <w:tcBorders>
              <w:top w:val="single" w:color="000000" w:sz="4" w:space="0"/>
              <w:left w:val="single" w:color="000000" w:sz="4" w:space="0"/>
              <w:bottom w:val="single" w:color="000000" w:sz="4" w:space="0"/>
              <w:right w:val="single" w:color="000000" w:sz="4" w:space="0"/>
            </w:tcBorders>
            <w:vAlign w:val="center"/>
          </w:tcPr>
          <w:p w14:paraId="5797A4E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tcBorders>
              <w:top w:val="single" w:color="000000" w:sz="4" w:space="0"/>
              <w:left w:val="single" w:color="000000" w:sz="4" w:space="0"/>
              <w:bottom w:val="single" w:color="000000" w:sz="4" w:space="0"/>
              <w:right w:val="single" w:color="000000" w:sz="4" w:space="0"/>
            </w:tcBorders>
            <w:vAlign w:val="center"/>
          </w:tcPr>
          <w:p w14:paraId="4289BBD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发现一处不合格扣1分</w:t>
            </w:r>
          </w:p>
        </w:tc>
        <w:tc>
          <w:tcPr>
            <w:tcW w:w="429" w:type="pct"/>
            <w:tcBorders>
              <w:top w:val="single" w:color="000000" w:sz="4" w:space="0"/>
              <w:left w:val="single" w:color="000000" w:sz="4" w:space="0"/>
              <w:bottom w:val="single" w:color="000000" w:sz="4" w:space="0"/>
              <w:right w:val="single" w:color="000000" w:sz="4" w:space="0"/>
            </w:tcBorders>
            <w:vAlign w:val="center"/>
          </w:tcPr>
          <w:p w14:paraId="2AE33DE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tcBorders>
              <w:top w:val="single" w:color="000000" w:sz="4" w:space="0"/>
              <w:left w:val="single" w:color="000000" w:sz="4" w:space="0"/>
              <w:bottom w:val="single" w:color="000000" w:sz="4" w:space="0"/>
              <w:right w:val="single" w:color="000000" w:sz="4" w:space="0"/>
            </w:tcBorders>
            <w:vAlign w:val="center"/>
          </w:tcPr>
          <w:p w14:paraId="09F043F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0AF80DA9">
        <w:tblPrEx>
          <w:tblCellMar>
            <w:top w:w="0" w:type="dxa"/>
            <w:left w:w="108" w:type="dxa"/>
            <w:bottom w:w="0" w:type="dxa"/>
            <w:right w:w="108" w:type="dxa"/>
          </w:tblCellMar>
        </w:tblPrEx>
        <w:trPr>
          <w:trHeight w:val="570" w:hRule="atLeast"/>
          <w:jc w:val="center"/>
        </w:trPr>
        <w:tc>
          <w:tcPr>
            <w:tcW w:w="437" w:type="pct"/>
            <w:tcBorders>
              <w:top w:val="single" w:color="000000" w:sz="4" w:space="0"/>
              <w:left w:val="single" w:color="000000" w:sz="4" w:space="0"/>
              <w:bottom w:val="single" w:color="000000" w:sz="4" w:space="0"/>
              <w:right w:val="single" w:color="000000" w:sz="4" w:space="0"/>
            </w:tcBorders>
            <w:vAlign w:val="center"/>
          </w:tcPr>
          <w:p w14:paraId="5D0D8F9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24</w:t>
            </w:r>
          </w:p>
        </w:tc>
        <w:tc>
          <w:tcPr>
            <w:tcW w:w="925" w:type="pct"/>
            <w:tcBorders>
              <w:top w:val="single" w:color="000000" w:sz="4" w:space="0"/>
              <w:left w:val="single" w:color="000000" w:sz="4" w:space="0"/>
              <w:bottom w:val="single" w:color="000000" w:sz="4" w:space="0"/>
              <w:right w:val="single" w:color="000000" w:sz="4" w:space="0"/>
            </w:tcBorders>
            <w:vAlign w:val="center"/>
          </w:tcPr>
          <w:p w14:paraId="54020E2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发现公共设施损坏或有异常情况，没在第一时间汇报</w:t>
            </w:r>
          </w:p>
        </w:tc>
        <w:tc>
          <w:tcPr>
            <w:tcW w:w="440" w:type="pct"/>
            <w:tcBorders>
              <w:top w:val="single" w:color="000000" w:sz="4" w:space="0"/>
              <w:left w:val="single" w:color="000000" w:sz="4" w:space="0"/>
              <w:bottom w:val="single" w:color="000000" w:sz="4" w:space="0"/>
              <w:right w:val="single" w:color="000000" w:sz="4" w:space="0"/>
            </w:tcBorders>
            <w:vAlign w:val="center"/>
          </w:tcPr>
          <w:p w14:paraId="61733A9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3</w:t>
            </w:r>
          </w:p>
        </w:tc>
        <w:tc>
          <w:tcPr>
            <w:tcW w:w="930" w:type="pct"/>
            <w:tcBorders>
              <w:top w:val="single" w:color="000000" w:sz="4" w:space="0"/>
              <w:left w:val="single" w:color="000000" w:sz="4" w:space="0"/>
              <w:bottom w:val="single" w:color="000000" w:sz="4" w:space="0"/>
              <w:right w:val="single" w:color="000000" w:sz="4" w:space="0"/>
            </w:tcBorders>
            <w:vAlign w:val="center"/>
          </w:tcPr>
          <w:p w14:paraId="210E66A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63" w:type="pct"/>
            <w:tcBorders>
              <w:top w:val="single" w:color="000000" w:sz="4" w:space="0"/>
              <w:left w:val="single" w:color="000000" w:sz="4" w:space="0"/>
              <w:bottom w:val="single" w:color="000000" w:sz="4" w:space="0"/>
              <w:right w:val="single" w:color="000000" w:sz="4" w:space="0"/>
            </w:tcBorders>
            <w:vAlign w:val="center"/>
          </w:tcPr>
          <w:p w14:paraId="03BBFDA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tcBorders>
              <w:top w:val="single" w:color="000000" w:sz="4" w:space="0"/>
              <w:left w:val="single" w:color="000000" w:sz="4" w:space="0"/>
              <w:bottom w:val="single" w:color="000000" w:sz="4" w:space="0"/>
              <w:right w:val="single" w:color="000000" w:sz="4" w:space="0"/>
            </w:tcBorders>
            <w:vAlign w:val="center"/>
          </w:tcPr>
          <w:p w14:paraId="28FD786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发现一处不合格扣1分</w:t>
            </w:r>
          </w:p>
        </w:tc>
        <w:tc>
          <w:tcPr>
            <w:tcW w:w="429" w:type="pct"/>
            <w:tcBorders>
              <w:top w:val="single" w:color="000000" w:sz="4" w:space="0"/>
              <w:left w:val="single" w:color="000000" w:sz="4" w:space="0"/>
              <w:bottom w:val="single" w:color="000000" w:sz="4" w:space="0"/>
              <w:right w:val="single" w:color="000000" w:sz="4" w:space="0"/>
            </w:tcBorders>
            <w:vAlign w:val="center"/>
          </w:tcPr>
          <w:p w14:paraId="795AE90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tcBorders>
              <w:top w:val="single" w:color="000000" w:sz="4" w:space="0"/>
              <w:left w:val="single" w:color="000000" w:sz="4" w:space="0"/>
              <w:bottom w:val="single" w:color="000000" w:sz="4" w:space="0"/>
              <w:right w:val="single" w:color="000000" w:sz="4" w:space="0"/>
            </w:tcBorders>
            <w:vAlign w:val="center"/>
          </w:tcPr>
          <w:p w14:paraId="584037C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52C16819">
        <w:tblPrEx>
          <w:tblCellMar>
            <w:top w:w="0" w:type="dxa"/>
            <w:left w:w="108" w:type="dxa"/>
            <w:bottom w:w="0" w:type="dxa"/>
            <w:right w:w="108" w:type="dxa"/>
          </w:tblCellMar>
        </w:tblPrEx>
        <w:trPr>
          <w:trHeight w:val="285" w:hRule="atLeast"/>
          <w:jc w:val="center"/>
        </w:trPr>
        <w:tc>
          <w:tcPr>
            <w:tcW w:w="437" w:type="pct"/>
            <w:tcBorders>
              <w:top w:val="single" w:color="000000" w:sz="4" w:space="0"/>
              <w:left w:val="single" w:color="000000" w:sz="4" w:space="0"/>
              <w:bottom w:val="single" w:color="000000" w:sz="4" w:space="0"/>
              <w:right w:val="single" w:color="000000" w:sz="4" w:space="0"/>
            </w:tcBorders>
            <w:vAlign w:val="center"/>
          </w:tcPr>
          <w:p w14:paraId="15A6266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25</w:t>
            </w:r>
          </w:p>
        </w:tc>
        <w:tc>
          <w:tcPr>
            <w:tcW w:w="925" w:type="pct"/>
            <w:tcBorders>
              <w:top w:val="single" w:color="000000" w:sz="4" w:space="0"/>
              <w:left w:val="single" w:color="000000" w:sz="4" w:space="0"/>
              <w:bottom w:val="single" w:color="000000" w:sz="4" w:space="0"/>
              <w:right w:val="single" w:color="000000" w:sz="4" w:space="0"/>
            </w:tcBorders>
            <w:vAlign w:val="center"/>
          </w:tcPr>
          <w:p w14:paraId="2230C071">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在重大活动或检查中的表现</w:t>
            </w:r>
          </w:p>
        </w:tc>
        <w:tc>
          <w:tcPr>
            <w:tcW w:w="440" w:type="pct"/>
            <w:tcBorders>
              <w:top w:val="single" w:color="000000" w:sz="4" w:space="0"/>
              <w:left w:val="single" w:color="000000" w:sz="4" w:space="0"/>
              <w:bottom w:val="single" w:color="000000" w:sz="4" w:space="0"/>
              <w:right w:val="single" w:color="000000" w:sz="4" w:space="0"/>
            </w:tcBorders>
            <w:vAlign w:val="center"/>
          </w:tcPr>
          <w:p w14:paraId="2E67921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5</w:t>
            </w:r>
          </w:p>
        </w:tc>
        <w:tc>
          <w:tcPr>
            <w:tcW w:w="930" w:type="pct"/>
            <w:tcBorders>
              <w:top w:val="single" w:color="000000" w:sz="4" w:space="0"/>
              <w:left w:val="single" w:color="000000" w:sz="4" w:space="0"/>
              <w:bottom w:val="single" w:color="000000" w:sz="4" w:space="0"/>
              <w:right w:val="single" w:color="000000" w:sz="4" w:space="0"/>
            </w:tcBorders>
            <w:vAlign w:val="center"/>
          </w:tcPr>
          <w:p w14:paraId="12E9B3A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463" w:type="pct"/>
            <w:tcBorders>
              <w:top w:val="single" w:color="000000" w:sz="4" w:space="0"/>
              <w:left w:val="single" w:color="000000" w:sz="4" w:space="0"/>
              <w:bottom w:val="single" w:color="000000" w:sz="4" w:space="0"/>
              <w:right w:val="single" w:color="000000" w:sz="4" w:space="0"/>
            </w:tcBorders>
            <w:vAlign w:val="center"/>
          </w:tcPr>
          <w:p w14:paraId="4241F11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75" w:type="pct"/>
            <w:tcBorders>
              <w:top w:val="single" w:color="000000" w:sz="4" w:space="0"/>
              <w:left w:val="single" w:color="000000" w:sz="4" w:space="0"/>
              <w:bottom w:val="single" w:color="000000" w:sz="4" w:space="0"/>
              <w:right w:val="single" w:color="000000" w:sz="4" w:space="0"/>
            </w:tcBorders>
            <w:vAlign w:val="center"/>
          </w:tcPr>
          <w:p w14:paraId="1655BA3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该项为附加分，无活动不评分，被批评扣5分</w:t>
            </w:r>
          </w:p>
        </w:tc>
        <w:tc>
          <w:tcPr>
            <w:tcW w:w="429" w:type="pct"/>
            <w:tcBorders>
              <w:top w:val="single" w:color="000000" w:sz="4" w:space="0"/>
              <w:left w:val="single" w:color="000000" w:sz="4" w:space="0"/>
              <w:bottom w:val="single" w:color="000000" w:sz="4" w:space="0"/>
              <w:right w:val="single" w:color="000000" w:sz="4" w:space="0"/>
            </w:tcBorders>
            <w:vAlign w:val="center"/>
          </w:tcPr>
          <w:p w14:paraId="35C5B2F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c>
          <w:tcPr>
            <w:tcW w:w="698" w:type="pct"/>
            <w:tcBorders>
              <w:top w:val="single" w:color="000000" w:sz="4" w:space="0"/>
              <w:left w:val="single" w:color="000000" w:sz="4" w:space="0"/>
              <w:bottom w:val="single" w:color="000000" w:sz="4" w:space="0"/>
              <w:right w:val="single" w:color="000000" w:sz="4" w:space="0"/>
            </w:tcBorders>
            <w:vAlign w:val="center"/>
          </w:tcPr>
          <w:p w14:paraId="68CA6DF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r w14:paraId="222AE326">
        <w:tblPrEx>
          <w:tblCellMar>
            <w:top w:w="0" w:type="dxa"/>
            <w:left w:w="108" w:type="dxa"/>
            <w:bottom w:w="0" w:type="dxa"/>
            <w:right w:w="108" w:type="dxa"/>
          </w:tblCellMar>
        </w:tblPrEx>
        <w:trPr>
          <w:trHeight w:val="285" w:hRule="atLeast"/>
          <w:jc w:val="center"/>
        </w:trPr>
        <w:tc>
          <w:tcPr>
            <w:tcW w:w="1804" w:type="pct"/>
            <w:gridSpan w:val="3"/>
            <w:tcBorders>
              <w:top w:val="single" w:color="000000" w:sz="4" w:space="0"/>
              <w:left w:val="single" w:color="000000" w:sz="4" w:space="0"/>
              <w:bottom w:val="single" w:color="000000" w:sz="4" w:space="0"/>
              <w:right w:val="single" w:color="000000" w:sz="4" w:space="0"/>
            </w:tcBorders>
            <w:vAlign w:val="center"/>
          </w:tcPr>
          <w:p w14:paraId="4DE01C5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总  分  值  100分</w:t>
            </w:r>
          </w:p>
        </w:tc>
        <w:tc>
          <w:tcPr>
            <w:tcW w:w="3195" w:type="pct"/>
            <w:gridSpan w:val="5"/>
            <w:tcBorders>
              <w:top w:val="single" w:color="000000" w:sz="4" w:space="0"/>
              <w:left w:val="single" w:color="000000" w:sz="4" w:space="0"/>
              <w:bottom w:val="single" w:color="000000" w:sz="4" w:space="0"/>
              <w:right w:val="single" w:color="000000" w:sz="4" w:space="0"/>
            </w:tcBorders>
            <w:vAlign w:val="center"/>
          </w:tcPr>
          <w:p w14:paraId="31962EC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eastAsia="楷体_GB2312"/>
                <w:color w:val="auto"/>
                <w:sz w:val="24"/>
                <w:highlight w:val="none"/>
                <w:lang w:val="en-US" w:eastAsia="zh-CN"/>
              </w:rPr>
            </w:pPr>
          </w:p>
        </w:tc>
      </w:tr>
    </w:tbl>
    <w:p w14:paraId="03ECDBF5">
      <w:pPr>
        <w:spacing w:line="240" w:lineRule="auto"/>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若存在不涉及考核项，则按其实际服务考核项的分数比例换算最终得分。</w:t>
      </w:r>
      <w:r>
        <w:rPr>
          <w:rFonts w:hint="eastAsia" w:ascii="楷体_GB2312" w:eastAsia="楷体_GB2312"/>
          <w:color w:val="auto"/>
          <w:sz w:val="24"/>
          <w:highlight w:val="none"/>
          <w:lang w:val="en-US" w:eastAsia="zh-CN"/>
        </w:rPr>
        <w:tab/>
      </w:r>
    </w:p>
    <w:p w14:paraId="462D88A8">
      <w:pPr>
        <w:spacing w:line="240" w:lineRule="auto"/>
        <w:rPr>
          <w:rFonts w:hint="eastAsia" w:ascii="楷体_GB2312" w:eastAsia="楷体_GB2312"/>
          <w:color w:val="auto"/>
          <w:sz w:val="24"/>
          <w:highlight w:val="none"/>
          <w:lang w:val="en-US" w:eastAsia="zh-CN"/>
        </w:rPr>
      </w:pP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1"/>
        <w:gridCol w:w="1811"/>
        <w:gridCol w:w="1812"/>
        <w:gridCol w:w="1813"/>
        <w:gridCol w:w="1813"/>
      </w:tblGrid>
      <w:tr w14:paraId="1370A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14:paraId="35C0986F">
            <w:pPr>
              <w:spacing w:line="240" w:lineRule="auto"/>
              <w:jc w:val="center"/>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项目名称</w:t>
            </w:r>
          </w:p>
        </w:tc>
        <w:tc>
          <w:tcPr>
            <w:tcW w:w="3984" w:type="dxa"/>
            <w:gridSpan w:val="2"/>
            <w:shd w:val="clear" w:color="auto" w:fill="auto"/>
            <w:vAlign w:val="center"/>
          </w:tcPr>
          <w:p w14:paraId="1E15CB87">
            <w:pPr>
              <w:spacing w:line="240" w:lineRule="auto"/>
              <w:jc w:val="center"/>
              <w:rPr>
                <w:rFonts w:hint="default" w:ascii="楷体_GB2312" w:eastAsia="楷体_GB2312"/>
                <w:color w:val="auto"/>
                <w:sz w:val="24"/>
                <w:highlight w:val="none"/>
                <w:lang w:val="en-US" w:eastAsia="zh-CN"/>
              </w:rPr>
            </w:pPr>
          </w:p>
          <w:p w14:paraId="71C348EA">
            <w:pPr>
              <w:spacing w:line="240" w:lineRule="auto"/>
              <w:jc w:val="center"/>
              <w:rPr>
                <w:rFonts w:hint="default" w:ascii="楷体_GB2312" w:eastAsia="楷体_GB2312"/>
                <w:color w:val="auto"/>
                <w:sz w:val="24"/>
                <w:highlight w:val="none"/>
                <w:lang w:val="en-US" w:eastAsia="zh-CN"/>
              </w:rPr>
            </w:pPr>
          </w:p>
        </w:tc>
        <w:tc>
          <w:tcPr>
            <w:tcW w:w="1993" w:type="dxa"/>
            <w:shd w:val="clear" w:color="auto" w:fill="auto"/>
            <w:vAlign w:val="center"/>
          </w:tcPr>
          <w:p w14:paraId="537F3948">
            <w:pPr>
              <w:spacing w:line="240" w:lineRule="auto"/>
              <w:jc w:val="center"/>
              <w:rPr>
                <w:rFonts w:hint="default"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考核时间</w:t>
            </w:r>
          </w:p>
        </w:tc>
        <w:tc>
          <w:tcPr>
            <w:tcW w:w="1993" w:type="dxa"/>
            <w:shd w:val="clear" w:color="auto" w:fill="auto"/>
            <w:vAlign w:val="center"/>
          </w:tcPr>
          <w:p w14:paraId="22F7246F">
            <w:pPr>
              <w:spacing w:line="240" w:lineRule="auto"/>
              <w:jc w:val="center"/>
              <w:rPr>
                <w:rFonts w:hint="eastAsia" w:ascii="楷体_GB2312" w:eastAsia="楷体_GB2312"/>
                <w:color w:val="auto"/>
                <w:sz w:val="24"/>
                <w:highlight w:val="none"/>
                <w:lang w:val="en-US" w:eastAsia="zh-CN"/>
              </w:rPr>
            </w:pPr>
          </w:p>
        </w:tc>
      </w:tr>
      <w:tr w14:paraId="50675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shd w:val="clear" w:color="auto" w:fill="auto"/>
            <w:vAlign w:val="center"/>
          </w:tcPr>
          <w:p w14:paraId="09468A91">
            <w:pPr>
              <w:spacing w:line="240" w:lineRule="auto"/>
              <w:jc w:val="center"/>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最终得分</w:t>
            </w:r>
          </w:p>
        </w:tc>
        <w:tc>
          <w:tcPr>
            <w:tcW w:w="1992" w:type="dxa"/>
            <w:shd w:val="clear" w:color="auto" w:fill="auto"/>
            <w:vAlign w:val="center"/>
          </w:tcPr>
          <w:p w14:paraId="4C73DDB2">
            <w:pPr>
              <w:spacing w:line="240" w:lineRule="auto"/>
              <w:jc w:val="center"/>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考评人</w:t>
            </w:r>
          </w:p>
        </w:tc>
        <w:tc>
          <w:tcPr>
            <w:tcW w:w="1992" w:type="dxa"/>
            <w:shd w:val="clear" w:color="auto" w:fill="auto"/>
            <w:vAlign w:val="center"/>
          </w:tcPr>
          <w:p w14:paraId="3AEF6B87">
            <w:pPr>
              <w:spacing w:line="240" w:lineRule="auto"/>
              <w:jc w:val="center"/>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项目主任确认</w:t>
            </w:r>
          </w:p>
        </w:tc>
        <w:tc>
          <w:tcPr>
            <w:tcW w:w="1993" w:type="dxa"/>
            <w:shd w:val="clear" w:color="auto" w:fill="auto"/>
            <w:vAlign w:val="center"/>
          </w:tcPr>
          <w:p w14:paraId="3577FD6E">
            <w:pPr>
              <w:spacing w:line="240" w:lineRule="auto"/>
              <w:jc w:val="center"/>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片区确认</w:t>
            </w:r>
          </w:p>
        </w:tc>
        <w:tc>
          <w:tcPr>
            <w:tcW w:w="1993" w:type="dxa"/>
            <w:shd w:val="clear" w:color="auto" w:fill="auto"/>
            <w:vAlign w:val="center"/>
          </w:tcPr>
          <w:p w14:paraId="56B6994C">
            <w:pPr>
              <w:spacing w:line="240" w:lineRule="auto"/>
              <w:jc w:val="center"/>
              <w:rPr>
                <w:rFonts w:hint="eastAsia" w:ascii="楷体_GB2312" w:eastAsia="楷体_GB2312"/>
                <w:color w:val="auto"/>
                <w:sz w:val="24"/>
                <w:highlight w:val="none"/>
                <w:lang w:val="en-US" w:eastAsia="zh-CN"/>
              </w:rPr>
            </w:pPr>
            <w:r>
              <w:rPr>
                <w:rFonts w:hint="eastAsia" w:ascii="楷体_GB2312" w:eastAsia="楷体_GB2312"/>
                <w:color w:val="auto"/>
                <w:sz w:val="24"/>
                <w:highlight w:val="none"/>
                <w:lang w:val="en-US" w:eastAsia="zh-CN"/>
              </w:rPr>
              <w:t>乙方确认</w:t>
            </w:r>
          </w:p>
        </w:tc>
      </w:tr>
      <w:tr w14:paraId="48C58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14:paraId="0149F142">
            <w:pPr>
              <w:spacing w:line="240" w:lineRule="auto"/>
              <w:jc w:val="center"/>
              <w:rPr>
                <w:rFonts w:hint="eastAsia" w:ascii="楷体_GB2312" w:eastAsia="楷体_GB2312"/>
                <w:color w:val="auto"/>
                <w:sz w:val="24"/>
                <w:highlight w:val="none"/>
                <w:lang w:val="en-US" w:eastAsia="zh-CN"/>
              </w:rPr>
            </w:pPr>
          </w:p>
          <w:p w14:paraId="540B21B4">
            <w:pPr>
              <w:spacing w:line="240" w:lineRule="auto"/>
              <w:jc w:val="center"/>
              <w:rPr>
                <w:rFonts w:hint="eastAsia" w:ascii="楷体_GB2312" w:eastAsia="楷体_GB2312"/>
                <w:color w:val="auto"/>
                <w:sz w:val="24"/>
                <w:highlight w:val="none"/>
                <w:lang w:val="en-US" w:eastAsia="zh-CN"/>
              </w:rPr>
            </w:pPr>
          </w:p>
        </w:tc>
        <w:tc>
          <w:tcPr>
            <w:tcW w:w="1992" w:type="dxa"/>
            <w:vAlign w:val="center"/>
          </w:tcPr>
          <w:p w14:paraId="2CB17465">
            <w:pPr>
              <w:spacing w:line="240" w:lineRule="auto"/>
              <w:jc w:val="center"/>
              <w:rPr>
                <w:rFonts w:hint="eastAsia" w:ascii="楷体_GB2312" w:eastAsia="楷体_GB2312"/>
                <w:color w:val="auto"/>
                <w:sz w:val="24"/>
                <w:highlight w:val="none"/>
                <w:lang w:val="en-US" w:eastAsia="zh-CN"/>
              </w:rPr>
            </w:pPr>
          </w:p>
        </w:tc>
        <w:tc>
          <w:tcPr>
            <w:tcW w:w="1992" w:type="dxa"/>
            <w:vAlign w:val="center"/>
          </w:tcPr>
          <w:p w14:paraId="12BD0244">
            <w:pPr>
              <w:spacing w:line="240" w:lineRule="auto"/>
              <w:jc w:val="center"/>
              <w:rPr>
                <w:rFonts w:hint="eastAsia" w:ascii="楷体_GB2312" w:eastAsia="楷体_GB2312"/>
                <w:color w:val="auto"/>
                <w:sz w:val="24"/>
                <w:highlight w:val="none"/>
                <w:lang w:val="en-US" w:eastAsia="zh-CN"/>
              </w:rPr>
            </w:pPr>
          </w:p>
        </w:tc>
        <w:tc>
          <w:tcPr>
            <w:tcW w:w="1993" w:type="dxa"/>
            <w:vAlign w:val="center"/>
          </w:tcPr>
          <w:p w14:paraId="61417779">
            <w:pPr>
              <w:spacing w:line="240" w:lineRule="auto"/>
              <w:jc w:val="center"/>
              <w:rPr>
                <w:rFonts w:hint="eastAsia" w:ascii="楷体_GB2312" w:eastAsia="楷体_GB2312"/>
                <w:color w:val="auto"/>
                <w:sz w:val="24"/>
                <w:highlight w:val="none"/>
                <w:lang w:val="en-US" w:eastAsia="zh-CN"/>
              </w:rPr>
            </w:pPr>
          </w:p>
        </w:tc>
        <w:tc>
          <w:tcPr>
            <w:tcW w:w="1993" w:type="dxa"/>
            <w:vAlign w:val="center"/>
          </w:tcPr>
          <w:p w14:paraId="17E96772">
            <w:pPr>
              <w:spacing w:line="240" w:lineRule="auto"/>
              <w:jc w:val="center"/>
              <w:rPr>
                <w:rFonts w:hint="eastAsia" w:ascii="楷体_GB2312" w:eastAsia="楷体_GB2312"/>
                <w:color w:val="auto"/>
                <w:sz w:val="24"/>
                <w:highlight w:val="none"/>
                <w:lang w:val="en-US" w:eastAsia="zh-CN"/>
              </w:rPr>
            </w:pPr>
          </w:p>
        </w:tc>
      </w:tr>
    </w:tbl>
    <w:p w14:paraId="4661AC96">
      <w:pPr>
        <w:rPr>
          <w:rFonts w:hint="eastAsia"/>
          <w:color w:val="auto"/>
          <w:highlight w:val="none"/>
          <w:lang w:val="en-US" w:eastAsia="zh-CN"/>
        </w:rPr>
      </w:pPr>
    </w:p>
    <w:p w14:paraId="208768C9">
      <w:pPr>
        <w:rPr>
          <w:rFonts w:ascii="楷体" w:hAnsi="楷体" w:eastAsia="楷体" w:cs="楷体_GB2312"/>
          <w:color w:val="auto"/>
          <w:sz w:val="24"/>
          <w:highlight w:val="none"/>
        </w:rPr>
      </w:pPr>
    </w:p>
    <w:p w14:paraId="6D41F354">
      <w:pPr>
        <w:rPr>
          <w:rFonts w:ascii="楷体" w:hAnsi="楷体" w:eastAsia="楷体" w:cs="楷体_GB2312"/>
          <w:color w:val="auto"/>
          <w:sz w:val="24"/>
          <w:highlight w:val="none"/>
        </w:rPr>
      </w:pPr>
    </w:p>
    <w:p w14:paraId="100F6095">
      <w:pPr>
        <w:rPr>
          <w:rFonts w:ascii="楷体" w:hAnsi="楷体" w:eastAsia="楷体" w:cs="楷体_GB2312"/>
          <w:color w:val="auto"/>
          <w:sz w:val="24"/>
          <w:highlight w:val="none"/>
        </w:rPr>
      </w:pPr>
    </w:p>
    <w:p w14:paraId="2496595C">
      <w:pPr>
        <w:spacing w:line="400" w:lineRule="exact"/>
        <w:jc w:val="center"/>
        <w:rPr>
          <w:rFonts w:ascii="楷体" w:hAnsi="楷体" w:eastAsia="楷体" w:cs="楷体_GB2312"/>
          <w:color w:val="auto"/>
          <w:sz w:val="24"/>
          <w:highlight w:val="none"/>
        </w:rPr>
      </w:pPr>
      <w:r>
        <w:rPr>
          <w:rFonts w:hint="eastAsia" w:ascii="楷体" w:hAnsi="楷体" w:eastAsia="楷体" w:cs="楷体_GB2312"/>
          <w:b/>
          <w:bCs/>
          <w:color w:val="auto"/>
          <w:sz w:val="28"/>
          <w:szCs w:val="28"/>
          <w:highlight w:val="none"/>
        </w:rPr>
        <w:t>员工岗位物料配备表</w:t>
      </w:r>
    </w:p>
    <w:tbl>
      <w:tblPr>
        <w:tblStyle w:val="4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5"/>
        <w:gridCol w:w="4426"/>
        <w:gridCol w:w="3795"/>
      </w:tblGrid>
      <w:tr w14:paraId="72465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461" w:type="pct"/>
            <w:vAlign w:val="center"/>
          </w:tcPr>
          <w:p w14:paraId="00FB41A8">
            <w:pPr>
              <w:spacing w:line="400" w:lineRule="exact"/>
              <w:jc w:val="center"/>
              <w:rPr>
                <w:rFonts w:ascii="楷体" w:hAnsi="楷体" w:eastAsia="楷体" w:cs="楷体_GB2312"/>
                <w:color w:val="auto"/>
                <w:sz w:val="24"/>
                <w:highlight w:val="none"/>
              </w:rPr>
            </w:pPr>
            <w:r>
              <w:rPr>
                <w:rFonts w:hint="eastAsia" w:ascii="楷体" w:hAnsi="楷体" w:eastAsia="楷体" w:cs="楷体_GB2312"/>
                <w:color w:val="auto"/>
                <w:sz w:val="24"/>
                <w:highlight w:val="none"/>
              </w:rPr>
              <w:t>序号</w:t>
            </w:r>
          </w:p>
        </w:tc>
        <w:tc>
          <w:tcPr>
            <w:tcW w:w="2443" w:type="pct"/>
            <w:vAlign w:val="center"/>
          </w:tcPr>
          <w:p w14:paraId="09453A41">
            <w:pPr>
              <w:spacing w:line="400" w:lineRule="exact"/>
              <w:jc w:val="center"/>
              <w:rPr>
                <w:rFonts w:ascii="楷体" w:hAnsi="楷体" w:eastAsia="楷体" w:cs="楷体_GB2312"/>
                <w:color w:val="auto"/>
                <w:sz w:val="24"/>
                <w:highlight w:val="none"/>
              </w:rPr>
            </w:pPr>
            <w:r>
              <w:rPr>
                <w:rFonts w:hint="eastAsia" w:ascii="楷体" w:hAnsi="楷体" w:eastAsia="楷体" w:cs="楷体_GB2312"/>
                <w:color w:val="auto"/>
                <w:sz w:val="24"/>
                <w:highlight w:val="none"/>
              </w:rPr>
              <w:t>物品明细</w:t>
            </w:r>
          </w:p>
        </w:tc>
        <w:tc>
          <w:tcPr>
            <w:tcW w:w="2095" w:type="pct"/>
            <w:vAlign w:val="center"/>
          </w:tcPr>
          <w:p w14:paraId="6AB8FD0E">
            <w:pPr>
              <w:spacing w:line="400" w:lineRule="exact"/>
              <w:jc w:val="center"/>
              <w:rPr>
                <w:rFonts w:ascii="楷体" w:hAnsi="楷体" w:eastAsia="楷体" w:cs="楷体_GB2312"/>
                <w:color w:val="auto"/>
                <w:sz w:val="24"/>
                <w:highlight w:val="none"/>
              </w:rPr>
            </w:pPr>
            <w:r>
              <w:rPr>
                <w:rFonts w:hint="eastAsia" w:ascii="楷体" w:hAnsi="楷体" w:eastAsia="楷体" w:cs="楷体_GB2312"/>
                <w:color w:val="auto"/>
                <w:sz w:val="24"/>
                <w:highlight w:val="none"/>
              </w:rPr>
              <w:t>备注</w:t>
            </w:r>
          </w:p>
        </w:tc>
      </w:tr>
      <w:tr w14:paraId="19F3F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461" w:type="pct"/>
            <w:vAlign w:val="center"/>
          </w:tcPr>
          <w:p w14:paraId="3E7FB4F4">
            <w:pPr>
              <w:spacing w:line="400" w:lineRule="exact"/>
              <w:jc w:val="center"/>
              <w:rPr>
                <w:rFonts w:ascii="楷体" w:hAnsi="楷体" w:eastAsia="楷体" w:cs="楷体_GB2312"/>
                <w:color w:val="auto"/>
                <w:sz w:val="24"/>
                <w:highlight w:val="none"/>
              </w:rPr>
            </w:pPr>
            <w:r>
              <w:rPr>
                <w:rFonts w:hint="eastAsia" w:ascii="楷体" w:hAnsi="楷体" w:eastAsia="楷体" w:cs="楷体_GB2312"/>
                <w:color w:val="auto"/>
                <w:sz w:val="24"/>
                <w:highlight w:val="none"/>
              </w:rPr>
              <w:t>1</w:t>
            </w:r>
          </w:p>
        </w:tc>
        <w:tc>
          <w:tcPr>
            <w:tcW w:w="2443" w:type="pct"/>
            <w:vAlign w:val="center"/>
          </w:tcPr>
          <w:p w14:paraId="735CDF73">
            <w:pPr>
              <w:spacing w:line="400" w:lineRule="exact"/>
              <w:jc w:val="center"/>
              <w:rPr>
                <w:rFonts w:ascii="楷体" w:hAnsi="楷体" w:eastAsia="楷体" w:cs="楷体_GB2312"/>
                <w:color w:val="auto"/>
                <w:sz w:val="24"/>
                <w:highlight w:val="none"/>
              </w:rPr>
            </w:pPr>
          </w:p>
        </w:tc>
        <w:tc>
          <w:tcPr>
            <w:tcW w:w="2095" w:type="pct"/>
            <w:vAlign w:val="center"/>
          </w:tcPr>
          <w:p w14:paraId="7C83B37F">
            <w:pPr>
              <w:spacing w:line="400" w:lineRule="exact"/>
              <w:jc w:val="center"/>
              <w:rPr>
                <w:rFonts w:ascii="楷体" w:hAnsi="楷体" w:eastAsia="楷体" w:cs="楷体_GB2312"/>
                <w:color w:val="auto"/>
                <w:sz w:val="24"/>
                <w:highlight w:val="none"/>
              </w:rPr>
            </w:pPr>
          </w:p>
        </w:tc>
      </w:tr>
      <w:tr w14:paraId="56571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trPr>
        <w:tc>
          <w:tcPr>
            <w:tcW w:w="461" w:type="pct"/>
            <w:vAlign w:val="center"/>
          </w:tcPr>
          <w:p w14:paraId="7198550D">
            <w:pPr>
              <w:spacing w:line="400" w:lineRule="exact"/>
              <w:jc w:val="center"/>
              <w:rPr>
                <w:rFonts w:ascii="楷体" w:hAnsi="楷体" w:eastAsia="楷体" w:cs="楷体_GB2312"/>
                <w:color w:val="auto"/>
                <w:sz w:val="24"/>
                <w:highlight w:val="none"/>
              </w:rPr>
            </w:pPr>
            <w:r>
              <w:rPr>
                <w:rFonts w:hint="eastAsia" w:ascii="楷体" w:hAnsi="楷体" w:eastAsia="楷体" w:cs="楷体_GB2312"/>
                <w:color w:val="auto"/>
                <w:sz w:val="24"/>
                <w:highlight w:val="none"/>
              </w:rPr>
              <w:t>2</w:t>
            </w:r>
          </w:p>
        </w:tc>
        <w:tc>
          <w:tcPr>
            <w:tcW w:w="2443" w:type="pct"/>
            <w:vAlign w:val="center"/>
          </w:tcPr>
          <w:p w14:paraId="09BA1056">
            <w:pPr>
              <w:spacing w:line="400" w:lineRule="exact"/>
              <w:jc w:val="center"/>
              <w:rPr>
                <w:rFonts w:ascii="楷体" w:hAnsi="楷体" w:eastAsia="楷体" w:cs="楷体_GB2312"/>
                <w:color w:val="auto"/>
                <w:sz w:val="24"/>
                <w:highlight w:val="none"/>
              </w:rPr>
            </w:pPr>
          </w:p>
        </w:tc>
        <w:tc>
          <w:tcPr>
            <w:tcW w:w="2095" w:type="pct"/>
            <w:vAlign w:val="center"/>
          </w:tcPr>
          <w:p w14:paraId="5C2BA791">
            <w:pPr>
              <w:spacing w:line="400" w:lineRule="exact"/>
              <w:jc w:val="center"/>
              <w:rPr>
                <w:rFonts w:ascii="楷体" w:hAnsi="楷体" w:eastAsia="楷体" w:cs="楷体_GB2312"/>
                <w:color w:val="auto"/>
                <w:sz w:val="24"/>
                <w:highlight w:val="none"/>
              </w:rPr>
            </w:pPr>
          </w:p>
        </w:tc>
      </w:tr>
      <w:tr w14:paraId="78BCA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461" w:type="pct"/>
            <w:vAlign w:val="center"/>
          </w:tcPr>
          <w:p w14:paraId="2895BD0F">
            <w:pPr>
              <w:spacing w:line="400" w:lineRule="exact"/>
              <w:jc w:val="center"/>
              <w:rPr>
                <w:rFonts w:ascii="楷体" w:hAnsi="楷体" w:eastAsia="楷体" w:cs="楷体_GB2312"/>
                <w:color w:val="auto"/>
                <w:sz w:val="24"/>
                <w:highlight w:val="none"/>
              </w:rPr>
            </w:pPr>
            <w:r>
              <w:rPr>
                <w:rFonts w:hint="eastAsia" w:ascii="楷体" w:hAnsi="楷体" w:eastAsia="楷体" w:cs="楷体_GB2312"/>
                <w:color w:val="auto"/>
                <w:sz w:val="24"/>
                <w:highlight w:val="none"/>
              </w:rPr>
              <w:t>3</w:t>
            </w:r>
          </w:p>
        </w:tc>
        <w:tc>
          <w:tcPr>
            <w:tcW w:w="2443" w:type="pct"/>
            <w:vAlign w:val="center"/>
          </w:tcPr>
          <w:p w14:paraId="25FEAAFB">
            <w:pPr>
              <w:spacing w:line="400" w:lineRule="exact"/>
              <w:jc w:val="center"/>
              <w:rPr>
                <w:rFonts w:ascii="楷体" w:hAnsi="楷体" w:eastAsia="楷体" w:cs="楷体_GB2312"/>
                <w:color w:val="auto"/>
                <w:sz w:val="24"/>
                <w:highlight w:val="none"/>
              </w:rPr>
            </w:pPr>
          </w:p>
        </w:tc>
        <w:tc>
          <w:tcPr>
            <w:tcW w:w="2095" w:type="pct"/>
            <w:vAlign w:val="center"/>
          </w:tcPr>
          <w:p w14:paraId="4F945CA4">
            <w:pPr>
              <w:spacing w:line="400" w:lineRule="exact"/>
              <w:jc w:val="center"/>
              <w:rPr>
                <w:rFonts w:ascii="楷体" w:hAnsi="楷体" w:eastAsia="楷体" w:cs="楷体_GB2312"/>
                <w:color w:val="auto"/>
                <w:sz w:val="24"/>
                <w:highlight w:val="none"/>
              </w:rPr>
            </w:pPr>
          </w:p>
        </w:tc>
      </w:tr>
      <w:tr w14:paraId="18781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461" w:type="pct"/>
            <w:vAlign w:val="center"/>
          </w:tcPr>
          <w:p w14:paraId="1BDABAF3">
            <w:pPr>
              <w:spacing w:line="400" w:lineRule="exact"/>
              <w:jc w:val="center"/>
              <w:rPr>
                <w:rFonts w:ascii="楷体" w:hAnsi="楷体" w:eastAsia="楷体" w:cs="楷体_GB2312"/>
                <w:color w:val="auto"/>
                <w:sz w:val="24"/>
                <w:highlight w:val="none"/>
              </w:rPr>
            </w:pPr>
            <w:r>
              <w:rPr>
                <w:rFonts w:hint="eastAsia" w:ascii="楷体" w:hAnsi="楷体" w:eastAsia="楷体" w:cs="楷体_GB2312"/>
                <w:color w:val="auto"/>
                <w:sz w:val="24"/>
                <w:highlight w:val="none"/>
              </w:rPr>
              <w:t>4</w:t>
            </w:r>
          </w:p>
        </w:tc>
        <w:tc>
          <w:tcPr>
            <w:tcW w:w="2443" w:type="pct"/>
            <w:vAlign w:val="center"/>
          </w:tcPr>
          <w:p w14:paraId="3E27E5A4">
            <w:pPr>
              <w:spacing w:line="400" w:lineRule="exact"/>
              <w:jc w:val="center"/>
              <w:rPr>
                <w:rFonts w:ascii="楷体" w:hAnsi="楷体" w:eastAsia="楷体" w:cs="楷体_GB2312"/>
                <w:color w:val="auto"/>
                <w:sz w:val="24"/>
                <w:highlight w:val="none"/>
              </w:rPr>
            </w:pPr>
          </w:p>
        </w:tc>
        <w:tc>
          <w:tcPr>
            <w:tcW w:w="2095" w:type="pct"/>
            <w:vAlign w:val="center"/>
          </w:tcPr>
          <w:p w14:paraId="21FE1962">
            <w:pPr>
              <w:spacing w:line="400" w:lineRule="exact"/>
              <w:jc w:val="center"/>
              <w:rPr>
                <w:rFonts w:ascii="楷体" w:hAnsi="楷体" w:eastAsia="楷体" w:cs="楷体_GB2312"/>
                <w:color w:val="auto"/>
                <w:sz w:val="24"/>
                <w:highlight w:val="none"/>
              </w:rPr>
            </w:pPr>
          </w:p>
        </w:tc>
      </w:tr>
      <w:tr w14:paraId="7A678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461" w:type="pct"/>
            <w:vAlign w:val="center"/>
          </w:tcPr>
          <w:p w14:paraId="2BB79151">
            <w:pPr>
              <w:spacing w:line="400" w:lineRule="exact"/>
              <w:jc w:val="center"/>
              <w:rPr>
                <w:rFonts w:ascii="楷体" w:hAnsi="楷体" w:eastAsia="楷体" w:cs="楷体_GB2312"/>
                <w:color w:val="auto"/>
                <w:sz w:val="24"/>
                <w:highlight w:val="none"/>
              </w:rPr>
            </w:pPr>
            <w:r>
              <w:rPr>
                <w:rFonts w:hint="eastAsia" w:ascii="楷体" w:hAnsi="楷体" w:eastAsia="楷体" w:cs="楷体_GB2312"/>
                <w:color w:val="auto"/>
                <w:sz w:val="24"/>
                <w:highlight w:val="none"/>
              </w:rPr>
              <w:t>5</w:t>
            </w:r>
          </w:p>
        </w:tc>
        <w:tc>
          <w:tcPr>
            <w:tcW w:w="2443" w:type="pct"/>
            <w:vAlign w:val="center"/>
          </w:tcPr>
          <w:p w14:paraId="303737A4">
            <w:pPr>
              <w:spacing w:line="400" w:lineRule="exact"/>
              <w:jc w:val="center"/>
              <w:rPr>
                <w:rFonts w:ascii="楷体" w:hAnsi="楷体" w:eastAsia="楷体" w:cs="楷体_GB2312"/>
                <w:color w:val="auto"/>
                <w:sz w:val="24"/>
                <w:highlight w:val="none"/>
              </w:rPr>
            </w:pPr>
          </w:p>
        </w:tc>
        <w:tc>
          <w:tcPr>
            <w:tcW w:w="2095" w:type="pct"/>
            <w:vAlign w:val="center"/>
          </w:tcPr>
          <w:p w14:paraId="43F0CC41">
            <w:pPr>
              <w:spacing w:line="400" w:lineRule="exact"/>
              <w:jc w:val="center"/>
              <w:rPr>
                <w:rFonts w:ascii="楷体" w:hAnsi="楷体" w:eastAsia="楷体" w:cs="楷体_GB2312"/>
                <w:color w:val="auto"/>
                <w:sz w:val="24"/>
                <w:highlight w:val="none"/>
              </w:rPr>
            </w:pPr>
          </w:p>
        </w:tc>
      </w:tr>
      <w:tr w14:paraId="7EB84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61" w:type="pct"/>
            <w:vAlign w:val="center"/>
          </w:tcPr>
          <w:p w14:paraId="3C5F8EEE">
            <w:pPr>
              <w:spacing w:line="400" w:lineRule="exact"/>
              <w:jc w:val="center"/>
              <w:rPr>
                <w:rFonts w:ascii="楷体" w:hAnsi="楷体" w:eastAsia="楷体" w:cs="楷体_GB2312"/>
                <w:color w:val="auto"/>
                <w:sz w:val="24"/>
                <w:highlight w:val="none"/>
              </w:rPr>
            </w:pPr>
            <w:r>
              <w:rPr>
                <w:rFonts w:hint="eastAsia" w:ascii="楷体" w:hAnsi="楷体" w:eastAsia="楷体" w:cs="楷体_GB2312"/>
                <w:color w:val="auto"/>
                <w:sz w:val="24"/>
                <w:highlight w:val="none"/>
              </w:rPr>
              <w:t>6</w:t>
            </w:r>
          </w:p>
        </w:tc>
        <w:tc>
          <w:tcPr>
            <w:tcW w:w="2443" w:type="pct"/>
            <w:vAlign w:val="center"/>
          </w:tcPr>
          <w:p w14:paraId="025B5182">
            <w:pPr>
              <w:spacing w:line="400" w:lineRule="exact"/>
              <w:jc w:val="center"/>
              <w:rPr>
                <w:rFonts w:ascii="楷体" w:hAnsi="楷体" w:eastAsia="楷体" w:cs="楷体_GB2312"/>
                <w:color w:val="auto"/>
                <w:sz w:val="24"/>
                <w:highlight w:val="none"/>
              </w:rPr>
            </w:pPr>
          </w:p>
        </w:tc>
        <w:tc>
          <w:tcPr>
            <w:tcW w:w="2095" w:type="pct"/>
            <w:vAlign w:val="center"/>
          </w:tcPr>
          <w:p w14:paraId="507FA7AA">
            <w:pPr>
              <w:spacing w:line="400" w:lineRule="exact"/>
              <w:jc w:val="center"/>
              <w:rPr>
                <w:rFonts w:ascii="楷体" w:hAnsi="楷体" w:eastAsia="楷体" w:cs="楷体_GB2312"/>
                <w:color w:val="auto"/>
                <w:sz w:val="24"/>
                <w:highlight w:val="none"/>
              </w:rPr>
            </w:pPr>
          </w:p>
        </w:tc>
      </w:tr>
      <w:tr w14:paraId="2B0FE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461" w:type="pct"/>
            <w:vAlign w:val="center"/>
          </w:tcPr>
          <w:p w14:paraId="31626158">
            <w:pPr>
              <w:spacing w:line="400" w:lineRule="exact"/>
              <w:jc w:val="center"/>
              <w:rPr>
                <w:rFonts w:ascii="楷体" w:hAnsi="楷体" w:eastAsia="楷体" w:cs="楷体_GB2312"/>
                <w:color w:val="auto"/>
                <w:sz w:val="24"/>
                <w:highlight w:val="none"/>
              </w:rPr>
            </w:pPr>
            <w:r>
              <w:rPr>
                <w:rFonts w:hint="eastAsia" w:ascii="楷体" w:hAnsi="楷体" w:eastAsia="楷体" w:cs="楷体_GB2312"/>
                <w:color w:val="auto"/>
                <w:sz w:val="24"/>
                <w:highlight w:val="none"/>
              </w:rPr>
              <w:t>7</w:t>
            </w:r>
          </w:p>
        </w:tc>
        <w:tc>
          <w:tcPr>
            <w:tcW w:w="2443" w:type="pct"/>
            <w:vAlign w:val="center"/>
          </w:tcPr>
          <w:p w14:paraId="6E33CAB1">
            <w:pPr>
              <w:spacing w:line="400" w:lineRule="exact"/>
              <w:jc w:val="center"/>
              <w:rPr>
                <w:rFonts w:ascii="楷体" w:hAnsi="楷体" w:eastAsia="楷体" w:cs="楷体_GB2312"/>
                <w:color w:val="auto"/>
                <w:sz w:val="24"/>
                <w:highlight w:val="none"/>
              </w:rPr>
            </w:pPr>
          </w:p>
        </w:tc>
        <w:tc>
          <w:tcPr>
            <w:tcW w:w="2095" w:type="pct"/>
            <w:vAlign w:val="center"/>
          </w:tcPr>
          <w:p w14:paraId="0E3CC2DE">
            <w:pPr>
              <w:spacing w:line="400" w:lineRule="exact"/>
              <w:jc w:val="center"/>
              <w:rPr>
                <w:rFonts w:ascii="楷体" w:hAnsi="楷体" w:eastAsia="楷体" w:cs="楷体_GB2312"/>
                <w:color w:val="auto"/>
                <w:sz w:val="24"/>
                <w:highlight w:val="none"/>
              </w:rPr>
            </w:pPr>
          </w:p>
        </w:tc>
      </w:tr>
      <w:tr w14:paraId="28322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461" w:type="pct"/>
            <w:vAlign w:val="center"/>
          </w:tcPr>
          <w:p w14:paraId="54F4681E">
            <w:pPr>
              <w:spacing w:line="400" w:lineRule="exact"/>
              <w:jc w:val="center"/>
              <w:rPr>
                <w:rFonts w:ascii="楷体" w:hAnsi="楷体" w:eastAsia="楷体" w:cs="楷体_GB2312"/>
                <w:color w:val="auto"/>
                <w:sz w:val="24"/>
                <w:highlight w:val="none"/>
              </w:rPr>
            </w:pPr>
            <w:r>
              <w:rPr>
                <w:rFonts w:hint="eastAsia" w:ascii="楷体" w:hAnsi="楷体" w:eastAsia="楷体" w:cs="楷体_GB2312"/>
                <w:color w:val="auto"/>
                <w:sz w:val="24"/>
                <w:highlight w:val="none"/>
              </w:rPr>
              <w:t>8</w:t>
            </w:r>
          </w:p>
        </w:tc>
        <w:tc>
          <w:tcPr>
            <w:tcW w:w="2443" w:type="pct"/>
            <w:vAlign w:val="center"/>
          </w:tcPr>
          <w:p w14:paraId="02B74BD3">
            <w:pPr>
              <w:spacing w:line="400" w:lineRule="exact"/>
              <w:jc w:val="center"/>
              <w:rPr>
                <w:rFonts w:ascii="楷体" w:hAnsi="楷体" w:eastAsia="楷体" w:cs="楷体_GB2312"/>
                <w:color w:val="auto"/>
                <w:sz w:val="24"/>
                <w:highlight w:val="none"/>
              </w:rPr>
            </w:pPr>
          </w:p>
        </w:tc>
        <w:tc>
          <w:tcPr>
            <w:tcW w:w="2095" w:type="pct"/>
            <w:vAlign w:val="center"/>
          </w:tcPr>
          <w:p w14:paraId="2E94F7D6">
            <w:pPr>
              <w:spacing w:line="400" w:lineRule="exact"/>
              <w:jc w:val="center"/>
              <w:rPr>
                <w:rFonts w:ascii="楷体" w:hAnsi="楷体" w:eastAsia="楷体" w:cs="楷体_GB2312"/>
                <w:color w:val="auto"/>
                <w:sz w:val="24"/>
                <w:highlight w:val="none"/>
              </w:rPr>
            </w:pPr>
          </w:p>
        </w:tc>
      </w:tr>
      <w:tr w14:paraId="70F56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461" w:type="pct"/>
            <w:vAlign w:val="center"/>
          </w:tcPr>
          <w:p w14:paraId="02A2A751">
            <w:pPr>
              <w:spacing w:line="400" w:lineRule="exact"/>
              <w:jc w:val="center"/>
              <w:rPr>
                <w:rFonts w:ascii="楷体" w:hAnsi="楷体" w:eastAsia="楷体" w:cs="楷体_GB2312"/>
                <w:color w:val="auto"/>
                <w:sz w:val="24"/>
                <w:highlight w:val="none"/>
              </w:rPr>
            </w:pPr>
            <w:r>
              <w:rPr>
                <w:rFonts w:hint="eastAsia" w:ascii="楷体" w:hAnsi="楷体" w:eastAsia="楷体" w:cs="楷体_GB2312"/>
                <w:color w:val="auto"/>
                <w:sz w:val="24"/>
                <w:highlight w:val="none"/>
              </w:rPr>
              <w:t>9</w:t>
            </w:r>
          </w:p>
        </w:tc>
        <w:tc>
          <w:tcPr>
            <w:tcW w:w="2443" w:type="pct"/>
            <w:vAlign w:val="center"/>
          </w:tcPr>
          <w:p w14:paraId="456D38C9">
            <w:pPr>
              <w:spacing w:line="400" w:lineRule="exact"/>
              <w:jc w:val="center"/>
              <w:rPr>
                <w:rFonts w:ascii="楷体" w:hAnsi="楷体" w:eastAsia="楷体" w:cs="楷体_GB2312"/>
                <w:color w:val="auto"/>
                <w:sz w:val="24"/>
                <w:highlight w:val="none"/>
              </w:rPr>
            </w:pPr>
          </w:p>
        </w:tc>
        <w:tc>
          <w:tcPr>
            <w:tcW w:w="2095" w:type="pct"/>
            <w:vAlign w:val="center"/>
          </w:tcPr>
          <w:p w14:paraId="3052E292">
            <w:pPr>
              <w:spacing w:line="400" w:lineRule="exact"/>
              <w:jc w:val="center"/>
              <w:rPr>
                <w:rFonts w:ascii="楷体" w:hAnsi="楷体" w:eastAsia="楷体" w:cs="楷体_GB2312"/>
                <w:color w:val="auto"/>
                <w:sz w:val="24"/>
                <w:highlight w:val="none"/>
              </w:rPr>
            </w:pPr>
          </w:p>
        </w:tc>
      </w:tr>
      <w:tr w14:paraId="45978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461" w:type="pct"/>
            <w:vAlign w:val="center"/>
          </w:tcPr>
          <w:p w14:paraId="7D7F24C8">
            <w:pPr>
              <w:spacing w:line="400" w:lineRule="exact"/>
              <w:jc w:val="center"/>
              <w:rPr>
                <w:rFonts w:ascii="楷体" w:hAnsi="楷体" w:eastAsia="楷体" w:cs="楷体_GB2312"/>
                <w:color w:val="auto"/>
                <w:sz w:val="24"/>
                <w:highlight w:val="none"/>
              </w:rPr>
            </w:pPr>
            <w:r>
              <w:rPr>
                <w:rFonts w:hint="eastAsia" w:ascii="楷体" w:hAnsi="楷体" w:eastAsia="楷体" w:cs="楷体_GB2312"/>
                <w:color w:val="auto"/>
                <w:sz w:val="24"/>
                <w:highlight w:val="none"/>
              </w:rPr>
              <w:t>10</w:t>
            </w:r>
          </w:p>
        </w:tc>
        <w:tc>
          <w:tcPr>
            <w:tcW w:w="2443" w:type="pct"/>
            <w:vAlign w:val="center"/>
          </w:tcPr>
          <w:p w14:paraId="7A9F4865">
            <w:pPr>
              <w:spacing w:line="400" w:lineRule="exact"/>
              <w:jc w:val="center"/>
              <w:rPr>
                <w:rFonts w:ascii="楷体" w:hAnsi="楷体" w:eastAsia="楷体" w:cs="楷体_GB2312"/>
                <w:color w:val="auto"/>
                <w:sz w:val="24"/>
                <w:highlight w:val="none"/>
              </w:rPr>
            </w:pPr>
          </w:p>
        </w:tc>
        <w:tc>
          <w:tcPr>
            <w:tcW w:w="2095" w:type="pct"/>
            <w:vAlign w:val="center"/>
          </w:tcPr>
          <w:p w14:paraId="7681AD3E">
            <w:pPr>
              <w:spacing w:line="400" w:lineRule="exact"/>
              <w:jc w:val="center"/>
              <w:rPr>
                <w:rFonts w:ascii="楷体" w:hAnsi="楷体" w:eastAsia="楷体" w:cs="楷体_GB2312"/>
                <w:color w:val="auto"/>
                <w:sz w:val="24"/>
                <w:highlight w:val="none"/>
              </w:rPr>
            </w:pPr>
          </w:p>
        </w:tc>
      </w:tr>
      <w:tr w14:paraId="663CA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461" w:type="pct"/>
            <w:vAlign w:val="center"/>
          </w:tcPr>
          <w:p w14:paraId="6E4726C6">
            <w:pPr>
              <w:spacing w:line="400" w:lineRule="exact"/>
              <w:jc w:val="center"/>
              <w:rPr>
                <w:rFonts w:ascii="楷体" w:hAnsi="楷体" w:eastAsia="楷体" w:cs="楷体_GB2312"/>
                <w:color w:val="auto"/>
                <w:sz w:val="24"/>
                <w:highlight w:val="none"/>
              </w:rPr>
            </w:pPr>
            <w:r>
              <w:rPr>
                <w:rFonts w:hint="eastAsia" w:ascii="楷体" w:hAnsi="楷体" w:eastAsia="楷体" w:cs="楷体_GB2312"/>
                <w:color w:val="auto"/>
                <w:sz w:val="24"/>
                <w:highlight w:val="none"/>
              </w:rPr>
              <w:t>11</w:t>
            </w:r>
          </w:p>
        </w:tc>
        <w:tc>
          <w:tcPr>
            <w:tcW w:w="2443" w:type="pct"/>
            <w:vAlign w:val="center"/>
          </w:tcPr>
          <w:p w14:paraId="49E75ED8">
            <w:pPr>
              <w:spacing w:line="400" w:lineRule="exact"/>
              <w:jc w:val="center"/>
              <w:rPr>
                <w:rFonts w:ascii="楷体" w:hAnsi="楷体" w:eastAsia="楷体" w:cs="楷体_GB2312"/>
                <w:color w:val="auto"/>
                <w:sz w:val="24"/>
                <w:highlight w:val="none"/>
              </w:rPr>
            </w:pPr>
          </w:p>
        </w:tc>
        <w:tc>
          <w:tcPr>
            <w:tcW w:w="2095" w:type="pct"/>
            <w:vAlign w:val="center"/>
          </w:tcPr>
          <w:p w14:paraId="5F7FA9AE">
            <w:pPr>
              <w:spacing w:line="400" w:lineRule="exact"/>
              <w:jc w:val="center"/>
              <w:rPr>
                <w:rFonts w:ascii="楷体" w:hAnsi="楷体" w:eastAsia="楷体" w:cs="楷体_GB2312"/>
                <w:color w:val="auto"/>
                <w:sz w:val="24"/>
                <w:highlight w:val="none"/>
              </w:rPr>
            </w:pPr>
          </w:p>
        </w:tc>
      </w:tr>
      <w:tr w14:paraId="7AE4C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61" w:type="pct"/>
            <w:vAlign w:val="center"/>
          </w:tcPr>
          <w:p w14:paraId="398CDA33">
            <w:pPr>
              <w:spacing w:line="400" w:lineRule="exact"/>
              <w:jc w:val="center"/>
              <w:rPr>
                <w:rFonts w:ascii="楷体" w:hAnsi="楷体" w:eastAsia="楷体" w:cs="楷体_GB2312"/>
                <w:color w:val="auto"/>
                <w:sz w:val="24"/>
                <w:highlight w:val="none"/>
              </w:rPr>
            </w:pPr>
            <w:r>
              <w:rPr>
                <w:rFonts w:hint="eastAsia" w:ascii="楷体" w:hAnsi="楷体" w:eastAsia="楷体" w:cs="楷体_GB2312"/>
                <w:color w:val="auto"/>
                <w:sz w:val="24"/>
                <w:highlight w:val="none"/>
              </w:rPr>
              <w:t>12</w:t>
            </w:r>
          </w:p>
        </w:tc>
        <w:tc>
          <w:tcPr>
            <w:tcW w:w="2443" w:type="pct"/>
            <w:vAlign w:val="center"/>
          </w:tcPr>
          <w:p w14:paraId="7E6901F2">
            <w:pPr>
              <w:spacing w:line="400" w:lineRule="exact"/>
              <w:jc w:val="center"/>
              <w:rPr>
                <w:rFonts w:ascii="楷体" w:hAnsi="楷体" w:eastAsia="楷体" w:cs="楷体_GB2312"/>
                <w:color w:val="auto"/>
                <w:sz w:val="24"/>
                <w:highlight w:val="none"/>
              </w:rPr>
            </w:pPr>
          </w:p>
        </w:tc>
        <w:tc>
          <w:tcPr>
            <w:tcW w:w="2095" w:type="pct"/>
            <w:vAlign w:val="center"/>
          </w:tcPr>
          <w:p w14:paraId="4EFF3897">
            <w:pPr>
              <w:spacing w:line="400" w:lineRule="exact"/>
              <w:jc w:val="center"/>
              <w:rPr>
                <w:rFonts w:ascii="楷体" w:hAnsi="楷体" w:eastAsia="楷体" w:cs="楷体_GB2312"/>
                <w:color w:val="auto"/>
                <w:sz w:val="24"/>
                <w:highlight w:val="none"/>
              </w:rPr>
            </w:pPr>
          </w:p>
        </w:tc>
      </w:tr>
      <w:tr w14:paraId="27B53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461" w:type="pct"/>
            <w:vAlign w:val="center"/>
          </w:tcPr>
          <w:p w14:paraId="715D60C5">
            <w:pPr>
              <w:spacing w:line="400" w:lineRule="exact"/>
              <w:jc w:val="center"/>
              <w:rPr>
                <w:rFonts w:ascii="楷体" w:hAnsi="楷体" w:eastAsia="楷体" w:cs="楷体_GB2312"/>
                <w:color w:val="auto"/>
                <w:sz w:val="24"/>
                <w:highlight w:val="none"/>
              </w:rPr>
            </w:pPr>
            <w:r>
              <w:rPr>
                <w:rFonts w:hint="eastAsia" w:ascii="楷体" w:hAnsi="楷体" w:eastAsia="楷体" w:cs="楷体_GB2312"/>
                <w:color w:val="auto"/>
                <w:sz w:val="24"/>
                <w:highlight w:val="none"/>
              </w:rPr>
              <w:t>13</w:t>
            </w:r>
          </w:p>
        </w:tc>
        <w:tc>
          <w:tcPr>
            <w:tcW w:w="2443" w:type="pct"/>
            <w:vAlign w:val="center"/>
          </w:tcPr>
          <w:p w14:paraId="68582C73">
            <w:pPr>
              <w:spacing w:line="400" w:lineRule="exact"/>
              <w:jc w:val="center"/>
              <w:rPr>
                <w:rFonts w:ascii="楷体" w:hAnsi="楷体" w:eastAsia="楷体" w:cs="楷体_GB2312"/>
                <w:color w:val="auto"/>
                <w:sz w:val="24"/>
                <w:highlight w:val="none"/>
              </w:rPr>
            </w:pPr>
          </w:p>
        </w:tc>
        <w:tc>
          <w:tcPr>
            <w:tcW w:w="2095" w:type="pct"/>
            <w:vAlign w:val="center"/>
          </w:tcPr>
          <w:p w14:paraId="71F88203">
            <w:pPr>
              <w:spacing w:line="400" w:lineRule="exact"/>
              <w:jc w:val="center"/>
              <w:rPr>
                <w:rFonts w:ascii="楷体" w:hAnsi="楷体" w:eastAsia="楷体" w:cs="楷体_GB2312"/>
                <w:color w:val="auto"/>
                <w:sz w:val="24"/>
                <w:highlight w:val="none"/>
              </w:rPr>
            </w:pPr>
          </w:p>
        </w:tc>
      </w:tr>
      <w:tr w14:paraId="124D9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61" w:type="pct"/>
            <w:vAlign w:val="center"/>
          </w:tcPr>
          <w:p w14:paraId="141F5CD3">
            <w:pPr>
              <w:spacing w:line="400" w:lineRule="exact"/>
              <w:jc w:val="center"/>
              <w:rPr>
                <w:rFonts w:ascii="楷体" w:hAnsi="楷体" w:eastAsia="楷体" w:cs="楷体_GB2312"/>
                <w:color w:val="auto"/>
                <w:sz w:val="24"/>
                <w:highlight w:val="none"/>
              </w:rPr>
            </w:pPr>
            <w:r>
              <w:rPr>
                <w:rFonts w:hint="eastAsia" w:ascii="楷体" w:hAnsi="楷体" w:eastAsia="楷体" w:cs="楷体_GB2312"/>
                <w:color w:val="auto"/>
                <w:sz w:val="24"/>
                <w:highlight w:val="none"/>
              </w:rPr>
              <w:t>14</w:t>
            </w:r>
          </w:p>
        </w:tc>
        <w:tc>
          <w:tcPr>
            <w:tcW w:w="2443" w:type="pct"/>
            <w:vAlign w:val="center"/>
          </w:tcPr>
          <w:p w14:paraId="2CABD2D5">
            <w:pPr>
              <w:spacing w:line="400" w:lineRule="exact"/>
              <w:jc w:val="center"/>
              <w:rPr>
                <w:rFonts w:ascii="楷体" w:hAnsi="楷体" w:eastAsia="楷体" w:cs="楷体_GB2312"/>
                <w:color w:val="auto"/>
                <w:sz w:val="24"/>
                <w:highlight w:val="none"/>
              </w:rPr>
            </w:pPr>
          </w:p>
        </w:tc>
        <w:tc>
          <w:tcPr>
            <w:tcW w:w="2095" w:type="pct"/>
            <w:vAlign w:val="center"/>
          </w:tcPr>
          <w:p w14:paraId="5EFCAA5D">
            <w:pPr>
              <w:spacing w:line="400" w:lineRule="exact"/>
              <w:jc w:val="center"/>
              <w:rPr>
                <w:rFonts w:ascii="楷体" w:hAnsi="楷体" w:eastAsia="楷体" w:cs="楷体_GB2312"/>
                <w:color w:val="auto"/>
                <w:sz w:val="24"/>
                <w:highlight w:val="none"/>
              </w:rPr>
            </w:pPr>
          </w:p>
        </w:tc>
      </w:tr>
      <w:tr w14:paraId="0A17A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461" w:type="pct"/>
            <w:vAlign w:val="center"/>
          </w:tcPr>
          <w:p w14:paraId="37940076">
            <w:pPr>
              <w:spacing w:line="400" w:lineRule="exact"/>
              <w:jc w:val="center"/>
              <w:rPr>
                <w:rFonts w:ascii="楷体" w:hAnsi="楷体" w:eastAsia="楷体" w:cs="楷体_GB2312"/>
                <w:color w:val="auto"/>
                <w:sz w:val="24"/>
                <w:highlight w:val="none"/>
              </w:rPr>
            </w:pPr>
            <w:r>
              <w:rPr>
                <w:rFonts w:hint="eastAsia" w:ascii="楷体" w:hAnsi="楷体" w:eastAsia="楷体" w:cs="楷体_GB2312"/>
                <w:color w:val="auto"/>
                <w:sz w:val="24"/>
                <w:highlight w:val="none"/>
              </w:rPr>
              <w:t>15</w:t>
            </w:r>
          </w:p>
        </w:tc>
        <w:tc>
          <w:tcPr>
            <w:tcW w:w="2443" w:type="pct"/>
            <w:vAlign w:val="center"/>
          </w:tcPr>
          <w:p w14:paraId="5CA4F50A">
            <w:pPr>
              <w:spacing w:line="400" w:lineRule="exact"/>
              <w:jc w:val="center"/>
              <w:rPr>
                <w:rFonts w:ascii="楷体" w:hAnsi="楷体" w:eastAsia="楷体" w:cs="楷体_GB2312"/>
                <w:color w:val="auto"/>
                <w:sz w:val="24"/>
                <w:highlight w:val="none"/>
              </w:rPr>
            </w:pPr>
          </w:p>
        </w:tc>
        <w:tc>
          <w:tcPr>
            <w:tcW w:w="2095" w:type="pct"/>
            <w:vAlign w:val="center"/>
          </w:tcPr>
          <w:p w14:paraId="3C345D89">
            <w:pPr>
              <w:spacing w:line="400" w:lineRule="exact"/>
              <w:jc w:val="center"/>
              <w:rPr>
                <w:rFonts w:ascii="楷体" w:hAnsi="楷体" w:eastAsia="楷体" w:cs="楷体_GB2312"/>
                <w:color w:val="auto"/>
                <w:sz w:val="24"/>
                <w:highlight w:val="none"/>
              </w:rPr>
            </w:pPr>
          </w:p>
        </w:tc>
      </w:tr>
      <w:tr w14:paraId="1801A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461" w:type="pct"/>
            <w:vAlign w:val="center"/>
          </w:tcPr>
          <w:p w14:paraId="09C9E17E">
            <w:pPr>
              <w:spacing w:line="400" w:lineRule="exact"/>
              <w:jc w:val="center"/>
              <w:rPr>
                <w:rFonts w:ascii="楷体" w:hAnsi="楷体" w:eastAsia="楷体" w:cs="楷体_GB2312"/>
                <w:color w:val="auto"/>
                <w:sz w:val="24"/>
                <w:highlight w:val="none"/>
              </w:rPr>
            </w:pPr>
            <w:r>
              <w:rPr>
                <w:rFonts w:hint="eastAsia" w:ascii="楷体" w:hAnsi="楷体" w:eastAsia="楷体" w:cs="楷体_GB2312"/>
                <w:color w:val="auto"/>
                <w:sz w:val="24"/>
                <w:highlight w:val="none"/>
              </w:rPr>
              <w:t>16</w:t>
            </w:r>
          </w:p>
        </w:tc>
        <w:tc>
          <w:tcPr>
            <w:tcW w:w="2443" w:type="pct"/>
            <w:vAlign w:val="center"/>
          </w:tcPr>
          <w:p w14:paraId="5218E160">
            <w:pPr>
              <w:spacing w:line="400" w:lineRule="exact"/>
              <w:jc w:val="center"/>
              <w:rPr>
                <w:rFonts w:ascii="楷体" w:hAnsi="楷体" w:eastAsia="楷体" w:cs="楷体_GB2312"/>
                <w:color w:val="auto"/>
                <w:sz w:val="24"/>
                <w:highlight w:val="none"/>
              </w:rPr>
            </w:pPr>
          </w:p>
        </w:tc>
        <w:tc>
          <w:tcPr>
            <w:tcW w:w="2095" w:type="pct"/>
            <w:vAlign w:val="center"/>
          </w:tcPr>
          <w:p w14:paraId="7C8DC6A4">
            <w:pPr>
              <w:spacing w:line="400" w:lineRule="exact"/>
              <w:jc w:val="center"/>
              <w:rPr>
                <w:rFonts w:ascii="楷体" w:hAnsi="楷体" w:eastAsia="楷体" w:cs="楷体_GB2312"/>
                <w:color w:val="auto"/>
                <w:sz w:val="24"/>
                <w:highlight w:val="none"/>
              </w:rPr>
            </w:pPr>
          </w:p>
        </w:tc>
      </w:tr>
      <w:tr w14:paraId="61FC8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461" w:type="pct"/>
            <w:vAlign w:val="center"/>
          </w:tcPr>
          <w:p w14:paraId="2372A51F">
            <w:pPr>
              <w:spacing w:line="400" w:lineRule="exact"/>
              <w:jc w:val="center"/>
              <w:rPr>
                <w:rFonts w:ascii="楷体" w:hAnsi="楷体" w:eastAsia="楷体" w:cs="楷体_GB2312"/>
                <w:color w:val="auto"/>
                <w:sz w:val="24"/>
                <w:highlight w:val="none"/>
              </w:rPr>
            </w:pPr>
            <w:r>
              <w:rPr>
                <w:rFonts w:hint="eastAsia" w:ascii="楷体" w:hAnsi="楷体" w:eastAsia="楷体" w:cs="楷体_GB2312"/>
                <w:color w:val="auto"/>
                <w:sz w:val="24"/>
                <w:highlight w:val="none"/>
              </w:rPr>
              <w:t>17</w:t>
            </w:r>
          </w:p>
        </w:tc>
        <w:tc>
          <w:tcPr>
            <w:tcW w:w="2443" w:type="pct"/>
            <w:vAlign w:val="center"/>
          </w:tcPr>
          <w:p w14:paraId="2F085BF6">
            <w:pPr>
              <w:spacing w:line="400" w:lineRule="exact"/>
              <w:jc w:val="center"/>
              <w:rPr>
                <w:rFonts w:ascii="楷体" w:hAnsi="楷体" w:eastAsia="楷体" w:cs="楷体_GB2312"/>
                <w:color w:val="auto"/>
                <w:sz w:val="24"/>
                <w:highlight w:val="none"/>
              </w:rPr>
            </w:pPr>
          </w:p>
        </w:tc>
        <w:tc>
          <w:tcPr>
            <w:tcW w:w="2095" w:type="pct"/>
            <w:vAlign w:val="center"/>
          </w:tcPr>
          <w:p w14:paraId="7D573658">
            <w:pPr>
              <w:spacing w:line="400" w:lineRule="exact"/>
              <w:jc w:val="center"/>
              <w:rPr>
                <w:rFonts w:ascii="楷体" w:hAnsi="楷体" w:eastAsia="楷体" w:cs="楷体_GB2312"/>
                <w:color w:val="auto"/>
                <w:sz w:val="24"/>
                <w:highlight w:val="none"/>
              </w:rPr>
            </w:pPr>
          </w:p>
        </w:tc>
      </w:tr>
      <w:tr w14:paraId="758D9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461" w:type="pct"/>
            <w:vAlign w:val="center"/>
          </w:tcPr>
          <w:p w14:paraId="07D140AC">
            <w:pPr>
              <w:spacing w:line="400" w:lineRule="exact"/>
              <w:jc w:val="center"/>
              <w:rPr>
                <w:rFonts w:ascii="楷体" w:hAnsi="楷体" w:eastAsia="楷体" w:cs="楷体_GB2312"/>
                <w:color w:val="auto"/>
                <w:sz w:val="24"/>
                <w:highlight w:val="none"/>
              </w:rPr>
            </w:pPr>
            <w:r>
              <w:rPr>
                <w:rFonts w:hint="eastAsia" w:ascii="楷体" w:hAnsi="楷体" w:eastAsia="楷体" w:cs="楷体_GB2312"/>
                <w:color w:val="auto"/>
                <w:sz w:val="24"/>
                <w:highlight w:val="none"/>
              </w:rPr>
              <w:t>18</w:t>
            </w:r>
          </w:p>
        </w:tc>
        <w:tc>
          <w:tcPr>
            <w:tcW w:w="2443" w:type="pct"/>
            <w:vAlign w:val="center"/>
          </w:tcPr>
          <w:p w14:paraId="0D864CDD">
            <w:pPr>
              <w:spacing w:line="400" w:lineRule="exact"/>
              <w:jc w:val="center"/>
              <w:rPr>
                <w:rFonts w:ascii="楷体" w:hAnsi="楷体" w:eastAsia="楷体" w:cs="楷体_GB2312"/>
                <w:color w:val="auto"/>
                <w:sz w:val="24"/>
                <w:highlight w:val="none"/>
              </w:rPr>
            </w:pPr>
          </w:p>
        </w:tc>
        <w:tc>
          <w:tcPr>
            <w:tcW w:w="2095" w:type="pct"/>
            <w:vAlign w:val="center"/>
          </w:tcPr>
          <w:p w14:paraId="252AE287">
            <w:pPr>
              <w:spacing w:line="400" w:lineRule="exact"/>
              <w:jc w:val="center"/>
              <w:rPr>
                <w:rFonts w:ascii="楷体" w:hAnsi="楷体" w:eastAsia="楷体" w:cs="楷体_GB2312"/>
                <w:color w:val="auto"/>
                <w:sz w:val="24"/>
                <w:highlight w:val="none"/>
              </w:rPr>
            </w:pPr>
          </w:p>
        </w:tc>
      </w:tr>
      <w:tr w14:paraId="0A7B3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461" w:type="pct"/>
            <w:vAlign w:val="center"/>
          </w:tcPr>
          <w:p w14:paraId="6FB7168D">
            <w:pPr>
              <w:spacing w:line="400" w:lineRule="exact"/>
              <w:jc w:val="center"/>
              <w:rPr>
                <w:rFonts w:ascii="楷体" w:hAnsi="楷体" w:eastAsia="楷体" w:cs="楷体_GB2312"/>
                <w:color w:val="auto"/>
                <w:sz w:val="24"/>
                <w:highlight w:val="none"/>
              </w:rPr>
            </w:pPr>
            <w:r>
              <w:rPr>
                <w:rFonts w:hint="eastAsia" w:ascii="楷体" w:hAnsi="楷体" w:eastAsia="楷体" w:cs="楷体_GB2312"/>
                <w:color w:val="auto"/>
                <w:sz w:val="24"/>
                <w:highlight w:val="none"/>
              </w:rPr>
              <w:t>19</w:t>
            </w:r>
          </w:p>
        </w:tc>
        <w:tc>
          <w:tcPr>
            <w:tcW w:w="2443" w:type="pct"/>
            <w:vAlign w:val="center"/>
          </w:tcPr>
          <w:p w14:paraId="1030760F">
            <w:pPr>
              <w:spacing w:line="400" w:lineRule="exact"/>
              <w:jc w:val="center"/>
              <w:rPr>
                <w:rFonts w:ascii="楷体" w:hAnsi="楷体" w:eastAsia="楷体" w:cs="楷体_GB2312"/>
                <w:color w:val="auto"/>
                <w:sz w:val="24"/>
                <w:highlight w:val="none"/>
              </w:rPr>
            </w:pPr>
          </w:p>
        </w:tc>
        <w:tc>
          <w:tcPr>
            <w:tcW w:w="2095" w:type="pct"/>
            <w:vAlign w:val="center"/>
          </w:tcPr>
          <w:p w14:paraId="3B53A3E4">
            <w:pPr>
              <w:spacing w:line="400" w:lineRule="exact"/>
              <w:jc w:val="center"/>
              <w:rPr>
                <w:rFonts w:ascii="楷体" w:hAnsi="楷体" w:eastAsia="楷体" w:cs="楷体_GB2312"/>
                <w:color w:val="auto"/>
                <w:sz w:val="24"/>
                <w:highlight w:val="none"/>
              </w:rPr>
            </w:pPr>
          </w:p>
        </w:tc>
      </w:tr>
      <w:tr w14:paraId="10130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461" w:type="pct"/>
            <w:vAlign w:val="center"/>
          </w:tcPr>
          <w:p w14:paraId="11D717C9">
            <w:pPr>
              <w:spacing w:line="400" w:lineRule="exact"/>
              <w:jc w:val="center"/>
              <w:rPr>
                <w:rFonts w:ascii="楷体" w:hAnsi="楷体" w:eastAsia="楷体" w:cs="楷体_GB2312"/>
                <w:color w:val="auto"/>
                <w:sz w:val="24"/>
                <w:highlight w:val="none"/>
              </w:rPr>
            </w:pPr>
            <w:r>
              <w:rPr>
                <w:rFonts w:hint="eastAsia" w:ascii="楷体" w:hAnsi="楷体" w:eastAsia="楷体" w:cs="楷体_GB2312"/>
                <w:color w:val="auto"/>
                <w:sz w:val="24"/>
                <w:highlight w:val="none"/>
              </w:rPr>
              <w:t>20</w:t>
            </w:r>
          </w:p>
        </w:tc>
        <w:tc>
          <w:tcPr>
            <w:tcW w:w="2443" w:type="pct"/>
            <w:vAlign w:val="center"/>
          </w:tcPr>
          <w:p w14:paraId="2D694CF8">
            <w:pPr>
              <w:spacing w:line="400" w:lineRule="exact"/>
              <w:jc w:val="center"/>
              <w:rPr>
                <w:rFonts w:ascii="楷体" w:hAnsi="楷体" w:eastAsia="楷体" w:cs="楷体_GB2312"/>
                <w:color w:val="auto"/>
                <w:sz w:val="24"/>
                <w:highlight w:val="none"/>
              </w:rPr>
            </w:pPr>
          </w:p>
        </w:tc>
        <w:tc>
          <w:tcPr>
            <w:tcW w:w="2095" w:type="pct"/>
            <w:vAlign w:val="center"/>
          </w:tcPr>
          <w:p w14:paraId="39D1B144">
            <w:pPr>
              <w:spacing w:line="400" w:lineRule="exact"/>
              <w:jc w:val="center"/>
              <w:rPr>
                <w:rFonts w:ascii="楷体" w:hAnsi="楷体" w:eastAsia="楷体" w:cs="楷体_GB2312"/>
                <w:color w:val="auto"/>
                <w:sz w:val="24"/>
                <w:highlight w:val="none"/>
              </w:rPr>
            </w:pPr>
          </w:p>
        </w:tc>
      </w:tr>
      <w:tr w14:paraId="1A36A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461" w:type="pct"/>
            <w:vAlign w:val="center"/>
          </w:tcPr>
          <w:p w14:paraId="4AF5648D">
            <w:pPr>
              <w:spacing w:line="400" w:lineRule="exact"/>
              <w:jc w:val="center"/>
              <w:rPr>
                <w:rFonts w:ascii="楷体" w:hAnsi="楷体" w:eastAsia="楷体" w:cs="楷体_GB2312"/>
                <w:color w:val="auto"/>
                <w:sz w:val="24"/>
                <w:highlight w:val="none"/>
              </w:rPr>
            </w:pPr>
            <w:r>
              <w:rPr>
                <w:rFonts w:hint="eastAsia" w:ascii="楷体" w:hAnsi="楷体" w:eastAsia="楷体" w:cs="楷体_GB2312"/>
                <w:color w:val="auto"/>
                <w:sz w:val="24"/>
                <w:highlight w:val="none"/>
              </w:rPr>
              <w:t>21</w:t>
            </w:r>
          </w:p>
        </w:tc>
        <w:tc>
          <w:tcPr>
            <w:tcW w:w="2443" w:type="pct"/>
            <w:vAlign w:val="center"/>
          </w:tcPr>
          <w:p w14:paraId="6C4E129B">
            <w:pPr>
              <w:spacing w:line="400" w:lineRule="exact"/>
              <w:jc w:val="center"/>
              <w:rPr>
                <w:rFonts w:ascii="楷体" w:hAnsi="楷体" w:eastAsia="楷体" w:cs="楷体_GB2312"/>
                <w:color w:val="auto"/>
                <w:sz w:val="24"/>
                <w:highlight w:val="none"/>
              </w:rPr>
            </w:pPr>
          </w:p>
        </w:tc>
        <w:tc>
          <w:tcPr>
            <w:tcW w:w="2095" w:type="pct"/>
            <w:vAlign w:val="center"/>
          </w:tcPr>
          <w:p w14:paraId="6417DFD7">
            <w:pPr>
              <w:spacing w:line="400" w:lineRule="exact"/>
              <w:jc w:val="center"/>
              <w:rPr>
                <w:rFonts w:ascii="楷体" w:hAnsi="楷体" w:eastAsia="楷体" w:cs="楷体_GB2312"/>
                <w:color w:val="auto"/>
                <w:sz w:val="24"/>
                <w:highlight w:val="none"/>
              </w:rPr>
            </w:pPr>
          </w:p>
        </w:tc>
      </w:tr>
      <w:tr w14:paraId="2B134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461" w:type="pct"/>
            <w:vAlign w:val="center"/>
          </w:tcPr>
          <w:p w14:paraId="540BB4AD">
            <w:pPr>
              <w:spacing w:line="400" w:lineRule="exact"/>
              <w:jc w:val="center"/>
              <w:rPr>
                <w:rFonts w:ascii="楷体" w:hAnsi="楷体" w:eastAsia="楷体" w:cs="楷体_GB2312"/>
                <w:color w:val="auto"/>
                <w:sz w:val="24"/>
                <w:highlight w:val="none"/>
              </w:rPr>
            </w:pPr>
            <w:r>
              <w:rPr>
                <w:rFonts w:hint="eastAsia" w:ascii="楷体" w:hAnsi="楷体" w:eastAsia="楷体" w:cs="楷体_GB2312"/>
                <w:color w:val="auto"/>
                <w:sz w:val="24"/>
                <w:highlight w:val="none"/>
              </w:rPr>
              <w:t>22</w:t>
            </w:r>
          </w:p>
        </w:tc>
        <w:tc>
          <w:tcPr>
            <w:tcW w:w="2443" w:type="pct"/>
            <w:vAlign w:val="center"/>
          </w:tcPr>
          <w:p w14:paraId="3483D6C0">
            <w:pPr>
              <w:spacing w:line="400" w:lineRule="exact"/>
              <w:jc w:val="center"/>
              <w:rPr>
                <w:rFonts w:ascii="楷体" w:hAnsi="楷体" w:eastAsia="楷体" w:cs="楷体_GB2312"/>
                <w:color w:val="auto"/>
                <w:sz w:val="24"/>
                <w:highlight w:val="none"/>
              </w:rPr>
            </w:pPr>
          </w:p>
        </w:tc>
        <w:tc>
          <w:tcPr>
            <w:tcW w:w="2095" w:type="pct"/>
            <w:vAlign w:val="center"/>
          </w:tcPr>
          <w:p w14:paraId="78D63C2C">
            <w:pPr>
              <w:spacing w:line="400" w:lineRule="exact"/>
              <w:jc w:val="center"/>
              <w:rPr>
                <w:rFonts w:ascii="楷体" w:hAnsi="楷体" w:eastAsia="楷体" w:cs="楷体_GB2312"/>
                <w:color w:val="auto"/>
                <w:sz w:val="24"/>
                <w:highlight w:val="none"/>
              </w:rPr>
            </w:pPr>
          </w:p>
        </w:tc>
      </w:tr>
      <w:tr w14:paraId="3B756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461" w:type="pct"/>
            <w:vAlign w:val="center"/>
          </w:tcPr>
          <w:p w14:paraId="2E74ADC5">
            <w:pPr>
              <w:spacing w:line="400" w:lineRule="exact"/>
              <w:jc w:val="center"/>
              <w:rPr>
                <w:rFonts w:ascii="楷体" w:hAnsi="楷体" w:eastAsia="楷体" w:cs="楷体_GB2312"/>
                <w:color w:val="auto"/>
                <w:sz w:val="24"/>
                <w:highlight w:val="none"/>
              </w:rPr>
            </w:pPr>
            <w:r>
              <w:rPr>
                <w:rFonts w:hint="eastAsia" w:ascii="楷体" w:hAnsi="楷体" w:eastAsia="楷体" w:cs="楷体_GB2312"/>
                <w:color w:val="auto"/>
                <w:sz w:val="24"/>
                <w:highlight w:val="none"/>
              </w:rPr>
              <w:t>23</w:t>
            </w:r>
          </w:p>
        </w:tc>
        <w:tc>
          <w:tcPr>
            <w:tcW w:w="2443" w:type="pct"/>
            <w:vAlign w:val="center"/>
          </w:tcPr>
          <w:p w14:paraId="4D790B98">
            <w:pPr>
              <w:spacing w:line="400" w:lineRule="exact"/>
              <w:jc w:val="center"/>
              <w:rPr>
                <w:rFonts w:ascii="楷体" w:hAnsi="楷体" w:eastAsia="楷体" w:cs="楷体_GB2312"/>
                <w:color w:val="auto"/>
                <w:sz w:val="24"/>
                <w:highlight w:val="none"/>
              </w:rPr>
            </w:pPr>
          </w:p>
        </w:tc>
        <w:tc>
          <w:tcPr>
            <w:tcW w:w="2095" w:type="pct"/>
            <w:vAlign w:val="center"/>
          </w:tcPr>
          <w:p w14:paraId="1676573B">
            <w:pPr>
              <w:spacing w:line="400" w:lineRule="exact"/>
              <w:jc w:val="center"/>
              <w:rPr>
                <w:rFonts w:ascii="楷体" w:hAnsi="楷体" w:eastAsia="楷体" w:cs="楷体_GB2312"/>
                <w:color w:val="auto"/>
                <w:sz w:val="24"/>
                <w:highlight w:val="none"/>
              </w:rPr>
            </w:pPr>
          </w:p>
        </w:tc>
      </w:tr>
      <w:tr w14:paraId="4AA2F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461" w:type="pct"/>
            <w:vAlign w:val="center"/>
          </w:tcPr>
          <w:p w14:paraId="39A6EA6A">
            <w:pPr>
              <w:spacing w:line="400" w:lineRule="exact"/>
              <w:jc w:val="center"/>
              <w:rPr>
                <w:rFonts w:ascii="楷体" w:hAnsi="楷体" w:eastAsia="楷体" w:cs="楷体_GB2312"/>
                <w:color w:val="auto"/>
                <w:sz w:val="24"/>
                <w:highlight w:val="none"/>
              </w:rPr>
            </w:pPr>
            <w:r>
              <w:rPr>
                <w:rFonts w:hint="eastAsia" w:ascii="楷体" w:hAnsi="楷体" w:eastAsia="楷体" w:cs="楷体_GB2312"/>
                <w:color w:val="auto"/>
                <w:sz w:val="24"/>
                <w:highlight w:val="none"/>
              </w:rPr>
              <w:t>24</w:t>
            </w:r>
          </w:p>
        </w:tc>
        <w:tc>
          <w:tcPr>
            <w:tcW w:w="2443" w:type="pct"/>
            <w:vAlign w:val="center"/>
          </w:tcPr>
          <w:p w14:paraId="36E19406">
            <w:pPr>
              <w:spacing w:line="400" w:lineRule="exact"/>
              <w:jc w:val="center"/>
              <w:rPr>
                <w:rFonts w:ascii="楷体" w:hAnsi="楷体" w:eastAsia="楷体" w:cs="楷体_GB2312"/>
                <w:color w:val="auto"/>
                <w:sz w:val="24"/>
                <w:highlight w:val="none"/>
              </w:rPr>
            </w:pPr>
          </w:p>
        </w:tc>
        <w:tc>
          <w:tcPr>
            <w:tcW w:w="2095" w:type="pct"/>
            <w:vAlign w:val="center"/>
          </w:tcPr>
          <w:p w14:paraId="01D789C9">
            <w:pPr>
              <w:spacing w:line="400" w:lineRule="exact"/>
              <w:jc w:val="center"/>
              <w:rPr>
                <w:rFonts w:ascii="楷体" w:hAnsi="楷体" w:eastAsia="楷体" w:cs="楷体_GB2312"/>
                <w:color w:val="auto"/>
                <w:sz w:val="24"/>
                <w:highlight w:val="none"/>
              </w:rPr>
            </w:pPr>
          </w:p>
        </w:tc>
      </w:tr>
      <w:tr w14:paraId="2C58F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1" w:type="pct"/>
            <w:vAlign w:val="center"/>
          </w:tcPr>
          <w:p w14:paraId="0412CC09">
            <w:pPr>
              <w:spacing w:line="400" w:lineRule="exact"/>
              <w:jc w:val="center"/>
              <w:rPr>
                <w:rFonts w:ascii="楷体" w:hAnsi="楷体" w:eastAsia="楷体" w:cs="楷体_GB2312"/>
                <w:color w:val="auto"/>
                <w:sz w:val="24"/>
                <w:highlight w:val="none"/>
              </w:rPr>
            </w:pPr>
            <w:r>
              <w:rPr>
                <w:rFonts w:hint="eastAsia" w:ascii="楷体" w:hAnsi="楷体" w:eastAsia="楷体" w:cs="楷体_GB2312"/>
                <w:color w:val="auto"/>
                <w:sz w:val="24"/>
                <w:highlight w:val="none"/>
              </w:rPr>
              <w:t>25</w:t>
            </w:r>
          </w:p>
        </w:tc>
        <w:tc>
          <w:tcPr>
            <w:tcW w:w="2443" w:type="pct"/>
            <w:vAlign w:val="center"/>
          </w:tcPr>
          <w:p w14:paraId="5161BBEC">
            <w:pPr>
              <w:spacing w:line="400" w:lineRule="exact"/>
              <w:jc w:val="center"/>
              <w:rPr>
                <w:rFonts w:ascii="楷体" w:hAnsi="楷体" w:eastAsia="楷体" w:cs="楷体_GB2312"/>
                <w:color w:val="auto"/>
                <w:sz w:val="24"/>
                <w:highlight w:val="none"/>
              </w:rPr>
            </w:pPr>
          </w:p>
        </w:tc>
        <w:tc>
          <w:tcPr>
            <w:tcW w:w="2095" w:type="pct"/>
            <w:vAlign w:val="center"/>
          </w:tcPr>
          <w:p w14:paraId="3D216F12">
            <w:pPr>
              <w:spacing w:line="400" w:lineRule="exact"/>
              <w:jc w:val="center"/>
              <w:rPr>
                <w:rFonts w:ascii="楷体" w:hAnsi="楷体" w:eastAsia="楷体" w:cs="楷体_GB2312"/>
                <w:color w:val="auto"/>
                <w:sz w:val="24"/>
                <w:highlight w:val="none"/>
              </w:rPr>
            </w:pPr>
          </w:p>
        </w:tc>
      </w:tr>
      <w:tr w14:paraId="25E79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461" w:type="pct"/>
            <w:vAlign w:val="center"/>
          </w:tcPr>
          <w:p w14:paraId="71587CED">
            <w:pPr>
              <w:spacing w:line="400" w:lineRule="exact"/>
              <w:jc w:val="center"/>
              <w:rPr>
                <w:rFonts w:ascii="楷体" w:hAnsi="楷体" w:eastAsia="楷体" w:cs="楷体_GB2312"/>
                <w:color w:val="auto"/>
                <w:sz w:val="24"/>
                <w:highlight w:val="none"/>
              </w:rPr>
            </w:pPr>
            <w:r>
              <w:rPr>
                <w:rFonts w:hint="eastAsia" w:ascii="楷体" w:hAnsi="楷体" w:eastAsia="楷体" w:cs="楷体_GB2312"/>
                <w:color w:val="auto"/>
                <w:sz w:val="24"/>
                <w:highlight w:val="none"/>
              </w:rPr>
              <w:t>26</w:t>
            </w:r>
          </w:p>
        </w:tc>
        <w:tc>
          <w:tcPr>
            <w:tcW w:w="2443" w:type="pct"/>
            <w:vAlign w:val="center"/>
          </w:tcPr>
          <w:p w14:paraId="1CE46BB5">
            <w:pPr>
              <w:spacing w:line="400" w:lineRule="exact"/>
              <w:jc w:val="center"/>
              <w:rPr>
                <w:rFonts w:ascii="楷体" w:hAnsi="楷体" w:eastAsia="楷体" w:cs="楷体_GB2312"/>
                <w:color w:val="auto"/>
                <w:sz w:val="24"/>
                <w:highlight w:val="none"/>
              </w:rPr>
            </w:pPr>
          </w:p>
        </w:tc>
        <w:tc>
          <w:tcPr>
            <w:tcW w:w="2095" w:type="pct"/>
            <w:vAlign w:val="center"/>
          </w:tcPr>
          <w:p w14:paraId="6C26903E">
            <w:pPr>
              <w:spacing w:line="400" w:lineRule="exact"/>
              <w:jc w:val="center"/>
              <w:rPr>
                <w:rFonts w:ascii="楷体" w:hAnsi="楷体" w:eastAsia="楷体" w:cs="楷体_GB2312"/>
                <w:color w:val="auto"/>
                <w:sz w:val="24"/>
                <w:highlight w:val="none"/>
              </w:rPr>
            </w:pPr>
          </w:p>
        </w:tc>
      </w:tr>
      <w:tr w14:paraId="50832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461" w:type="pct"/>
          </w:tcPr>
          <w:p w14:paraId="22BEC29B">
            <w:pPr>
              <w:spacing w:line="400" w:lineRule="exact"/>
              <w:jc w:val="center"/>
              <w:rPr>
                <w:rFonts w:ascii="楷体" w:hAnsi="楷体" w:eastAsia="楷体" w:cs="楷体_GB2312"/>
                <w:color w:val="auto"/>
                <w:sz w:val="24"/>
                <w:highlight w:val="none"/>
              </w:rPr>
            </w:pPr>
            <w:r>
              <w:rPr>
                <w:rFonts w:hint="eastAsia" w:ascii="楷体" w:hAnsi="楷体" w:eastAsia="楷体" w:cs="楷体_GB2312"/>
                <w:color w:val="auto"/>
                <w:sz w:val="24"/>
                <w:highlight w:val="none"/>
              </w:rPr>
              <w:t>27</w:t>
            </w:r>
          </w:p>
        </w:tc>
        <w:tc>
          <w:tcPr>
            <w:tcW w:w="2443" w:type="pct"/>
            <w:vAlign w:val="center"/>
          </w:tcPr>
          <w:p w14:paraId="48151653">
            <w:pPr>
              <w:spacing w:line="400" w:lineRule="exact"/>
              <w:jc w:val="center"/>
              <w:rPr>
                <w:rFonts w:ascii="楷体" w:hAnsi="楷体" w:eastAsia="楷体" w:cs="楷体_GB2312"/>
                <w:color w:val="auto"/>
                <w:sz w:val="24"/>
                <w:highlight w:val="none"/>
              </w:rPr>
            </w:pPr>
          </w:p>
        </w:tc>
        <w:tc>
          <w:tcPr>
            <w:tcW w:w="2095" w:type="pct"/>
          </w:tcPr>
          <w:p w14:paraId="5EAB261C">
            <w:pPr>
              <w:spacing w:line="400" w:lineRule="exact"/>
              <w:jc w:val="center"/>
              <w:rPr>
                <w:rFonts w:ascii="楷体" w:hAnsi="楷体" w:eastAsia="楷体" w:cs="楷体_GB2312"/>
                <w:color w:val="auto"/>
                <w:sz w:val="24"/>
                <w:highlight w:val="none"/>
              </w:rPr>
            </w:pPr>
          </w:p>
        </w:tc>
      </w:tr>
    </w:tbl>
    <w:p w14:paraId="5D3F8E40">
      <w:pPr>
        <w:rPr>
          <w:rFonts w:ascii="楷体" w:hAnsi="楷体" w:eastAsia="楷体" w:cs="楷体_GB2312"/>
          <w:color w:val="auto"/>
          <w:sz w:val="24"/>
          <w:highlight w:val="none"/>
        </w:rPr>
      </w:pPr>
    </w:p>
    <w:p w14:paraId="4A2E99FA">
      <w:pPr>
        <w:bidi w:val="0"/>
        <w:jc w:val="center"/>
        <w:rPr>
          <w:rFonts w:hint="eastAsia" w:ascii="仿宋" w:hAnsi="仿宋" w:eastAsia="仿宋" w:cs="仿宋"/>
          <w:color w:val="auto"/>
          <w:sz w:val="30"/>
          <w:szCs w:val="30"/>
          <w:highlight w:val="none"/>
        </w:rPr>
      </w:pPr>
    </w:p>
    <w:p w14:paraId="1F86377D">
      <w:pPr>
        <w:bidi w:val="0"/>
        <w:jc w:val="center"/>
        <w:rPr>
          <w:rFonts w:hint="eastAsia" w:ascii="仿宋" w:hAnsi="仿宋" w:eastAsia="仿宋" w:cs="仿宋"/>
          <w:color w:val="auto"/>
          <w:sz w:val="30"/>
          <w:szCs w:val="30"/>
          <w:highlight w:val="none"/>
        </w:rPr>
      </w:pPr>
    </w:p>
    <w:p w14:paraId="06F55AED">
      <w:pPr>
        <w:bidi w:val="0"/>
        <w:jc w:val="center"/>
        <w:rPr>
          <w:rFonts w:hint="eastAsia" w:ascii="仿宋" w:hAnsi="仿宋" w:eastAsia="仿宋" w:cs="仿宋"/>
          <w:color w:val="auto"/>
          <w:sz w:val="30"/>
          <w:szCs w:val="30"/>
          <w:highlight w:val="none"/>
        </w:rPr>
      </w:pPr>
    </w:p>
    <w:p w14:paraId="436FF16F">
      <w:pPr>
        <w:bidi w:val="0"/>
        <w:jc w:val="center"/>
        <w:rPr>
          <w:rFonts w:hint="eastAsia" w:ascii="仿宋" w:hAnsi="仿宋" w:eastAsia="仿宋" w:cs="仿宋"/>
          <w:color w:val="auto"/>
          <w:sz w:val="30"/>
          <w:szCs w:val="30"/>
          <w:highlight w:val="none"/>
        </w:rPr>
      </w:pPr>
    </w:p>
    <w:p w14:paraId="434657FB">
      <w:pPr>
        <w:bidi w:val="0"/>
        <w:jc w:val="center"/>
        <w:rPr>
          <w:rFonts w:hint="eastAsia" w:ascii="仿宋" w:hAnsi="仿宋" w:eastAsia="仿宋" w:cs="仿宋"/>
          <w:color w:val="auto"/>
          <w:sz w:val="30"/>
          <w:szCs w:val="30"/>
          <w:highlight w:val="none"/>
        </w:rPr>
      </w:pPr>
    </w:p>
    <w:p w14:paraId="237ADA97">
      <w:pPr>
        <w:bidi w:val="0"/>
        <w:jc w:val="center"/>
        <w:rPr>
          <w:rFonts w:hint="eastAsia" w:ascii="仿宋" w:hAnsi="仿宋" w:eastAsia="仿宋" w:cs="仿宋"/>
          <w:color w:val="auto"/>
          <w:sz w:val="30"/>
          <w:szCs w:val="30"/>
          <w:highlight w:val="none"/>
        </w:rPr>
      </w:pPr>
    </w:p>
    <w:p w14:paraId="66EEE40E">
      <w:pPr>
        <w:bidi w:val="0"/>
        <w:jc w:val="center"/>
        <w:rPr>
          <w:rFonts w:hint="eastAsia" w:ascii="仿宋" w:hAnsi="仿宋" w:eastAsia="仿宋" w:cs="仿宋"/>
          <w:color w:val="auto"/>
          <w:sz w:val="30"/>
          <w:szCs w:val="30"/>
          <w:highlight w:val="none"/>
        </w:rPr>
      </w:pPr>
    </w:p>
    <w:p w14:paraId="63F7AB78">
      <w:pPr>
        <w:bidi w:val="0"/>
        <w:jc w:val="center"/>
        <w:rPr>
          <w:rFonts w:hint="eastAsia" w:ascii="仿宋" w:hAnsi="仿宋" w:eastAsia="仿宋" w:cs="仿宋"/>
          <w:color w:val="auto"/>
          <w:sz w:val="30"/>
          <w:szCs w:val="30"/>
          <w:highlight w:val="none"/>
        </w:rPr>
      </w:pPr>
    </w:p>
    <w:p w14:paraId="11D14007">
      <w:pPr>
        <w:bidi w:val="0"/>
        <w:jc w:val="both"/>
        <w:rPr>
          <w:rFonts w:hint="eastAsia" w:ascii="仿宋" w:hAnsi="仿宋" w:eastAsia="仿宋" w:cs="仿宋"/>
          <w:color w:val="auto"/>
          <w:sz w:val="30"/>
          <w:szCs w:val="30"/>
          <w:highlight w:val="none"/>
        </w:rPr>
      </w:pPr>
    </w:p>
    <w:p w14:paraId="1A4C69FD">
      <w:pPr>
        <w:bidi w:val="0"/>
        <w:jc w:val="center"/>
        <w:rPr>
          <w:rFonts w:hint="eastAsia" w:ascii="仿宋" w:hAnsi="仿宋" w:eastAsia="仿宋" w:cs="仿宋"/>
          <w:color w:val="auto"/>
          <w:sz w:val="30"/>
          <w:szCs w:val="30"/>
          <w:highlight w:val="none"/>
        </w:rPr>
      </w:pPr>
    </w:p>
    <w:p w14:paraId="67A922CD">
      <w:pPr>
        <w:bidi w:val="0"/>
        <w:jc w:val="center"/>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廉洁承诺书</w:t>
      </w:r>
    </w:p>
    <w:p w14:paraId="1EB0D927">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致</w:t>
      </w:r>
      <w:r>
        <w:rPr>
          <w:rFonts w:hint="eastAsia" w:ascii="仿宋" w:hAnsi="仿宋" w:eastAsia="仿宋" w:cs="仿宋"/>
          <w:color w:val="auto"/>
          <w:sz w:val="28"/>
          <w:szCs w:val="28"/>
          <w:highlight w:val="none"/>
          <w:lang w:eastAsia="zh-CN"/>
        </w:rPr>
        <w:t>厦门湖里国投物业服务有限公司</w:t>
      </w:r>
      <w:r>
        <w:rPr>
          <w:rFonts w:hint="eastAsia" w:ascii="仿宋" w:hAnsi="仿宋" w:eastAsia="仿宋" w:cs="仿宋"/>
          <w:color w:val="auto"/>
          <w:sz w:val="28"/>
          <w:szCs w:val="28"/>
          <w:highlight w:val="none"/>
        </w:rPr>
        <w:t>：</w:t>
      </w:r>
    </w:p>
    <w:p w14:paraId="5FC1AE62">
      <w:pPr>
        <w:bidi w:val="0"/>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为促进廉洁自律有关规定的落实，打击贿赂、以权谋私 等违法犯罪行为，保证各项经营活动健康有序开展，维护员 工职业操守，提高合作效率，本单位在与</w:t>
      </w:r>
      <w:r>
        <w:rPr>
          <w:rFonts w:hint="eastAsia" w:ascii="仿宋" w:hAnsi="仿宋" w:eastAsia="仿宋" w:cs="仿宋"/>
          <w:color w:val="auto"/>
          <w:sz w:val="28"/>
          <w:szCs w:val="28"/>
          <w:highlight w:val="none"/>
          <w:lang w:eastAsia="zh-CN"/>
        </w:rPr>
        <w:t>厦门湖里国投物业服务有限公司</w:t>
      </w:r>
      <w:r>
        <w:rPr>
          <w:rFonts w:hint="eastAsia" w:ascii="仿宋" w:hAnsi="仿宋" w:eastAsia="仿宋" w:cs="仿宋"/>
          <w:color w:val="auto"/>
          <w:sz w:val="28"/>
          <w:szCs w:val="28"/>
          <w:highlight w:val="none"/>
        </w:rPr>
        <w:t>开展各项业务往来活动中承诺：</w:t>
      </w:r>
    </w:p>
    <w:p w14:paraId="735C9B88">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一、自觉遵守国家法律、法规，按照《中华人民共和国 反不正当竞争法》《关于禁止商业贿赂行为的暂行规定》以 及有关要求进行各项业务活动。</w:t>
      </w:r>
    </w:p>
    <w:p w14:paraId="3F53771D">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二、不得向</w:t>
      </w:r>
      <w:r>
        <w:rPr>
          <w:rFonts w:hint="eastAsia" w:ascii="仿宋" w:hAnsi="仿宋" w:eastAsia="仿宋" w:cs="仿宋"/>
          <w:color w:val="auto"/>
          <w:sz w:val="28"/>
          <w:szCs w:val="28"/>
          <w:highlight w:val="none"/>
          <w:lang w:eastAsia="zh-CN"/>
        </w:rPr>
        <w:t>厦门湖里国投物业服务有限公司</w:t>
      </w:r>
      <w:r>
        <w:rPr>
          <w:rFonts w:hint="eastAsia" w:ascii="仿宋" w:hAnsi="仿宋" w:eastAsia="仿宋" w:cs="仿宋"/>
          <w:color w:val="auto"/>
          <w:sz w:val="28"/>
          <w:szCs w:val="28"/>
          <w:highlight w:val="none"/>
        </w:rPr>
        <w:t>的工作人员及其亲属馈赠礼金、礼品(含有价证券);不得向</w:t>
      </w:r>
      <w:r>
        <w:rPr>
          <w:rFonts w:hint="eastAsia" w:ascii="仿宋" w:hAnsi="仿宋" w:eastAsia="仿宋" w:cs="仿宋"/>
          <w:color w:val="auto"/>
          <w:sz w:val="28"/>
          <w:szCs w:val="28"/>
          <w:highlight w:val="none"/>
          <w:lang w:eastAsia="zh-CN"/>
        </w:rPr>
        <w:t>厦门湖里国投物业服务有限公司</w:t>
      </w:r>
      <w:r>
        <w:rPr>
          <w:rFonts w:hint="eastAsia" w:ascii="仿宋" w:hAnsi="仿宋" w:eastAsia="仿宋" w:cs="仿宋"/>
          <w:color w:val="auto"/>
          <w:sz w:val="28"/>
          <w:szCs w:val="28"/>
          <w:highlight w:val="none"/>
        </w:rPr>
        <w:t>的工作人员提供任何应由其个人支付 报酬的劳务(如：建、修住宅等)和其它服务；不得为</w:t>
      </w:r>
      <w:r>
        <w:rPr>
          <w:rFonts w:hint="eastAsia" w:ascii="仿宋" w:hAnsi="仿宋" w:eastAsia="仿宋" w:cs="仿宋"/>
          <w:color w:val="auto"/>
          <w:sz w:val="28"/>
          <w:szCs w:val="28"/>
          <w:highlight w:val="none"/>
          <w:lang w:eastAsia="zh-CN"/>
        </w:rPr>
        <w:t>厦门湖里国投物业服务有限公司</w:t>
      </w:r>
      <w:r>
        <w:rPr>
          <w:rFonts w:hint="eastAsia" w:ascii="仿宋" w:hAnsi="仿宋" w:eastAsia="仿宋" w:cs="仿宋"/>
          <w:color w:val="auto"/>
          <w:sz w:val="28"/>
          <w:szCs w:val="28"/>
          <w:highlight w:val="none"/>
        </w:rPr>
        <w:t>的工作人员安排可能影响公正执行公务的任何活动(如：旅游、高消费宴请、娱乐等);不得为</w:t>
      </w:r>
      <w:r>
        <w:rPr>
          <w:rFonts w:hint="eastAsia" w:ascii="仿宋" w:hAnsi="仿宋" w:eastAsia="仿宋" w:cs="仿宋"/>
          <w:color w:val="auto"/>
          <w:sz w:val="28"/>
          <w:szCs w:val="28"/>
          <w:highlight w:val="none"/>
          <w:lang w:eastAsia="zh-CN"/>
        </w:rPr>
        <w:t>厦门湖里国投物业服务有限公司</w:t>
      </w:r>
      <w:r>
        <w:rPr>
          <w:rFonts w:hint="eastAsia" w:ascii="仿宋" w:hAnsi="仿宋" w:eastAsia="仿宋" w:cs="仿宋"/>
          <w:color w:val="auto"/>
          <w:sz w:val="28"/>
          <w:szCs w:val="28"/>
          <w:highlight w:val="none"/>
        </w:rPr>
        <w:t>的工作人员支付应由其个人支付的任何赞助费、宣传费、咨询费、劳务费等；不得为</w:t>
      </w:r>
      <w:r>
        <w:rPr>
          <w:rFonts w:hint="eastAsia" w:ascii="仿宋" w:hAnsi="仿宋" w:eastAsia="仿宋" w:cs="仿宋"/>
          <w:color w:val="auto"/>
          <w:sz w:val="28"/>
          <w:szCs w:val="28"/>
          <w:highlight w:val="none"/>
          <w:lang w:eastAsia="zh-CN"/>
        </w:rPr>
        <w:t>厦门湖里国投物业服务有限公司</w:t>
      </w:r>
      <w:r>
        <w:rPr>
          <w:rFonts w:hint="eastAsia" w:ascii="仿宋" w:hAnsi="仿宋" w:eastAsia="仿宋" w:cs="仿宋"/>
          <w:color w:val="auto"/>
          <w:sz w:val="28"/>
          <w:szCs w:val="28"/>
          <w:highlight w:val="none"/>
        </w:rPr>
        <w:t>的工作人员报销任何名义 的个人消费凭证；不得为</w:t>
      </w:r>
      <w:r>
        <w:rPr>
          <w:rFonts w:hint="eastAsia" w:ascii="仿宋" w:hAnsi="仿宋" w:eastAsia="仿宋" w:cs="仿宋"/>
          <w:color w:val="auto"/>
          <w:sz w:val="28"/>
          <w:szCs w:val="28"/>
          <w:highlight w:val="none"/>
          <w:lang w:eastAsia="zh-CN"/>
        </w:rPr>
        <w:t>厦门湖里国投物业服务有限公司</w:t>
      </w:r>
      <w:r>
        <w:rPr>
          <w:rFonts w:hint="eastAsia" w:ascii="仿宋" w:hAnsi="仿宋" w:eastAsia="仿宋" w:cs="仿宋"/>
          <w:color w:val="auto"/>
          <w:sz w:val="28"/>
          <w:szCs w:val="28"/>
          <w:highlight w:val="none"/>
        </w:rPr>
        <w:t>的工作人员安排违反社会公德的活动；不得为</w:t>
      </w:r>
      <w:r>
        <w:rPr>
          <w:rFonts w:hint="eastAsia" w:ascii="仿宋" w:hAnsi="仿宋" w:eastAsia="仿宋" w:cs="仿宋"/>
          <w:color w:val="auto"/>
          <w:sz w:val="28"/>
          <w:szCs w:val="28"/>
          <w:highlight w:val="none"/>
          <w:lang w:eastAsia="zh-CN"/>
        </w:rPr>
        <w:t>厦门湖里国投物业服务有限公司</w:t>
      </w:r>
      <w:r>
        <w:rPr>
          <w:rFonts w:hint="eastAsia" w:ascii="仿宋" w:hAnsi="仿宋" w:eastAsia="仿宋" w:cs="仿宋"/>
          <w:color w:val="auto"/>
          <w:sz w:val="28"/>
          <w:szCs w:val="28"/>
          <w:highlight w:val="none"/>
        </w:rPr>
        <w:t>的工作人员提供经商、办企业、消费提供特 殊便利或优惠等。</w:t>
      </w:r>
    </w:p>
    <w:p w14:paraId="7234353F">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三、不与其他经营者串通报价和</w:t>
      </w:r>
      <w:r>
        <w:rPr>
          <w:rFonts w:hint="eastAsia" w:ascii="仿宋" w:hAnsi="仿宋" w:eastAsia="仿宋" w:cs="仿宋"/>
          <w:color w:val="auto"/>
          <w:sz w:val="28"/>
          <w:szCs w:val="28"/>
          <w:highlight w:val="none"/>
          <w:lang w:eastAsia="zh-CN"/>
        </w:rPr>
        <w:t>响应供应商</w:t>
      </w:r>
      <w:r>
        <w:rPr>
          <w:rFonts w:hint="eastAsia" w:ascii="仿宋" w:hAnsi="仿宋" w:eastAsia="仿宋" w:cs="仿宋"/>
          <w:color w:val="auto"/>
          <w:sz w:val="28"/>
          <w:szCs w:val="28"/>
          <w:highlight w:val="none"/>
        </w:rPr>
        <w:t>，不排挤其他经营 者的公平竞争，损害其他经营者的合法权益；不在工程建设 的预决算编制工作中弄虚作假、高估冒算。</w:t>
      </w:r>
    </w:p>
    <w:p w14:paraId="73183AC8">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四、发现</w:t>
      </w:r>
      <w:r>
        <w:rPr>
          <w:rFonts w:hint="eastAsia" w:ascii="仿宋" w:hAnsi="仿宋" w:eastAsia="仿宋" w:cs="仿宋"/>
          <w:color w:val="auto"/>
          <w:sz w:val="28"/>
          <w:szCs w:val="28"/>
          <w:highlight w:val="none"/>
          <w:lang w:eastAsia="zh-CN"/>
        </w:rPr>
        <w:t>厦门湖里国投物业服务有限公司</w:t>
      </w:r>
      <w:r>
        <w:rPr>
          <w:rFonts w:hint="eastAsia" w:ascii="仿宋" w:hAnsi="仿宋" w:eastAsia="仿宋" w:cs="仿宋"/>
          <w:color w:val="auto"/>
          <w:sz w:val="28"/>
          <w:szCs w:val="28"/>
          <w:highlight w:val="none"/>
        </w:rPr>
        <w:t>的工作人员有 受贿行为或索贿要求、徇私舞弊、滥用职权时，将予以举报 并 提 供 证 据 。 举 报 电 话 ： 5 3 8 2 8 9 9 ; 举 报 邮 箱 ： 3071079904@qq.com; 举报信件：厦门市湖里区园山南路792 号401室，总经理收。</w:t>
      </w:r>
    </w:p>
    <w:p w14:paraId="5EF14980">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五、自觉接受监督，本单位及员工若有违反本承诺书(包括但不限于本承诺书所列举禁止项目),同意接受</w:t>
      </w:r>
      <w:r>
        <w:rPr>
          <w:rFonts w:hint="eastAsia" w:ascii="仿宋" w:hAnsi="仿宋" w:eastAsia="仿宋" w:cs="仿宋"/>
          <w:color w:val="auto"/>
          <w:sz w:val="28"/>
          <w:szCs w:val="28"/>
          <w:highlight w:val="none"/>
          <w:lang w:eastAsia="zh-CN"/>
        </w:rPr>
        <w:t>厦门湖里国投物业服务有限公司</w:t>
      </w:r>
      <w:r>
        <w:rPr>
          <w:rFonts w:hint="eastAsia" w:ascii="仿宋" w:hAnsi="仿宋" w:eastAsia="仿宋" w:cs="仿宋"/>
          <w:color w:val="auto"/>
          <w:sz w:val="28"/>
          <w:szCs w:val="28"/>
          <w:highlight w:val="none"/>
        </w:rPr>
        <w:t>或当地政府相关部门处理。</w:t>
      </w:r>
    </w:p>
    <w:p w14:paraId="266794C4">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特此承诺。</w:t>
      </w:r>
    </w:p>
    <w:p w14:paraId="1743490E">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承诺单位(盖章):</w:t>
      </w:r>
    </w:p>
    <w:p w14:paraId="683F2E1B">
      <w:pPr>
        <w:bidi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日期：</w:t>
      </w:r>
    </w:p>
    <w:p w14:paraId="62B92DD4">
      <w:pPr>
        <w:rPr>
          <w:rFonts w:hint="eastAsia" w:ascii="仿宋" w:hAnsi="仿宋" w:eastAsia="仿宋" w:cs="仿宋"/>
          <w:color w:val="auto"/>
          <w:sz w:val="28"/>
          <w:szCs w:val="28"/>
          <w:highlight w:val="none"/>
          <w:lang w:val="en-US" w:eastAsia="zh-CN"/>
        </w:rPr>
      </w:pPr>
    </w:p>
    <w:p w14:paraId="2C0C68C6">
      <w:pPr>
        <w:pStyle w:val="15"/>
        <w:rPr>
          <w:rFonts w:hint="default" w:eastAsiaTheme="minorEastAsia"/>
          <w:color w:val="auto"/>
          <w:highlight w:val="none"/>
          <w:lang w:val="en-US" w:eastAsia="zh-CN"/>
        </w:rPr>
        <w:sectPr>
          <w:headerReference r:id="rId10" w:type="default"/>
          <w:pgSz w:w="11906" w:h="16838"/>
          <w:pgMar w:top="1134" w:right="1474" w:bottom="1020" w:left="1588" w:header="851" w:footer="992" w:gutter="0"/>
          <w:cols w:space="720" w:num="1"/>
          <w:docGrid w:type="lines" w:linePitch="312" w:charSpace="0"/>
        </w:sectPr>
      </w:pPr>
    </w:p>
    <w:bookmarkEnd w:id="142"/>
    <w:bookmarkEnd w:id="143"/>
    <w:bookmarkEnd w:id="144"/>
    <w:bookmarkEnd w:id="145"/>
    <w:bookmarkEnd w:id="146"/>
    <w:bookmarkEnd w:id="147"/>
    <w:p w14:paraId="733D23AE">
      <w:pPr>
        <w:pStyle w:val="2"/>
        <w:pageBreakBefore/>
        <w:spacing w:beforeLines="50" w:afterLines="50" w:line="460" w:lineRule="exact"/>
        <w:jc w:val="center"/>
        <w:rPr>
          <w:rFonts w:ascii="宋体" w:hAnsi="宋体" w:eastAsia="宋体" w:cs="宋体"/>
          <w:color w:val="auto"/>
          <w:highlight w:val="none"/>
        </w:rPr>
      </w:pPr>
      <w:bookmarkStart w:id="201" w:name="_Toc2025"/>
      <w:bookmarkStart w:id="202" w:name="_Toc526873936"/>
      <w:r>
        <w:rPr>
          <w:rFonts w:hint="eastAsia" w:ascii="宋体" w:hAnsi="宋体" w:eastAsia="宋体" w:cs="宋体"/>
          <w:color w:val="auto"/>
          <w:highlight w:val="none"/>
        </w:rPr>
        <w:t>第五章  响应文件格式</w:t>
      </w:r>
      <w:bookmarkEnd w:id="201"/>
      <w:bookmarkEnd w:id="202"/>
    </w:p>
    <w:p w14:paraId="3177FD2F">
      <w:pPr>
        <w:shd w:val="clear" w:color="auto"/>
        <w:jc w:val="center"/>
        <w:outlineLvl w:val="0"/>
        <w:rPr>
          <w:rFonts w:ascii="宋体" w:hAnsi="宋体" w:cs="宋体"/>
          <w:b/>
          <w:bCs/>
          <w:color w:val="auto"/>
          <w:highlight w:val="none"/>
        </w:rPr>
      </w:pPr>
      <w:bookmarkStart w:id="203" w:name="_Toc2943"/>
      <w:bookmarkStart w:id="204" w:name="_Toc24799"/>
      <w:r>
        <w:rPr>
          <w:rFonts w:hint="eastAsia" w:ascii="宋体" w:hAnsi="宋体" w:cs="宋体"/>
          <w:b/>
          <w:bCs/>
          <w:color w:val="auto"/>
          <w:highlight w:val="none"/>
        </w:rPr>
        <w:t>（本章格式文件可供参考，供应商可根据项目实际需求进行编制）</w:t>
      </w:r>
      <w:bookmarkEnd w:id="203"/>
      <w:bookmarkEnd w:id="204"/>
    </w:p>
    <w:p w14:paraId="08702D7C">
      <w:pPr>
        <w:shd w:val="clear" w:color="auto"/>
        <w:autoSpaceDE w:val="0"/>
        <w:autoSpaceDN w:val="0"/>
        <w:adjustRightInd w:val="0"/>
        <w:spacing w:line="300" w:lineRule="auto"/>
        <w:jc w:val="left"/>
        <w:rPr>
          <w:rFonts w:ascii="宋体" w:hAnsi="宋体" w:cs="宋体"/>
          <w:color w:val="auto"/>
          <w:sz w:val="24"/>
          <w:highlight w:val="none"/>
        </w:rPr>
      </w:pPr>
      <w:r>
        <w:rPr>
          <w:rFonts w:hint="eastAsia" w:ascii="宋体" w:hAnsi="宋体" w:cs="宋体"/>
          <w:color w:val="auto"/>
          <w:sz w:val="24"/>
          <w:highlight w:val="none"/>
        </w:rPr>
        <w:t xml:space="preserve">                             </w:t>
      </w:r>
    </w:p>
    <w:p w14:paraId="26BBD4EE">
      <w:pPr>
        <w:shd w:val="clear" w:color="auto"/>
        <w:autoSpaceDE w:val="0"/>
        <w:autoSpaceDN w:val="0"/>
        <w:adjustRightInd w:val="0"/>
        <w:spacing w:line="300" w:lineRule="auto"/>
        <w:jc w:val="center"/>
        <w:rPr>
          <w:rFonts w:ascii="宋体" w:hAnsi="宋体" w:cs="宋体"/>
          <w:color w:val="auto"/>
          <w:sz w:val="32"/>
          <w:szCs w:val="32"/>
          <w:highlight w:val="none"/>
        </w:rPr>
      </w:pPr>
      <w:r>
        <w:rPr>
          <w:rFonts w:hint="eastAsia" w:ascii="宋体" w:hAnsi="宋体" w:cs="宋体"/>
          <w:color w:val="auto"/>
          <w:sz w:val="32"/>
          <w:szCs w:val="32"/>
          <w:highlight w:val="none"/>
        </w:rPr>
        <w:t xml:space="preserve"> </w:t>
      </w:r>
      <w:r>
        <w:rPr>
          <w:rFonts w:hint="eastAsia" w:ascii="宋体" w:hAnsi="宋体" w:cs="宋体"/>
          <w:color w:val="auto"/>
          <w:sz w:val="32"/>
          <w:szCs w:val="32"/>
          <w:highlight w:val="none"/>
          <w:lang w:eastAsia="zh-CN"/>
        </w:rPr>
        <w:t>（</w:t>
      </w:r>
      <w:r>
        <w:rPr>
          <w:rFonts w:hint="eastAsia" w:ascii="宋体" w:hAnsi="宋体" w:cs="宋体"/>
          <w:color w:val="auto"/>
          <w:sz w:val="32"/>
          <w:szCs w:val="32"/>
          <w:highlight w:val="none"/>
        </w:rPr>
        <w:t>封面）</w:t>
      </w:r>
    </w:p>
    <w:p w14:paraId="4E64BC4E">
      <w:pPr>
        <w:shd w:val="clear" w:color="auto"/>
        <w:jc w:val="center"/>
        <w:rPr>
          <w:rFonts w:ascii="宋体" w:hAnsi="宋体" w:cs="宋体"/>
          <w:b/>
          <w:bCs/>
          <w:color w:val="auto"/>
          <w:sz w:val="72"/>
          <w:szCs w:val="72"/>
          <w:highlight w:val="none"/>
        </w:rPr>
      </w:pPr>
      <w:r>
        <w:rPr>
          <w:rFonts w:hint="eastAsia" w:ascii="宋体" w:hAnsi="宋体" w:cs="宋体"/>
          <w:b/>
          <w:bCs/>
          <w:color w:val="auto"/>
          <w:sz w:val="72"/>
          <w:szCs w:val="72"/>
          <w:highlight w:val="none"/>
        </w:rPr>
        <w:t>采购项目</w:t>
      </w:r>
    </w:p>
    <w:p w14:paraId="610F85A6">
      <w:pPr>
        <w:shd w:val="clear" w:color="auto"/>
        <w:jc w:val="center"/>
        <w:rPr>
          <w:rFonts w:ascii="宋体" w:hAnsi="宋体" w:cs="宋体"/>
          <w:b/>
          <w:bCs/>
          <w:color w:val="auto"/>
          <w:sz w:val="72"/>
          <w:szCs w:val="72"/>
          <w:highlight w:val="none"/>
        </w:rPr>
      </w:pPr>
      <w:r>
        <w:rPr>
          <w:rFonts w:hint="eastAsia" w:ascii="宋体" w:hAnsi="宋体" w:cs="宋体"/>
          <w:b/>
          <w:bCs/>
          <w:color w:val="auto"/>
          <w:sz w:val="72"/>
          <w:szCs w:val="72"/>
          <w:highlight w:val="none"/>
        </w:rPr>
        <w:t>响应文件</w:t>
      </w:r>
    </w:p>
    <w:p w14:paraId="11E14CA4">
      <w:pPr>
        <w:shd w:val="clear" w:color="auto"/>
        <w:jc w:val="center"/>
        <w:rPr>
          <w:rFonts w:ascii="宋体" w:hAnsi="宋体" w:cs="宋体"/>
          <w:b/>
          <w:bCs/>
          <w:color w:val="auto"/>
          <w:sz w:val="72"/>
          <w:szCs w:val="72"/>
          <w:highlight w:val="none"/>
        </w:rPr>
      </w:pPr>
      <w:r>
        <w:rPr>
          <w:rFonts w:hint="eastAsia" w:ascii="宋体" w:hAnsi="宋体" w:cs="宋体"/>
          <w:b/>
          <w:bCs/>
          <w:color w:val="auto"/>
          <w:sz w:val="72"/>
          <w:szCs w:val="72"/>
          <w:highlight w:val="none"/>
        </w:rPr>
        <w:t> </w:t>
      </w:r>
    </w:p>
    <w:p w14:paraId="64AF32B9">
      <w:pPr>
        <w:shd w:val="clear" w:color="auto"/>
        <w:ind w:firstLine="1084" w:firstLineChars="300"/>
        <w:rPr>
          <w:rFonts w:ascii="宋体" w:hAnsi="宋体" w:cs="宋体"/>
          <w:b/>
          <w:bCs/>
          <w:color w:val="auto"/>
          <w:sz w:val="36"/>
          <w:szCs w:val="36"/>
          <w:highlight w:val="none"/>
        </w:rPr>
      </w:pPr>
    </w:p>
    <w:p w14:paraId="5E5484E4">
      <w:pPr>
        <w:shd w:val="clear" w:color="auto"/>
        <w:ind w:firstLine="1084" w:firstLineChars="300"/>
        <w:rPr>
          <w:rFonts w:hint="eastAsia" w:ascii="宋体" w:hAnsi="宋体" w:cs="宋体"/>
          <w:b/>
          <w:bCs/>
          <w:color w:val="auto"/>
          <w:sz w:val="36"/>
          <w:szCs w:val="36"/>
          <w:highlight w:val="none"/>
          <w:lang w:val="en-US" w:eastAsia="zh-CN"/>
        </w:rPr>
      </w:pPr>
      <w:r>
        <w:rPr>
          <w:rFonts w:hint="eastAsia" w:ascii="宋体" w:hAnsi="宋体" w:cs="宋体"/>
          <w:b/>
          <w:bCs/>
          <w:color w:val="auto"/>
          <w:sz w:val="36"/>
          <w:szCs w:val="36"/>
          <w:highlight w:val="none"/>
        </w:rPr>
        <w:t>项 目 名 称：</w:t>
      </w:r>
      <w:r>
        <w:rPr>
          <w:rFonts w:hint="eastAsia" w:ascii="宋体" w:hAnsi="宋体" w:cs="宋体"/>
          <w:b/>
          <w:bCs/>
          <w:color w:val="auto"/>
          <w:sz w:val="36"/>
          <w:szCs w:val="36"/>
          <w:highlight w:val="none"/>
          <w:lang w:val="en-US" w:eastAsia="zh-CN"/>
        </w:rPr>
        <w:t>古地石指挥部及金尚菜市场项目、厦大海韵园二期项目保洁绿化服务</w:t>
      </w:r>
    </w:p>
    <w:p w14:paraId="0653FCD3">
      <w:pPr>
        <w:shd w:val="clear" w:color="auto"/>
        <w:ind w:firstLine="1084" w:firstLineChars="300"/>
        <w:rPr>
          <w:rFonts w:hint="eastAsia" w:ascii="宋体" w:hAnsi="宋体" w:eastAsia="宋体" w:cs="宋体"/>
          <w:b/>
          <w:bCs/>
          <w:color w:val="auto"/>
          <w:sz w:val="36"/>
          <w:szCs w:val="36"/>
          <w:highlight w:val="none"/>
          <w:u w:val="single"/>
          <w:lang w:eastAsia="zh-CN"/>
        </w:rPr>
      </w:pPr>
      <w:r>
        <w:rPr>
          <w:rFonts w:hint="eastAsia" w:ascii="宋体" w:hAnsi="宋体" w:cs="宋体"/>
          <w:b/>
          <w:bCs/>
          <w:color w:val="auto"/>
          <w:sz w:val="36"/>
          <w:szCs w:val="36"/>
          <w:highlight w:val="none"/>
        </w:rPr>
        <w:t>采 购 编 号：</w:t>
      </w:r>
      <w:r>
        <w:rPr>
          <w:rFonts w:hint="eastAsia" w:ascii="宋体" w:hAnsi="宋体" w:cs="宋体"/>
          <w:b/>
          <w:bCs/>
          <w:color w:val="auto"/>
          <w:sz w:val="36"/>
          <w:szCs w:val="36"/>
          <w:highlight w:val="none"/>
          <w:lang w:eastAsia="zh-CN"/>
        </w:rPr>
        <w:t xml:space="preserve"> </w:t>
      </w:r>
      <w:r>
        <w:rPr>
          <w:rFonts w:hint="eastAsia" w:ascii="宋体" w:hAnsi="宋体" w:cs="宋体"/>
          <w:b/>
          <w:bCs/>
          <w:color w:val="auto"/>
          <w:sz w:val="36"/>
          <w:szCs w:val="36"/>
          <w:highlight w:val="none"/>
          <w:lang w:val="en-US" w:eastAsia="zh-CN"/>
        </w:rPr>
        <w:t>GTWY2025-001</w:t>
      </w:r>
    </w:p>
    <w:p w14:paraId="35648DE7">
      <w:pPr>
        <w:shd w:val="clear" w:color="auto"/>
        <w:rPr>
          <w:rFonts w:ascii="宋体" w:hAnsi="宋体" w:cs="宋体"/>
          <w:b/>
          <w:bCs/>
          <w:color w:val="auto"/>
          <w:sz w:val="36"/>
          <w:szCs w:val="36"/>
          <w:highlight w:val="none"/>
        </w:rPr>
      </w:pPr>
      <w:r>
        <w:rPr>
          <w:rFonts w:hint="eastAsia" w:ascii="宋体" w:hAnsi="宋体" w:cs="宋体"/>
          <w:b/>
          <w:bCs/>
          <w:color w:val="auto"/>
          <w:sz w:val="36"/>
          <w:szCs w:val="36"/>
          <w:highlight w:val="none"/>
        </w:rPr>
        <w:t> </w:t>
      </w:r>
    </w:p>
    <w:p w14:paraId="7B5A18D1">
      <w:pPr>
        <w:shd w:val="clear" w:color="auto"/>
        <w:rPr>
          <w:rFonts w:ascii="宋体" w:hAnsi="宋体" w:cs="宋体"/>
          <w:b/>
          <w:bCs/>
          <w:color w:val="auto"/>
          <w:sz w:val="36"/>
          <w:szCs w:val="36"/>
          <w:highlight w:val="none"/>
        </w:rPr>
      </w:pPr>
      <w:r>
        <w:rPr>
          <w:rFonts w:hint="eastAsia" w:ascii="宋体" w:hAnsi="宋体" w:cs="宋体"/>
          <w:b/>
          <w:bCs/>
          <w:color w:val="auto"/>
          <w:sz w:val="36"/>
          <w:szCs w:val="36"/>
          <w:highlight w:val="none"/>
        </w:rPr>
        <w:t>   </w:t>
      </w:r>
    </w:p>
    <w:p w14:paraId="2D050117">
      <w:pPr>
        <w:shd w:val="clear" w:color="auto"/>
        <w:rPr>
          <w:rFonts w:ascii="宋体" w:hAnsi="宋体" w:cs="宋体"/>
          <w:b/>
          <w:bCs/>
          <w:color w:val="auto"/>
          <w:sz w:val="36"/>
          <w:szCs w:val="36"/>
          <w:highlight w:val="none"/>
        </w:rPr>
      </w:pPr>
    </w:p>
    <w:p w14:paraId="3B630D07">
      <w:pPr>
        <w:shd w:val="clear" w:color="auto"/>
        <w:rPr>
          <w:rFonts w:ascii="宋体" w:hAnsi="宋体" w:cs="宋体"/>
          <w:b/>
          <w:bCs/>
          <w:color w:val="auto"/>
          <w:sz w:val="36"/>
          <w:szCs w:val="36"/>
          <w:highlight w:val="none"/>
          <w:u w:val="single"/>
        </w:rPr>
      </w:pPr>
      <w:r>
        <w:rPr>
          <w:rFonts w:hint="eastAsia" w:ascii="宋体" w:hAnsi="宋体" w:cs="宋体"/>
          <w:b/>
          <w:bCs/>
          <w:color w:val="auto"/>
          <w:sz w:val="36"/>
          <w:szCs w:val="36"/>
          <w:highlight w:val="none"/>
        </w:rPr>
        <w:t xml:space="preserve">      供应商全称 ：</w:t>
      </w:r>
    </w:p>
    <w:p w14:paraId="0FC9695B">
      <w:pPr>
        <w:shd w:val="clear" w:color="auto"/>
        <w:ind w:firstLine="1084" w:firstLineChars="300"/>
        <w:rPr>
          <w:rFonts w:ascii="宋体" w:hAnsi="宋体" w:cs="宋体"/>
          <w:b/>
          <w:bCs/>
          <w:color w:val="auto"/>
          <w:sz w:val="36"/>
          <w:szCs w:val="36"/>
          <w:highlight w:val="none"/>
        </w:rPr>
      </w:pPr>
      <w:r>
        <w:rPr>
          <w:rFonts w:hint="eastAsia" w:ascii="宋体" w:hAnsi="宋体" w:cs="宋体"/>
          <w:b/>
          <w:bCs/>
          <w:color w:val="auto"/>
          <w:sz w:val="36"/>
          <w:szCs w:val="36"/>
          <w:highlight w:val="none"/>
        </w:rPr>
        <w:t>日      期 ：</w:t>
      </w:r>
    </w:p>
    <w:p w14:paraId="2BEADE99">
      <w:pPr>
        <w:tabs>
          <w:tab w:val="left" w:pos="900"/>
        </w:tabs>
        <w:spacing w:line="440" w:lineRule="exact"/>
        <w:jc w:val="center"/>
        <w:rPr>
          <w:rFonts w:ascii="宋体" w:hAnsi="宋体" w:cs="宋体"/>
          <w:b/>
          <w:color w:val="auto"/>
          <w:sz w:val="30"/>
          <w:szCs w:val="30"/>
          <w:highlight w:val="none"/>
        </w:rPr>
        <w:sectPr>
          <w:footerReference r:id="rId11" w:type="default"/>
          <w:pgSz w:w="11906" w:h="16838"/>
          <w:pgMar w:top="1440" w:right="1083" w:bottom="1440" w:left="1083" w:header="851" w:footer="992" w:gutter="0"/>
          <w:cols w:space="0" w:num="1"/>
          <w:docGrid w:type="lines" w:linePitch="405" w:charSpace="0"/>
        </w:sectPr>
      </w:pPr>
    </w:p>
    <w:p w14:paraId="6FB17034">
      <w:pPr>
        <w:spacing w:line="360" w:lineRule="auto"/>
        <w:jc w:val="center"/>
        <w:rPr>
          <w:rFonts w:ascii="宋体" w:hAnsi="宋体" w:cs="宋体"/>
          <w:b/>
          <w:bCs/>
          <w:color w:val="auto"/>
          <w:sz w:val="32"/>
          <w:highlight w:val="none"/>
        </w:rPr>
      </w:pPr>
      <w:r>
        <w:rPr>
          <w:rFonts w:hint="eastAsia" w:ascii="宋体" w:hAnsi="宋体" w:cs="宋体"/>
          <w:b/>
          <w:bCs/>
          <w:color w:val="auto"/>
          <w:sz w:val="32"/>
          <w:highlight w:val="none"/>
        </w:rPr>
        <w:t>目录</w:t>
      </w:r>
    </w:p>
    <w:p w14:paraId="42729E9E">
      <w:pPr>
        <w:spacing w:line="360" w:lineRule="auto"/>
        <w:rPr>
          <w:rFonts w:ascii="宋体" w:hAnsi="宋体" w:cs="宋体"/>
          <w:color w:val="auto"/>
          <w:sz w:val="24"/>
          <w:highlight w:val="none"/>
        </w:rPr>
      </w:pPr>
    </w:p>
    <w:p w14:paraId="2744ECFC">
      <w:pPr>
        <w:spacing w:line="360" w:lineRule="auto"/>
        <w:rPr>
          <w:rFonts w:ascii="宋体" w:hAnsi="宋体" w:cs="宋体"/>
          <w:color w:val="auto"/>
          <w:sz w:val="24"/>
          <w:highlight w:val="none"/>
        </w:rPr>
      </w:pPr>
      <w:r>
        <w:rPr>
          <w:rFonts w:hint="eastAsia" w:ascii="宋体" w:hAnsi="宋体" w:cs="宋体"/>
          <w:color w:val="auto"/>
          <w:sz w:val="24"/>
          <w:highlight w:val="none"/>
        </w:rPr>
        <w:t>1.报价函</w:t>
      </w:r>
    </w:p>
    <w:p w14:paraId="2F8F173F">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2.</w:t>
      </w:r>
      <w:r>
        <w:rPr>
          <w:rFonts w:hint="eastAsia" w:ascii="宋体" w:hAnsi="宋体" w:cs="宋体"/>
          <w:color w:val="auto"/>
          <w:sz w:val="24"/>
          <w:highlight w:val="none"/>
          <w:lang w:eastAsia="zh-CN"/>
        </w:rPr>
        <w:t>报价明细</w:t>
      </w:r>
    </w:p>
    <w:p w14:paraId="46617313">
      <w:pPr>
        <w:spacing w:line="360" w:lineRule="auto"/>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.“★”号条款逐条响应情况表</w:t>
      </w:r>
    </w:p>
    <w:p w14:paraId="4063D838">
      <w:pPr>
        <w:spacing w:line="360" w:lineRule="auto"/>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.供应商的资格证明文件</w:t>
      </w:r>
    </w:p>
    <w:p w14:paraId="50C7D35F">
      <w:pPr>
        <w:spacing w:line="360" w:lineRule="auto"/>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．供应商提交的其它资料</w:t>
      </w:r>
    </w:p>
    <w:p w14:paraId="2DE44193">
      <w:pPr>
        <w:spacing w:line="360" w:lineRule="auto"/>
        <w:rPr>
          <w:rFonts w:ascii="宋体" w:hAnsi="宋体" w:cs="宋体"/>
          <w:color w:val="auto"/>
          <w:sz w:val="24"/>
          <w:highlight w:val="none"/>
        </w:rPr>
      </w:pPr>
    </w:p>
    <w:p w14:paraId="6D96CA79">
      <w:pPr>
        <w:spacing w:line="360" w:lineRule="auto"/>
        <w:rPr>
          <w:rFonts w:ascii="宋体" w:hAnsi="宋体" w:cs="宋体"/>
          <w:color w:val="auto"/>
          <w:sz w:val="24"/>
          <w:highlight w:val="none"/>
        </w:rPr>
      </w:pPr>
    </w:p>
    <w:p w14:paraId="79B18264">
      <w:pPr>
        <w:spacing w:line="360" w:lineRule="auto"/>
        <w:rPr>
          <w:rFonts w:ascii="宋体" w:hAnsi="宋体" w:cs="宋体"/>
          <w:color w:val="auto"/>
          <w:sz w:val="24"/>
          <w:highlight w:val="none"/>
        </w:rPr>
      </w:pPr>
    </w:p>
    <w:p w14:paraId="72F8167F">
      <w:pPr>
        <w:spacing w:line="360" w:lineRule="auto"/>
        <w:rPr>
          <w:rFonts w:ascii="宋体" w:hAnsi="宋体" w:cs="宋体"/>
          <w:color w:val="auto"/>
          <w:sz w:val="24"/>
          <w:highlight w:val="none"/>
        </w:rPr>
      </w:pPr>
    </w:p>
    <w:p w14:paraId="27492E26">
      <w:pPr>
        <w:jc w:val="both"/>
        <w:rPr>
          <w:rFonts w:ascii="宋体" w:hAnsi="宋体" w:cs="宋体"/>
          <w:b/>
          <w:color w:val="auto"/>
          <w:sz w:val="36"/>
          <w:szCs w:val="36"/>
          <w:highlight w:val="none"/>
        </w:rPr>
      </w:pPr>
    </w:p>
    <w:p w14:paraId="6866396A">
      <w:pPr>
        <w:pStyle w:val="41"/>
        <w:rPr>
          <w:rFonts w:ascii="宋体" w:hAnsi="宋体" w:cs="宋体"/>
          <w:b/>
          <w:color w:val="auto"/>
          <w:sz w:val="36"/>
          <w:szCs w:val="36"/>
          <w:highlight w:val="none"/>
        </w:rPr>
      </w:pPr>
    </w:p>
    <w:p w14:paraId="73E2CA68">
      <w:pPr>
        <w:rPr>
          <w:color w:val="auto"/>
          <w:highlight w:val="none"/>
        </w:rPr>
      </w:pPr>
    </w:p>
    <w:p w14:paraId="1B7562E4">
      <w:pPr>
        <w:jc w:val="both"/>
        <w:rPr>
          <w:rFonts w:ascii="宋体" w:hAnsi="宋体" w:cs="宋体"/>
          <w:b/>
          <w:color w:val="auto"/>
          <w:sz w:val="36"/>
          <w:szCs w:val="36"/>
          <w:highlight w:val="none"/>
        </w:rPr>
      </w:pPr>
    </w:p>
    <w:p w14:paraId="577696BE">
      <w:pPr>
        <w:jc w:val="both"/>
        <w:rPr>
          <w:rFonts w:ascii="宋体" w:hAnsi="宋体" w:cs="宋体"/>
          <w:b/>
          <w:color w:val="auto"/>
          <w:sz w:val="36"/>
          <w:szCs w:val="36"/>
          <w:highlight w:val="none"/>
        </w:rPr>
      </w:pPr>
    </w:p>
    <w:p w14:paraId="0E9F2E9C">
      <w:pPr>
        <w:jc w:val="both"/>
        <w:rPr>
          <w:rFonts w:ascii="宋体" w:hAnsi="宋体" w:cs="宋体"/>
          <w:b/>
          <w:color w:val="auto"/>
          <w:sz w:val="36"/>
          <w:szCs w:val="36"/>
          <w:highlight w:val="none"/>
        </w:rPr>
      </w:pPr>
    </w:p>
    <w:p w14:paraId="6B1FCC5B">
      <w:pPr>
        <w:pStyle w:val="41"/>
        <w:rPr>
          <w:color w:val="auto"/>
          <w:highlight w:val="none"/>
        </w:rPr>
      </w:pPr>
    </w:p>
    <w:p w14:paraId="2DF03566">
      <w:pPr>
        <w:jc w:val="both"/>
        <w:rPr>
          <w:rFonts w:ascii="宋体" w:hAnsi="宋体" w:cs="宋体"/>
          <w:b/>
          <w:color w:val="auto"/>
          <w:sz w:val="36"/>
          <w:szCs w:val="36"/>
          <w:highlight w:val="none"/>
        </w:rPr>
      </w:pPr>
    </w:p>
    <w:p w14:paraId="20BCDD23">
      <w:pPr>
        <w:spacing w:line="380" w:lineRule="exact"/>
        <w:rPr>
          <w:rFonts w:hint="eastAsia" w:ascii="宋体" w:hAnsi="宋体" w:cs="宋体"/>
          <w:color w:val="auto"/>
          <w:sz w:val="24"/>
          <w:highlight w:val="none"/>
        </w:rPr>
      </w:pPr>
    </w:p>
    <w:p w14:paraId="15C08619">
      <w:pPr>
        <w:spacing w:line="380" w:lineRule="exact"/>
        <w:rPr>
          <w:rFonts w:hint="eastAsia" w:ascii="宋体" w:hAnsi="宋体" w:cs="宋体"/>
          <w:color w:val="auto"/>
          <w:sz w:val="24"/>
          <w:highlight w:val="none"/>
        </w:rPr>
      </w:pPr>
    </w:p>
    <w:p w14:paraId="6A47574A">
      <w:pPr>
        <w:spacing w:line="380" w:lineRule="exact"/>
        <w:rPr>
          <w:rFonts w:hint="eastAsia" w:ascii="宋体" w:hAnsi="宋体" w:cs="宋体"/>
          <w:color w:val="auto"/>
          <w:sz w:val="24"/>
          <w:highlight w:val="none"/>
        </w:rPr>
      </w:pPr>
    </w:p>
    <w:p w14:paraId="02A66A6E">
      <w:pPr>
        <w:spacing w:line="380" w:lineRule="exact"/>
        <w:rPr>
          <w:rFonts w:ascii="宋体" w:hAnsi="宋体" w:cs="宋体"/>
          <w:b/>
          <w:color w:val="auto"/>
          <w:sz w:val="36"/>
          <w:szCs w:val="36"/>
          <w:highlight w:val="none"/>
        </w:rPr>
      </w:pPr>
      <w:r>
        <w:rPr>
          <w:rFonts w:hint="eastAsia" w:ascii="宋体" w:hAnsi="宋体" w:cs="宋体"/>
          <w:color w:val="auto"/>
          <w:sz w:val="24"/>
          <w:highlight w:val="none"/>
        </w:rPr>
        <w:t>附件1</w:t>
      </w:r>
    </w:p>
    <w:p w14:paraId="6046221F">
      <w:pPr>
        <w:spacing w:line="380" w:lineRule="exact"/>
        <w:jc w:val="center"/>
        <w:rPr>
          <w:rFonts w:hint="eastAsia" w:ascii="宋体" w:hAnsi="宋体" w:cs="宋体"/>
          <w:b/>
          <w:color w:val="auto"/>
          <w:sz w:val="36"/>
          <w:szCs w:val="36"/>
          <w:highlight w:val="none"/>
        </w:rPr>
      </w:pPr>
    </w:p>
    <w:p w14:paraId="75FA3C9E">
      <w:pPr>
        <w:spacing w:line="380" w:lineRule="exact"/>
        <w:jc w:val="center"/>
        <w:rPr>
          <w:rFonts w:ascii="宋体" w:hAnsi="宋体" w:cs="宋体"/>
          <w:b/>
          <w:color w:val="auto"/>
          <w:sz w:val="36"/>
          <w:szCs w:val="36"/>
          <w:highlight w:val="none"/>
        </w:rPr>
      </w:pPr>
      <w:r>
        <w:rPr>
          <w:rFonts w:hint="eastAsia" w:ascii="宋体" w:hAnsi="宋体" w:cs="宋体"/>
          <w:b/>
          <w:color w:val="auto"/>
          <w:sz w:val="36"/>
          <w:szCs w:val="36"/>
          <w:highlight w:val="none"/>
        </w:rPr>
        <w:t>报价函</w:t>
      </w:r>
    </w:p>
    <w:p w14:paraId="32F89537">
      <w:pPr>
        <w:spacing w:line="380" w:lineRule="exact"/>
        <w:rPr>
          <w:rFonts w:ascii="宋体" w:hAnsi="宋体" w:cs="宋体"/>
          <w:color w:val="auto"/>
          <w:szCs w:val="21"/>
          <w:highlight w:val="none"/>
        </w:rPr>
      </w:pPr>
      <w:r>
        <w:rPr>
          <w:rFonts w:hint="eastAsia" w:ascii="宋体" w:hAnsi="宋体" w:cs="宋体"/>
          <w:color w:val="auto"/>
          <w:szCs w:val="21"/>
          <w:highlight w:val="none"/>
        </w:rPr>
        <w:t>致：厦门湖里国投物业服务有限公司</w:t>
      </w:r>
    </w:p>
    <w:p w14:paraId="7A663FA1">
      <w:pPr>
        <w:tabs>
          <w:tab w:val="left" w:pos="980"/>
        </w:tabs>
        <w:spacing w:line="380" w:lineRule="exact"/>
        <w:ind w:firstLine="367" w:firstLineChars="175"/>
        <w:rPr>
          <w:rFonts w:ascii="宋体" w:hAnsi="宋体" w:cs="宋体"/>
          <w:color w:val="auto"/>
          <w:szCs w:val="21"/>
          <w:highlight w:val="none"/>
        </w:rPr>
      </w:pPr>
      <w:r>
        <w:rPr>
          <w:rFonts w:hint="eastAsia" w:ascii="宋体" w:hAnsi="宋体" w:cs="宋体"/>
          <w:color w:val="auto"/>
          <w:szCs w:val="21"/>
          <w:highlight w:val="none"/>
        </w:rPr>
        <w:t>根据贵方为</w:t>
      </w:r>
      <w:r>
        <w:rPr>
          <w:rFonts w:hint="eastAsia" w:ascii="宋体" w:hAnsi="宋体" w:cs="宋体"/>
          <w:color w:val="auto"/>
          <w:szCs w:val="21"/>
          <w:highlight w:val="none"/>
          <w:u w:val="single"/>
          <w:lang w:val="en-US" w:eastAsia="zh-CN"/>
        </w:rPr>
        <w:t>古地石指挥部及金尚菜市场项目、厦大海韵园二期项目保洁绿化服务</w:t>
      </w:r>
      <w:r>
        <w:rPr>
          <w:rFonts w:hint="eastAsia" w:ascii="宋体" w:hAnsi="宋体" w:cs="宋体"/>
          <w:color w:val="auto"/>
          <w:szCs w:val="21"/>
          <w:highlight w:val="none"/>
        </w:rPr>
        <w:t xml:space="preserve"> 项目的询价邀请（项目编号：</w:t>
      </w:r>
      <w:r>
        <w:rPr>
          <w:rFonts w:hint="eastAsia" w:ascii="宋体" w:hAnsi="宋体" w:cs="宋体"/>
          <w:color w:val="auto"/>
          <w:szCs w:val="21"/>
          <w:highlight w:val="none"/>
          <w:lang w:val="en-US" w:eastAsia="zh-CN"/>
        </w:rPr>
        <w:t>GTWY2025-001</w:t>
      </w:r>
      <w:r>
        <w:rPr>
          <w:rFonts w:hint="eastAsia" w:ascii="宋体" w:hAnsi="宋体" w:cs="宋体"/>
          <w:color w:val="auto"/>
          <w:szCs w:val="21"/>
          <w:highlight w:val="none"/>
        </w:rPr>
        <w:t>），本签字代表</w:t>
      </w:r>
      <w:r>
        <w:rPr>
          <w:rFonts w:hint="eastAsia" w:ascii="宋体" w:hAnsi="宋体" w:cs="宋体"/>
          <w:color w:val="auto"/>
          <w:szCs w:val="21"/>
          <w:highlight w:val="none"/>
          <w:u w:val="single"/>
        </w:rPr>
        <w:t>（全名、职务）</w:t>
      </w:r>
      <w:r>
        <w:rPr>
          <w:rFonts w:hint="eastAsia" w:ascii="宋体" w:hAnsi="宋体" w:cs="宋体"/>
          <w:color w:val="auto"/>
          <w:szCs w:val="21"/>
          <w:highlight w:val="none"/>
        </w:rPr>
        <w:t>代表供应商</w:t>
      </w:r>
      <w:r>
        <w:rPr>
          <w:rFonts w:hint="eastAsia" w:ascii="宋体" w:hAnsi="宋体" w:cs="宋体"/>
          <w:color w:val="auto"/>
          <w:szCs w:val="21"/>
          <w:highlight w:val="none"/>
          <w:u w:val="single"/>
        </w:rPr>
        <w:t>（供应商名称、地址）</w:t>
      </w:r>
      <w:r>
        <w:rPr>
          <w:rFonts w:hint="eastAsia" w:ascii="宋体" w:hAnsi="宋体" w:cs="宋体"/>
          <w:color w:val="auto"/>
          <w:szCs w:val="21"/>
          <w:highlight w:val="none"/>
        </w:rPr>
        <w:t>提交下述文件正本一份和副 本二份。</w:t>
      </w:r>
    </w:p>
    <w:p w14:paraId="1946A8E1">
      <w:pPr>
        <w:numPr>
          <w:ilvl w:val="0"/>
          <w:numId w:val="22"/>
        </w:numPr>
        <w:tabs>
          <w:tab w:val="left" w:pos="980"/>
        </w:tabs>
        <w:spacing w:line="380" w:lineRule="exact"/>
        <w:ind w:left="568" w:hanging="343" w:firstLineChars="0"/>
        <w:rPr>
          <w:rFonts w:ascii="宋体" w:hAnsi="宋体" w:cs="宋体"/>
          <w:color w:val="auto"/>
          <w:szCs w:val="21"/>
          <w:highlight w:val="none"/>
        </w:rPr>
      </w:pPr>
      <w:r>
        <w:rPr>
          <w:rFonts w:hint="eastAsia" w:ascii="宋体" w:hAnsi="宋体" w:cs="宋体"/>
          <w:color w:val="auto"/>
          <w:szCs w:val="21"/>
          <w:highlight w:val="none"/>
        </w:rPr>
        <w:t>报价函</w:t>
      </w:r>
    </w:p>
    <w:p w14:paraId="1798F707">
      <w:pPr>
        <w:numPr>
          <w:ilvl w:val="0"/>
          <w:numId w:val="22"/>
        </w:numPr>
        <w:tabs>
          <w:tab w:val="left" w:pos="980"/>
        </w:tabs>
        <w:spacing w:line="380" w:lineRule="exact"/>
        <w:ind w:left="568" w:hanging="343" w:firstLineChars="0"/>
        <w:rPr>
          <w:rFonts w:ascii="宋体" w:hAnsi="宋体" w:cs="宋体"/>
          <w:color w:val="auto"/>
          <w:szCs w:val="21"/>
          <w:highlight w:val="none"/>
        </w:rPr>
      </w:pPr>
      <w:r>
        <w:rPr>
          <w:rFonts w:hint="eastAsia" w:ascii="宋体" w:hAnsi="宋体" w:cs="宋体"/>
          <w:color w:val="auto"/>
          <w:szCs w:val="21"/>
          <w:highlight w:val="none"/>
          <w:lang w:eastAsia="zh-CN"/>
        </w:rPr>
        <w:t>报价明细</w:t>
      </w:r>
    </w:p>
    <w:p w14:paraId="49AECB5E">
      <w:pPr>
        <w:numPr>
          <w:ilvl w:val="0"/>
          <w:numId w:val="22"/>
        </w:numPr>
        <w:tabs>
          <w:tab w:val="left" w:pos="980"/>
        </w:tabs>
        <w:spacing w:line="380" w:lineRule="exact"/>
        <w:ind w:left="568" w:hanging="343" w:firstLineChars="0"/>
        <w:rPr>
          <w:rFonts w:ascii="宋体" w:hAnsi="宋体" w:cs="宋体"/>
          <w:color w:val="auto"/>
          <w:szCs w:val="21"/>
          <w:highlight w:val="none"/>
        </w:rPr>
      </w:pPr>
      <w:r>
        <w:rPr>
          <w:rFonts w:hint="eastAsia" w:ascii="宋体" w:hAnsi="宋体" w:cs="宋体"/>
          <w:color w:val="auto"/>
          <w:szCs w:val="21"/>
          <w:highlight w:val="none"/>
        </w:rPr>
        <w:t>“★”号条款逐条响应情况表</w:t>
      </w:r>
    </w:p>
    <w:p w14:paraId="3AD81E69">
      <w:pPr>
        <w:numPr>
          <w:ilvl w:val="0"/>
          <w:numId w:val="22"/>
        </w:numPr>
        <w:tabs>
          <w:tab w:val="left" w:pos="980"/>
        </w:tabs>
        <w:spacing w:line="380" w:lineRule="exact"/>
        <w:ind w:left="568" w:hanging="343" w:firstLineChars="0"/>
        <w:rPr>
          <w:rFonts w:ascii="宋体" w:hAnsi="宋体" w:cs="宋体"/>
          <w:color w:val="auto"/>
          <w:szCs w:val="21"/>
          <w:highlight w:val="none"/>
        </w:rPr>
      </w:pPr>
      <w:r>
        <w:rPr>
          <w:rFonts w:hint="eastAsia" w:ascii="宋体" w:hAnsi="宋体" w:cs="宋体"/>
          <w:color w:val="auto"/>
          <w:szCs w:val="21"/>
          <w:highlight w:val="none"/>
        </w:rPr>
        <w:t>供应商的资格证明文件</w:t>
      </w:r>
    </w:p>
    <w:p w14:paraId="165EDAA3">
      <w:pPr>
        <w:numPr>
          <w:ilvl w:val="0"/>
          <w:numId w:val="22"/>
        </w:numPr>
        <w:tabs>
          <w:tab w:val="left" w:pos="980"/>
        </w:tabs>
        <w:spacing w:line="380" w:lineRule="exact"/>
        <w:ind w:left="568" w:hanging="343" w:firstLineChars="0"/>
        <w:rPr>
          <w:rFonts w:ascii="宋体" w:hAnsi="宋体" w:cs="宋体"/>
          <w:color w:val="auto"/>
          <w:szCs w:val="21"/>
          <w:highlight w:val="none"/>
        </w:rPr>
      </w:pPr>
      <w:r>
        <w:rPr>
          <w:rFonts w:hint="eastAsia" w:ascii="宋体" w:hAnsi="宋体" w:cs="宋体"/>
          <w:color w:val="auto"/>
          <w:szCs w:val="21"/>
          <w:highlight w:val="none"/>
        </w:rPr>
        <w:t>供应商提交的其它资料</w:t>
      </w:r>
    </w:p>
    <w:p w14:paraId="6D50F975">
      <w:pPr>
        <w:numPr>
          <w:ilvl w:val="-1"/>
          <w:numId w:val="0"/>
        </w:numPr>
        <w:tabs>
          <w:tab w:val="left" w:pos="980"/>
        </w:tabs>
        <w:spacing w:line="380" w:lineRule="exact"/>
        <w:ind w:left="225" w:firstLine="210" w:firstLineChars="100"/>
        <w:rPr>
          <w:rFonts w:ascii="宋体" w:hAnsi="宋体" w:cs="宋体"/>
          <w:color w:val="auto"/>
          <w:szCs w:val="21"/>
          <w:highlight w:val="none"/>
        </w:rPr>
      </w:pPr>
      <w:r>
        <w:rPr>
          <w:rFonts w:hint="eastAsia" w:ascii="宋体" w:hAnsi="宋体" w:cs="宋体"/>
          <w:color w:val="auto"/>
          <w:szCs w:val="21"/>
          <w:highlight w:val="none"/>
        </w:rPr>
        <w:t>据此函，签字代表宣布同意如下：</w:t>
      </w:r>
    </w:p>
    <w:p w14:paraId="54172365">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1.所附详细报价表中规定的应提供和交付的货物及服务报价总价为人民币 ，即</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（中文表述）。</w:t>
      </w:r>
    </w:p>
    <w:p w14:paraId="4E5C10E1">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2.供应商已详细审查全部询价文件，包括修改文件（如有的话）和有关附件，将自行承担因对全部询价文件理解不正确或误解而产生的相应后果。</w:t>
      </w:r>
    </w:p>
    <w:p w14:paraId="0573E6F9">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3.供应商保证遵守询价文件的全部规定，供应商所提交的材料中所含的信息均为真实、准确、完整，且不具有任何误导性。</w:t>
      </w:r>
    </w:p>
    <w:p w14:paraId="2EE1D452">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4.供应商将按询价文件的规定履行合同责任和义务。</w:t>
      </w:r>
    </w:p>
    <w:p w14:paraId="29EE6553">
      <w:pPr>
        <w:spacing w:line="380" w:lineRule="exact"/>
        <w:ind w:firstLine="424" w:firstLineChars="202"/>
        <w:rPr>
          <w:rFonts w:ascii="宋体" w:hAnsi="宋体" w:cs="宋体"/>
          <w:color w:val="auto"/>
          <w:szCs w:val="21"/>
          <w:highlight w:val="none"/>
        </w:rPr>
      </w:pPr>
      <w:r>
        <w:rPr>
          <w:rFonts w:hint="eastAsia" w:ascii="宋体" w:hAnsi="宋体" w:cs="宋体"/>
          <w:color w:val="auto"/>
          <w:szCs w:val="21"/>
          <w:highlight w:val="none"/>
        </w:rPr>
        <w:t>5.本</w:t>
      </w:r>
      <w:r>
        <w:rPr>
          <w:rFonts w:hint="eastAsia" w:ascii="宋体" w:hAnsi="宋体" w:cs="宋体"/>
          <w:color w:val="auto"/>
          <w:szCs w:val="21"/>
          <w:highlight w:val="none"/>
          <w:lang w:eastAsia="zh-CN"/>
        </w:rPr>
        <w:t>响应文件</w:t>
      </w:r>
      <w:r>
        <w:rPr>
          <w:rFonts w:hint="eastAsia" w:ascii="宋体" w:hAnsi="宋体" w:cs="宋体"/>
          <w:color w:val="auto"/>
          <w:szCs w:val="21"/>
          <w:highlight w:val="none"/>
        </w:rPr>
        <w:t>自报价截止时间起报价有效期为：在询价文件供应商须知前附表所规定的期限内保持有效。</w:t>
      </w:r>
    </w:p>
    <w:p w14:paraId="68BE1AED">
      <w:pPr>
        <w:spacing w:line="380" w:lineRule="exact"/>
        <w:ind w:firstLine="424" w:firstLineChars="202"/>
        <w:rPr>
          <w:rFonts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.供应商同意按照采购单位要求提供与其询价有关的一切数据或资料，完全理解贵方不一定要接受最低的报价或收到的任何询价。</w:t>
      </w:r>
    </w:p>
    <w:p w14:paraId="2597D964">
      <w:pPr>
        <w:spacing w:line="380" w:lineRule="exact"/>
        <w:ind w:firstLine="424" w:firstLineChars="202"/>
        <w:rPr>
          <w:rFonts w:ascii="宋体" w:hAnsi="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 与本询价有关的一切正式往来通讯请寄：</w:t>
      </w:r>
    </w:p>
    <w:p w14:paraId="6563FCD2">
      <w:pPr>
        <w:spacing w:line="380" w:lineRule="exact"/>
        <w:rPr>
          <w:rFonts w:ascii="宋体" w:hAnsi="宋体" w:cs="宋体"/>
          <w:color w:val="auto"/>
          <w:szCs w:val="21"/>
          <w:highlight w:val="none"/>
          <w:u w:val="single"/>
        </w:rPr>
      </w:pPr>
      <w:r>
        <w:rPr>
          <w:rFonts w:hint="eastAsia" w:ascii="宋体" w:hAnsi="宋体" w:cs="宋体"/>
          <w:color w:val="auto"/>
          <w:szCs w:val="21"/>
          <w:highlight w:val="none"/>
        </w:rPr>
        <w:t xml:space="preserve">      地址：  邮编： 电话：  传真： </w:t>
      </w:r>
    </w:p>
    <w:p w14:paraId="57E3F8B2">
      <w:pPr>
        <w:spacing w:line="380" w:lineRule="exact"/>
        <w:jc w:val="right"/>
        <w:rPr>
          <w:rFonts w:ascii="宋体" w:hAnsi="宋体" w:cs="宋体"/>
          <w:color w:val="auto"/>
          <w:szCs w:val="21"/>
          <w:highlight w:val="none"/>
        </w:rPr>
      </w:pPr>
      <w:r>
        <w:rPr>
          <w:rFonts w:hint="eastAsia" w:ascii="宋体" w:hAnsi="宋体" w:cs="宋体"/>
          <w:color w:val="auto"/>
          <w:szCs w:val="21"/>
          <w:highlight w:val="none"/>
        </w:rPr>
        <w:t>供应商（全称并加盖公章）：</w:t>
      </w:r>
    </w:p>
    <w:p w14:paraId="64BB6159">
      <w:pPr>
        <w:spacing w:line="380" w:lineRule="exact"/>
        <w:jc w:val="right"/>
        <w:rPr>
          <w:rFonts w:ascii="宋体" w:hAnsi="宋体" w:cs="宋体"/>
          <w:color w:val="auto"/>
          <w:szCs w:val="21"/>
          <w:highlight w:val="none"/>
          <w:u w:val="single"/>
        </w:rPr>
      </w:pPr>
      <w:r>
        <w:rPr>
          <w:rFonts w:hint="eastAsia" w:ascii="宋体" w:hAnsi="宋体" w:cs="宋体"/>
          <w:color w:val="auto"/>
          <w:szCs w:val="21"/>
          <w:highlight w:val="none"/>
        </w:rPr>
        <w:t xml:space="preserve">供应商代表签字： </w:t>
      </w:r>
    </w:p>
    <w:p w14:paraId="19F9F20F">
      <w:pPr>
        <w:spacing w:line="380" w:lineRule="exact"/>
        <w:jc w:val="right"/>
        <w:rPr>
          <w:rFonts w:ascii="宋体" w:hAnsi="宋体" w:cs="宋体"/>
          <w:color w:val="auto"/>
          <w:szCs w:val="21"/>
          <w:highlight w:val="none"/>
        </w:rPr>
      </w:pPr>
      <w:r>
        <w:rPr>
          <w:rFonts w:hint="eastAsia" w:ascii="宋体" w:hAnsi="宋体" w:cs="宋体"/>
          <w:color w:val="auto"/>
          <w:szCs w:val="21"/>
          <w:highlight w:val="none"/>
        </w:rPr>
        <w:t xml:space="preserve"> 日  期： 年 月 日</w:t>
      </w:r>
      <w:bookmarkStart w:id="205" w:name="_Toc185762840"/>
    </w:p>
    <w:p w14:paraId="7348F325">
      <w:pPr>
        <w:spacing w:line="340" w:lineRule="atLeast"/>
        <w:jc w:val="center"/>
        <w:rPr>
          <w:rFonts w:ascii="宋体" w:hAnsi="宋体" w:cs="宋体"/>
          <w:color w:val="auto"/>
          <w:szCs w:val="21"/>
          <w:highlight w:val="none"/>
        </w:rPr>
      </w:pPr>
      <w:r>
        <w:rPr>
          <w:rFonts w:hint="eastAsia" w:ascii="宋体" w:hAnsi="宋体" w:cs="宋体"/>
          <w:color w:val="auto"/>
          <w:szCs w:val="21"/>
          <w:highlight w:val="none"/>
        </w:rPr>
        <w:br w:type="page"/>
      </w:r>
      <w:bookmarkEnd w:id="205"/>
    </w:p>
    <w:p w14:paraId="29646BBC">
      <w:pPr>
        <w:spacing w:line="340" w:lineRule="atLeast"/>
        <w:rPr>
          <w:rFonts w:ascii="宋体" w:hAnsi="宋体" w:cs="宋体"/>
          <w:color w:val="auto"/>
          <w:szCs w:val="21"/>
          <w:highlight w:val="none"/>
        </w:rPr>
      </w:pPr>
      <w:r>
        <w:rPr>
          <w:rFonts w:hint="eastAsia" w:ascii="宋体" w:hAnsi="宋体" w:cs="宋体"/>
          <w:color w:val="auto"/>
          <w:sz w:val="24"/>
          <w:highlight w:val="none"/>
        </w:rPr>
        <w:t>附件2</w:t>
      </w:r>
    </w:p>
    <w:p w14:paraId="3F5C0B91">
      <w:pPr>
        <w:spacing w:line="340" w:lineRule="atLeast"/>
        <w:jc w:val="center"/>
        <w:rPr>
          <w:rFonts w:ascii="宋体" w:hAnsi="宋体" w:cs="宋体"/>
          <w:b/>
          <w:color w:val="auto"/>
          <w:sz w:val="36"/>
          <w:szCs w:val="36"/>
          <w:highlight w:val="none"/>
        </w:rPr>
      </w:pPr>
      <w:r>
        <w:rPr>
          <w:rFonts w:hint="eastAsia" w:ascii="宋体" w:hAnsi="宋体" w:cs="宋体"/>
          <w:b/>
          <w:color w:val="auto"/>
          <w:sz w:val="36"/>
          <w:szCs w:val="36"/>
          <w:highlight w:val="none"/>
        </w:rPr>
        <w:t>报价一览表</w:t>
      </w:r>
    </w:p>
    <w:p w14:paraId="4A5D828A">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6E3420C9">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项目</w:t>
      </w:r>
      <w:r>
        <w:rPr>
          <w:rFonts w:hint="eastAsia" w:ascii="宋体" w:hAnsi="宋体" w:cs="宋体"/>
          <w:color w:val="auto"/>
          <w:sz w:val="24"/>
          <w:highlight w:val="none"/>
          <w:lang w:val="en-US" w:eastAsia="zh-CN"/>
        </w:rPr>
        <w:t>名称</w:t>
      </w:r>
      <w:r>
        <w:rPr>
          <w:rFonts w:hint="eastAsia" w:ascii="宋体" w:hAnsi="宋体" w:cs="宋体"/>
          <w:color w:val="auto"/>
          <w:sz w:val="24"/>
          <w:highlight w:val="none"/>
        </w:rPr>
        <w:t>∶</w:t>
      </w:r>
      <w:r>
        <w:rPr>
          <w:rFonts w:hint="eastAsia" w:ascii="宋体" w:hAnsi="宋体" w:cs="宋体"/>
          <w:color w:val="auto"/>
          <w:szCs w:val="21"/>
          <w:highlight w:val="none"/>
          <w:u w:val="single"/>
          <w:lang w:val="en-US" w:eastAsia="zh-CN"/>
        </w:rPr>
        <w:t>古地石指挥部及金尚菜市场项目、厦大海韵园二期项目保洁绿化服务</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 xml:space="preserve"> 货币单位：元</w:t>
      </w:r>
    </w:p>
    <w:tbl>
      <w:tblPr>
        <w:tblStyle w:val="42"/>
        <w:tblW w:w="1089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1"/>
        <w:gridCol w:w="3168"/>
        <w:gridCol w:w="1448"/>
        <w:gridCol w:w="1316"/>
        <w:gridCol w:w="2037"/>
        <w:gridCol w:w="2037"/>
      </w:tblGrid>
      <w:tr w14:paraId="574BC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8" w:hRule="atLeast"/>
          <w:jc w:val="center"/>
        </w:trPr>
        <w:tc>
          <w:tcPr>
            <w:tcW w:w="89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49EBE8B">
            <w:pPr>
              <w:spacing w:line="460" w:lineRule="exact"/>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序号</w:t>
            </w:r>
          </w:p>
        </w:tc>
        <w:tc>
          <w:tcPr>
            <w:tcW w:w="316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340C867">
            <w:pPr>
              <w:spacing w:line="460" w:lineRule="exact"/>
              <w:jc w:val="center"/>
              <w:rPr>
                <w:rFonts w:ascii="宋体" w:hAnsi="宋体" w:cs="宋体"/>
                <w:color w:val="auto"/>
                <w:sz w:val="24"/>
                <w:highlight w:val="none"/>
              </w:rPr>
            </w:pPr>
            <w:r>
              <w:rPr>
                <w:rFonts w:hint="eastAsia" w:ascii="宋体" w:hAnsi="宋体" w:cs="宋体"/>
                <w:color w:val="auto"/>
                <w:sz w:val="24"/>
                <w:highlight w:val="none"/>
              </w:rPr>
              <w:t>项目名称</w:t>
            </w:r>
          </w:p>
        </w:tc>
        <w:tc>
          <w:tcPr>
            <w:tcW w:w="144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EA99E85">
            <w:pPr>
              <w:spacing w:line="46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服务项目部</w:t>
            </w:r>
          </w:p>
        </w:tc>
        <w:tc>
          <w:tcPr>
            <w:tcW w:w="13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DC48745">
            <w:pPr>
              <w:spacing w:line="460" w:lineRule="exact"/>
              <w:jc w:val="center"/>
              <w:rPr>
                <w:rFonts w:ascii="宋体" w:hAnsi="宋体" w:cs="宋体"/>
                <w:color w:val="auto"/>
                <w:sz w:val="24"/>
                <w:highlight w:val="none"/>
              </w:rPr>
            </w:pPr>
            <w:r>
              <w:rPr>
                <w:rFonts w:hint="eastAsia" w:ascii="宋体" w:hAnsi="宋体" w:cs="宋体"/>
                <w:color w:val="auto"/>
                <w:sz w:val="24"/>
                <w:highlight w:val="none"/>
              </w:rPr>
              <w:t>数量</w:t>
            </w:r>
          </w:p>
        </w:tc>
        <w:tc>
          <w:tcPr>
            <w:tcW w:w="20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9177C7B">
            <w:pPr>
              <w:spacing w:line="460" w:lineRule="exact"/>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最高限价（元）</w:t>
            </w:r>
          </w:p>
        </w:tc>
        <w:tc>
          <w:tcPr>
            <w:tcW w:w="20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DF4A821">
            <w:pPr>
              <w:spacing w:line="460" w:lineRule="exact"/>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响应</w:t>
            </w:r>
            <w:r>
              <w:rPr>
                <w:rFonts w:hint="eastAsia" w:ascii="宋体" w:hAnsi="宋体" w:cs="宋体"/>
                <w:color w:val="auto"/>
                <w:sz w:val="24"/>
                <w:highlight w:val="none"/>
              </w:rPr>
              <w:t>报价</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元</w:t>
            </w:r>
            <w:r>
              <w:rPr>
                <w:rFonts w:hint="eastAsia" w:ascii="宋体" w:hAnsi="宋体" w:cs="宋体"/>
                <w:color w:val="auto"/>
                <w:sz w:val="24"/>
                <w:highlight w:val="none"/>
                <w:lang w:eastAsia="zh-CN"/>
              </w:rPr>
              <w:t>）</w:t>
            </w:r>
          </w:p>
        </w:tc>
      </w:tr>
      <w:tr w14:paraId="52781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8" w:hRule="atLeast"/>
          <w:jc w:val="center"/>
        </w:trPr>
        <w:tc>
          <w:tcPr>
            <w:tcW w:w="89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D66DD76">
            <w:pPr>
              <w:spacing w:line="460" w:lineRule="exact"/>
              <w:jc w:val="center"/>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1</w:t>
            </w:r>
          </w:p>
        </w:tc>
        <w:tc>
          <w:tcPr>
            <w:tcW w:w="3168" w:type="dxa"/>
            <w:vMerge w:val="restart"/>
            <w:tcBorders>
              <w:top w:val="single" w:color="000000" w:sz="4" w:space="0"/>
              <w:left w:val="single" w:color="000000" w:sz="4" w:space="0"/>
              <w:right w:val="single" w:color="000000" w:sz="4" w:space="0"/>
            </w:tcBorders>
            <w:tcMar>
              <w:top w:w="0" w:type="dxa"/>
              <w:left w:w="108" w:type="dxa"/>
              <w:bottom w:w="0" w:type="dxa"/>
              <w:right w:w="108" w:type="dxa"/>
            </w:tcMar>
            <w:vAlign w:val="center"/>
          </w:tcPr>
          <w:p w14:paraId="1DF4EB44">
            <w:pPr>
              <w:spacing w:line="360" w:lineRule="auto"/>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sz w:val="24"/>
                <w:szCs w:val="24"/>
                <w:highlight w:val="none"/>
                <w:u w:val="single"/>
                <w:lang w:val="en-US" w:eastAsia="zh-CN"/>
              </w:rPr>
              <w:t>古地石指挥部及金尚菜市场项目、厦大海韵园二期项目保洁绿化服务</w:t>
            </w:r>
          </w:p>
          <w:p w14:paraId="73A80105">
            <w:pPr>
              <w:spacing w:line="360" w:lineRule="auto"/>
              <w:jc w:val="center"/>
              <w:rPr>
                <w:rFonts w:hint="eastAsia" w:ascii="宋体" w:hAnsi="宋体" w:eastAsia="宋体" w:cs="宋体"/>
                <w:b w:val="0"/>
                <w:bCs w:val="0"/>
                <w:color w:val="auto"/>
                <w:sz w:val="24"/>
                <w:szCs w:val="24"/>
                <w:highlight w:val="none"/>
                <w:lang w:eastAsia="zh-CN"/>
              </w:rPr>
            </w:pPr>
          </w:p>
        </w:tc>
        <w:tc>
          <w:tcPr>
            <w:tcW w:w="144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5F2F36F">
            <w:pPr>
              <w:spacing w:line="360" w:lineRule="auto"/>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古地石指挥部项目</w:t>
            </w:r>
          </w:p>
        </w:tc>
        <w:tc>
          <w:tcPr>
            <w:tcW w:w="13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B186D04">
            <w:pPr>
              <w:spacing w:line="460" w:lineRule="exact"/>
              <w:jc w:val="center"/>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1</w:t>
            </w:r>
            <w:r>
              <w:rPr>
                <w:rFonts w:hint="eastAsia" w:ascii="宋体" w:hAnsi="宋体" w:eastAsia="宋体" w:cs="宋体"/>
                <w:b w:val="0"/>
                <w:bCs w:val="0"/>
                <w:color w:val="auto"/>
                <w:sz w:val="24"/>
                <w:szCs w:val="24"/>
                <w:highlight w:val="none"/>
                <w:lang w:val="en-US" w:eastAsia="zh-CN"/>
              </w:rPr>
              <w:t>项</w:t>
            </w:r>
          </w:p>
        </w:tc>
        <w:tc>
          <w:tcPr>
            <w:tcW w:w="20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19C0435">
            <w:pPr>
              <w:spacing w:line="360" w:lineRule="auto"/>
              <w:jc w:val="center"/>
              <w:rPr>
                <w:rFonts w:hint="default" w:ascii="宋体" w:hAnsi="宋体" w:eastAsia="宋体" w:cs="宋体"/>
                <w:b w:val="0"/>
                <w:bCs w:val="0"/>
                <w:color w:val="auto"/>
                <w:sz w:val="24"/>
                <w:szCs w:val="24"/>
                <w:highlight w:val="none"/>
                <w:lang w:val="en-US"/>
              </w:rPr>
            </w:pPr>
            <w:r>
              <w:rPr>
                <w:rFonts w:hint="eastAsia" w:ascii="宋体" w:hAnsi="宋体" w:cs="宋体"/>
                <w:color w:val="auto"/>
                <w:kern w:val="0"/>
                <w:sz w:val="24"/>
                <w:highlight w:val="none"/>
                <w:lang w:val="en-US" w:eastAsia="zh-CN"/>
              </w:rPr>
              <w:t>保洁：49199</w:t>
            </w:r>
          </w:p>
        </w:tc>
        <w:tc>
          <w:tcPr>
            <w:tcW w:w="20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6BDAC77">
            <w:pPr>
              <w:spacing w:line="460" w:lineRule="exact"/>
              <w:jc w:val="center"/>
              <w:rPr>
                <w:rFonts w:hint="eastAsia" w:ascii="宋体" w:hAnsi="宋体" w:eastAsia="宋体" w:cs="宋体"/>
                <w:b w:val="0"/>
                <w:bCs w:val="0"/>
                <w:color w:val="auto"/>
                <w:sz w:val="24"/>
                <w:szCs w:val="24"/>
                <w:highlight w:val="none"/>
              </w:rPr>
            </w:pPr>
          </w:p>
        </w:tc>
      </w:tr>
      <w:tr w14:paraId="4005E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8" w:hRule="atLeast"/>
          <w:jc w:val="center"/>
        </w:trPr>
        <w:tc>
          <w:tcPr>
            <w:tcW w:w="89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14452CA2">
            <w:pPr>
              <w:spacing w:line="460" w:lineRule="exact"/>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2</w:t>
            </w:r>
          </w:p>
        </w:tc>
        <w:tc>
          <w:tcPr>
            <w:tcW w:w="3168" w:type="dxa"/>
            <w:vMerge w:val="continue"/>
            <w:tcBorders>
              <w:left w:val="single" w:color="000000" w:sz="4" w:space="0"/>
              <w:right w:val="single" w:color="000000" w:sz="4" w:space="0"/>
            </w:tcBorders>
            <w:shd w:val="clear" w:color="auto" w:fill="auto"/>
            <w:tcMar>
              <w:top w:w="0" w:type="dxa"/>
              <w:left w:w="108" w:type="dxa"/>
              <w:bottom w:w="0" w:type="dxa"/>
              <w:right w:w="108" w:type="dxa"/>
            </w:tcMar>
            <w:vAlign w:val="center"/>
          </w:tcPr>
          <w:p w14:paraId="19175CAD">
            <w:pPr>
              <w:spacing w:line="360" w:lineRule="auto"/>
              <w:jc w:val="center"/>
              <w:rPr>
                <w:rFonts w:hint="eastAsia" w:ascii="宋体" w:hAnsi="宋体" w:eastAsia="宋体" w:cs="宋体"/>
                <w:b w:val="0"/>
                <w:bCs w:val="0"/>
                <w:color w:val="auto"/>
                <w:kern w:val="2"/>
                <w:sz w:val="24"/>
                <w:szCs w:val="24"/>
                <w:highlight w:val="none"/>
                <w:lang w:val="en-US" w:eastAsia="zh-CN" w:bidi="ar-SA"/>
              </w:rPr>
            </w:pP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6118758F">
            <w:pPr>
              <w:spacing w:line="360" w:lineRule="auto"/>
              <w:jc w:val="center"/>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rPr>
              <w:t>金尚菜市场项目</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16820AD5">
            <w:pPr>
              <w:spacing w:line="460" w:lineRule="exact"/>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rPr>
              <w:t>1</w:t>
            </w:r>
            <w:r>
              <w:rPr>
                <w:rFonts w:hint="eastAsia" w:ascii="宋体" w:hAnsi="宋体" w:eastAsia="宋体" w:cs="宋体"/>
                <w:b w:val="0"/>
                <w:bCs w:val="0"/>
                <w:color w:val="auto"/>
                <w:sz w:val="24"/>
                <w:szCs w:val="24"/>
                <w:highlight w:val="none"/>
                <w:lang w:val="en-US" w:eastAsia="zh-CN"/>
              </w:rPr>
              <w:t>项</w:t>
            </w:r>
          </w:p>
        </w:tc>
        <w:tc>
          <w:tcPr>
            <w:tcW w:w="203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3994C626">
            <w:pPr>
              <w:spacing w:line="360" w:lineRule="auto"/>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cs="宋体"/>
                <w:color w:val="auto"/>
                <w:kern w:val="0"/>
                <w:sz w:val="24"/>
                <w:highlight w:val="none"/>
                <w:lang w:val="en-US" w:eastAsia="zh-CN"/>
              </w:rPr>
              <w:t>保洁：</w:t>
            </w:r>
            <w:r>
              <w:rPr>
                <w:rFonts w:hint="default" w:ascii="宋体" w:hAnsi="宋体" w:cs="宋体"/>
                <w:color w:val="auto"/>
                <w:kern w:val="0"/>
                <w:sz w:val="24"/>
                <w:highlight w:val="none"/>
                <w:lang w:val="en-US" w:eastAsia="zh-CN"/>
              </w:rPr>
              <w:t>140000</w:t>
            </w:r>
          </w:p>
        </w:tc>
        <w:tc>
          <w:tcPr>
            <w:tcW w:w="203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224D7F65">
            <w:pPr>
              <w:spacing w:line="460" w:lineRule="exact"/>
              <w:jc w:val="center"/>
              <w:rPr>
                <w:rFonts w:hint="eastAsia" w:ascii="宋体" w:hAnsi="宋体" w:eastAsia="宋体" w:cs="宋体"/>
                <w:b w:val="0"/>
                <w:bCs w:val="0"/>
                <w:color w:val="auto"/>
                <w:kern w:val="2"/>
                <w:sz w:val="24"/>
                <w:szCs w:val="24"/>
                <w:highlight w:val="none"/>
                <w:lang w:val="en-US" w:eastAsia="zh-CN" w:bidi="ar-SA"/>
              </w:rPr>
            </w:pPr>
          </w:p>
        </w:tc>
      </w:tr>
      <w:tr w14:paraId="67244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1" w:hRule="atLeast"/>
          <w:jc w:val="center"/>
        </w:trPr>
        <w:tc>
          <w:tcPr>
            <w:tcW w:w="89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A1E8B2C">
            <w:pPr>
              <w:spacing w:line="460" w:lineRule="exact"/>
              <w:jc w:val="center"/>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3</w:t>
            </w:r>
          </w:p>
        </w:tc>
        <w:tc>
          <w:tcPr>
            <w:tcW w:w="3168" w:type="dxa"/>
            <w:vMerge w:val="continue"/>
            <w:tcBorders>
              <w:left w:val="single" w:color="000000" w:sz="4" w:space="0"/>
              <w:right w:val="single" w:color="000000" w:sz="4" w:space="0"/>
            </w:tcBorders>
            <w:tcMar>
              <w:top w:w="0" w:type="dxa"/>
              <w:left w:w="108" w:type="dxa"/>
              <w:bottom w:w="0" w:type="dxa"/>
              <w:right w:w="108" w:type="dxa"/>
            </w:tcMar>
            <w:vAlign w:val="center"/>
          </w:tcPr>
          <w:p w14:paraId="07BC3B31">
            <w:pPr>
              <w:spacing w:line="360" w:lineRule="auto"/>
              <w:jc w:val="center"/>
              <w:rPr>
                <w:rFonts w:hint="eastAsia" w:ascii="宋体" w:hAnsi="宋体" w:eastAsia="宋体" w:cs="宋体"/>
                <w:b w:val="0"/>
                <w:bCs w:val="0"/>
                <w:color w:val="auto"/>
                <w:sz w:val="24"/>
                <w:szCs w:val="24"/>
                <w:highlight w:val="none"/>
                <w:lang w:eastAsia="zh-CN"/>
              </w:rPr>
            </w:pPr>
          </w:p>
        </w:tc>
        <w:tc>
          <w:tcPr>
            <w:tcW w:w="1448" w:type="dxa"/>
            <w:tcBorders>
              <w:top w:val="single" w:color="000000" w:sz="4" w:space="0"/>
              <w:left w:val="single" w:color="000000" w:sz="4" w:space="0"/>
              <w:right w:val="single" w:color="000000" w:sz="4" w:space="0"/>
            </w:tcBorders>
            <w:tcMar>
              <w:top w:w="0" w:type="dxa"/>
              <w:left w:w="108" w:type="dxa"/>
              <w:bottom w:w="0" w:type="dxa"/>
              <w:right w:w="108" w:type="dxa"/>
            </w:tcMar>
            <w:vAlign w:val="center"/>
          </w:tcPr>
          <w:p w14:paraId="3360A746">
            <w:pPr>
              <w:spacing w:line="360" w:lineRule="auto"/>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厦大海韵园二期项目</w:t>
            </w:r>
          </w:p>
        </w:tc>
        <w:tc>
          <w:tcPr>
            <w:tcW w:w="1316" w:type="dxa"/>
            <w:tcBorders>
              <w:top w:val="single" w:color="000000" w:sz="4" w:space="0"/>
              <w:left w:val="single" w:color="000000" w:sz="4" w:space="0"/>
              <w:right w:val="single" w:color="000000" w:sz="4" w:space="0"/>
            </w:tcBorders>
            <w:tcMar>
              <w:top w:w="0" w:type="dxa"/>
              <w:left w:w="108" w:type="dxa"/>
              <w:bottom w:w="0" w:type="dxa"/>
              <w:right w:w="108" w:type="dxa"/>
            </w:tcMar>
            <w:vAlign w:val="center"/>
          </w:tcPr>
          <w:p w14:paraId="3EF9D053">
            <w:pPr>
              <w:spacing w:line="460" w:lineRule="exact"/>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w:t>
            </w:r>
            <w:r>
              <w:rPr>
                <w:rFonts w:hint="eastAsia" w:ascii="宋体" w:hAnsi="宋体" w:eastAsia="宋体" w:cs="宋体"/>
                <w:b w:val="0"/>
                <w:bCs w:val="0"/>
                <w:color w:val="auto"/>
                <w:sz w:val="24"/>
                <w:szCs w:val="24"/>
                <w:highlight w:val="none"/>
                <w:lang w:val="en-US" w:eastAsia="zh-CN"/>
              </w:rPr>
              <w:t>项</w:t>
            </w:r>
          </w:p>
          <w:p w14:paraId="0AC3E490">
            <w:pPr>
              <w:spacing w:line="460" w:lineRule="exact"/>
              <w:jc w:val="center"/>
              <w:rPr>
                <w:rFonts w:hint="eastAsia" w:ascii="宋体" w:hAnsi="宋体" w:eastAsia="宋体" w:cs="宋体"/>
                <w:b w:val="0"/>
                <w:bCs w:val="0"/>
                <w:color w:val="auto"/>
                <w:sz w:val="24"/>
                <w:szCs w:val="24"/>
                <w:highlight w:val="none"/>
              </w:rPr>
            </w:pPr>
          </w:p>
        </w:tc>
        <w:tc>
          <w:tcPr>
            <w:tcW w:w="2037" w:type="dxa"/>
            <w:tcBorders>
              <w:top w:val="single" w:color="000000" w:sz="4" w:space="0"/>
              <w:left w:val="single" w:color="000000" w:sz="4" w:space="0"/>
              <w:right w:val="single" w:color="000000" w:sz="4" w:space="0"/>
            </w:tcBorders>
            <w:tcMar>
              <w:top w:w="0" w:type="dxa"/>
              <w:left w:w="108" w:type="dxa"/>
              <w:bottom w:w="0" w:type="dxa"/>
              <w:right w:w="108" w:type="dxa"/>
            </w:tcMar>
            <w:vAlign w:val="center"/>
          </w:tcPr>
          <w:p w14:paraId="125E35CB">
            <w:pPr>
              <w:spacing w:line="360" w:lineRule="auto"/>
              <w:jc w:val="center"/>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保洁、绿化：259800</w:t>
            </w:r>
          </w:p>
        </w:tc>
        <w:tc>
          <w:tcPr>
            <w:tcW w:w="20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781E45D">
            <w:pPr>
              <w:spacing w:line="460" w:lineRule="exact"/>
              <w:jc w:val="center"/>
              <w:rPr>
                <w:rFonts w:hint="eastAsia" w:ascii="宋体" w:hAnsi="宋体" w:eastAsia="宋体" w:cs="宋体"/>
                <w:b w:val="0"/>
                <w:bCs w:val="0"/>
                <w:color w:val="auto"/>
                <w:sz w:val="24"/>
                <w:szCs w:val="24"/>
                <w:highlight w:val="none"/>
              </w:rPr>
            </w:pPr>
          </w:p>
        </w:tc>
      </w:tr>
      <w:tr w14:paraId="09898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8" w:hRule="atLeast"/>
          <w:jc w:val="center"/>
        </w:trPr>
        <w:tc>
          <w:tcPr>
            <w:tcW w:w="89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A3DCAEF">
            <w:pPr>
              <w:spacing w:line="460" w:lineRule="exact"/>
              <w:jc w:val="center"/>
              <w:rPr>
                <w:rFonts w:hint="eastAsia" w:ascii="宋体" w:hAnsi="宋体" w:eastAsia="宋体" w:cs="宋体"/>
                <w:b w:val="0"/>
                <w:bCs w:val="0"/>
                <w:color w:val="auto"/>
                <w:sz w:val="24"/>
                <w:szCs w:val="24"/>
                <w:highlight w:val="none"/>
                <w:lang w:val="en-US" w:eastAsia="zh-CN"/>
              </w:rPr>
            </w:pPr>
          </w:p>
        </w:tc>
        <w:tc>
          <w:tcPr>
            <w:tcW w:w="316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B0F2179">
            <w:pPr>
              <w:spacing w:line="360" w:lineRule="auto"/>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合计</w:t>
            </w:r>
          </w:p>
        </w:tc>
        <w:tc>
          <w:tcPr>
            <w:tcW w:w="144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2134680">
            <w:pPr>
              <w:spacing w:line="360" w:lineRule="auto"/>
              <w:jc w:val="center"/>
              <w:rPr>
                <w:rFonts w:hint="eastAsia" w:ascii="宋体" w:hAnsi="宋体" w:eastAsia="宋体" w:cs="宋体"/>
                <w:b w:val="0"/>
                <w:bCs w:val="0"/>
                <w:color w:val="auto"/>
                <w:kern w:val="0"/>
                <w:sz w:val="24"/>
                <w:szCs w:val="24"/>
                <w:highlight w:val="none"/>
                <w:lang w:val="en-US" w:eastAsia="zh-CN"/>
              </w:rPr>
            </w:pPr>
          </w:p>
        </w:tc>
        <w:tc>
          <w:tcPr>
            <w:tcW w:w="13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E0A4F87">
            <w:pPr>
              <w:spacing w:line="460" w:lineRule="exact"/>
              <w:jc w:val="center"/>
              <w:rPr>
                <w:rFonts w:hint="eastAsia" w:ascii="宋体" w:hAnsi="宋体" w:eastAsia="宋体" w:cs="宋体"/>
                <w:b w:val="0"/>
                <w:bCs w:val="0"/>
                <w:color w:val="auto"/>
                <w:sz w:val="24"/>
                <w:szCs w:val="24"/>
                <w:highlight w:val="none"/>
              </w:rPr>
            </w:pPr>
          </w:p>
        </w:tc>
        <w:tc>
          <w:tcPr>
            <w:tcW w:w="20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29E534C">
            <w:pPr>
              <w:spacing w:line="460" w:lineRule="exact"/>
              <w:jc w:val="center"/>
              <w:rPr>
                <w:rFonts w:hint="eastAsia" w:ascii="宋体" w:hAnsi="宋体" w:eastAsia="宋体" w:cs="宋体"/>
                <w:b w:val="0"/>
                <w:bCs w:val="0"/>
                <w:color w:val="auto"/>
                <w:sz w:val="24"/>
                <w:szCs w:val="24"/>
                <w:highlight w:val="none"/>
              </w:rPr>
            </w:pPr>
          </w:p>
        </w:tc>
        <w:tc>
          <w:tcPr>
            <w:tcW w:w="20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22C81D2">
            <w:pPr>
              <w:spacing w:line="460" w:lineRule="exact"/>
              <w:jc w:val="center"/>
              <w:rPr>
                <w:rFonts w:hint="eastAsia" w:ascii="宋体" w:hAnsi="宋体" w:eastAsia="宋体" w:cs="宋体"/>
                <w:b w:val="0"/>
                <w:bCs w:val="0"/>
                <w:color w:val="auto"/>
                <w:sz w:val="24"/>
                <w:szCs w:val="24"/>
                <w:highlight w:val="none"/>
              </w:rPr>
            </w:pPr>
          </w:p>
        </w:tc>
      </w:tr>
      <w:tr w14:paraId="037A3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7" w:hRule="atLeast"/>
          <w:jc w:val="center"/>
        </w:trPr>
        <w:tc>
          <w:tcPr>
            <w:tcW w:w="10897" w:type="dxa"/>
            <w:gridSpan w:val="6"/>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E4B821A">
            <w:pPr>
              <w:spacing w:line="360" w:lineRule="auto"/>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备注：</w:t>
            </w:r>
            <w:r>
              <w:rPr>
                <w:rFonts w:hint="eastAsia" w:ascii="宋体" w:hAnsi="宋体" w:cs="宋体"/>
                <w:b/>
                <w:bCs/>
                <w:color w:val="auto"/>
                <w:sz w:val="24"/>
                <w:szCs w:val="24"/>
                <w:highlight w:val="none"/>
                <w:lang w:val="en-US" w:eastAsia="zh-CN"/>
              </w:rPr>
              <w:t>投标总报价低于最高限价总价，且单项投标报价低于单项最高限价。</w:t>
            </w:r>
            <w:r>
              <w:rPr>
                <w:rFonts w:hint="eastAsia" w:ascii="宋体" w:hAnsi="宋体" w:eastAsia="宋体" w:cs="宋体"/>
                <w:b/>
                <w:bCs/>
                <w:color w:val="auto"/>
                <w:sz w:val="24"/>
                <w:szCs w:val="24"/>
                <w:highlight w:val="none"/>
                <w:lang w:val="en-US" w:eastAsia="zh-CN"/>
              </w:rPr>
              <w:t>本项目中标后，采购人将按项目部与中标人分别签订3份合同，合同项目名称分别为：</w:t>
            </w:r>
            <w:r>
              <w:rPr>
                <w:rFonts w:hint="eastAsia" w:ascii="宋体" w:hAnsi="宋体" w:eastAsia="宋体" w:cs="宋体"/>
                <w:b/>
                <w:bCs/>
                <w:color w:val="auto"/>
                <w:sz w:val="24"/>
                <w:szCs w:val="24"/>
                <w:highlight w:val="none"/>
                <w:u w:val="none"/>
                <w:lang w:val="en-US" w:eastAsia="zh-CN"/>
              </w:rPr>
              <w:t>古地石指挥部项目保洁服务、金尚菜市场项目保洁服务、厦大海韵园二期项目保洁绿化服务，每份</w:t>
            </w:r>
            <w:r>
              <w:rPr>
                <w:rFonts w:hint="eastAsia" w:ascii="宋体" w:hAnsi="宋体" w:eastAsia="宋体" w:cs="宋体"/>
                <w:b/>
                <w:bCs/>
                <w:color w:val="auto"/>
                <w:sz w:val="24"/>
                <w:szCs w:val="24"/>
                <w:highlight w:val="none"/>
                <w:lang w:val="en-US" w:eastAsia="zh-CN"/>
              </w:rPr>
              <w:t>合同的金额为投标人对应项目部的投标报价。</w:t>
            </w:r>
          </w:p>
        </w:tc>
      </w:tr>
    </w:tbl>
    <w:p w14:paraId="07BB9654">
      <w:pPr>
        <w:spacing w:line="360" w:lineRule="auto"/>
        <w:jc w:val="right"/>
        <w:rPr>
          <w:rFonts w:hint="eastAsia" w:ascii="宋体" w:hAnsi="宋体" w:cs="宋体"/>
          <w:color w:val="auto"/>
          <w:sz w:val="24"/>
          <w:highlight w:val="none"/>
        </w:rPr>
      </w:pPr>
    </w:p>
    <w:p w14:paraId="74697846">
      <w:pPr>
        <w:spacing w:line="360" w:lineRule="auto"/>
        <w:jc w:val="right"/>
        <w:rPr>
          <w:rFonts w:hint="eastAsia" w:ascii="宋体" w:hAnsi="宋体" w:cs="宋体"/>
          <w:color w:val="auto"/>
          <w:sz w:val="24"/>
          <w:highlight w:val="none"/>
        </w:rPr>
      </w:pPr>
      <w:r>
        <w:rPr>
          <w:rFonts w:hint="eastAsia" w:ascii="宋体" w:hAnsi="宋体" w:cs="宋体"/>
          <w:color w:val="auto"/>
          <w:sz w:val="24"/>
          <w:highlight w:val="none"/>
        </w:rPr>
        <w:t>供应商（全称并加盖公章）：</w:t>
      </w:r>
    </w:p>
    <w:p w14:paraId="374FD210">
      <w:pPr>
        <w:spacing w:line="360" w:lineRule="auto"/>
        <w:jc w:val="right"/>
        <w:rPr>
          <w:rFonts w:ascii="宋体" w:hAnsi="宋体" w:cs="宋体"/>
          <w:color w:val="auto"/>
          <w:sz w:val="24"/>
          <w:highlight w:val="none"/>
        </w:rPr>
      </w:pPr>
      <w:r>
        <w:rPr>
          <w:rFonts w:hint="eastAsia" w:ascii="宋体" w:hAnsi="宋体" w:cs="宋体"/>
          <w:color w:val="auto"/>
          <w:sz w:val="24"/>
          <w:highlight w:val="none"/>
        </w:rPr>
        <w:t xml:space="preserve">供应商代表签字： </w:t>
      </w:r>
    </w:p>
    <w:p w14:paraId="40CC9591">
      <w:pPr>
        <w:spacing w:line="360" w:lineRule="auto"/>
        <w:jc w:val="right"/>
        <w:rPr>
          <w:rFonts w:ascii="宋体" w:hAnsi="宋体" w:cs="宋体"/>
          <w:color w:val="auto"/>
          <w:sz w:val="24"/>
          <w:highlight w:val="none"/>
        </w:rPr>
      </w:pPr>
      <w:r>
        <w:rPr>
          <w:rFonts w:hint="eastAsia" w:ascii="宋体" w:hAnsi="宋体" w:cs="宋体"/>
          <w:color w:val="auto"/>
          <w:sz w:val="24"/>
          <w:highlight w:val="none"/>
        </w:rPr>
        <w:t>日期：</w:t>
      </w:r>
    </w:p>
    <w:p w14:paraId="2ED1D760">
      <w:pPr>
        <w:spacing w:line="440" w:lineRule="exact"/>
        <w:ind w:left="0"/>
        <w:rPr>
          <w:rFonts w:hint="eastAsia" w:ascii="宋体" w:hAnsi="宋体" w:cs="宋体"/>
          <w:color w:val="auto"/>
          <w:sz w:val="24"/>
          <w:highlight w:val="none"/>
        </w:rPr>
      </w:pPr>
      <w:bookmarkStart w:id="206" w:name="_Toc185762842"/>
    </w:p>
    <w:p w14:paraId="3C37D0BE">
      <w:pPr>
        <w:spacing w:line="440" w:lineRule="exact"/>
        <w:ind w:left="0"/>
        <w:rPr>
          <w:rFonts w:hint="eastAsia" w:ascii="宋体" w:hAnsi="宋体" w:cs="宋体"/>
          <w:color w:val="auto"/>
          <w:sz w:val="24"/>
          <w:highlight w:val="none"/>
        </w:rPr>
      </w:pPr>
    </w:p>
    <w:p w14:paraId="661E68D1">
      <w:pPr>
        <w:spacing w:line="440" w:lineRule="exact"/>
        <w:ind w:left="0"/>
        <w:rPr>
          <w:rFonts w:ascii="宋体" w:hAnsi="宋体" w:cs="宋体"/>
          <w:b/>
          <w:color w:val="auto"/>
          <w:sz w:val="36"/>
          <w:szCs w:val="36"/>
          <w:highlight w:val="none"/>
        </w:rPr>
      </w:pPr>
      <w:r>
        <w:rPr>
          <w:rFonts w:hint="eastAsia" w:ascii="宋体" w:hAnsi="宋体" w:cs="宋体"/>
          <w:color w:val="auto"/>
          <w:sz w:val="24"/>
          <w:highlight w:val="none"/>
        </w:rPr>
        <w:t>附件</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 xml:space="preserve">             </w:t>
      </w:r>
      <w:r>
        <w:rPr>
          <w:rFonts w:hint="eastAsia" w:ascii="宋体" w:hAnsi="宋体" w:cs="宋体"/>
          <w:b/>
          <w:color w:val="auto"/>
          <w:sz w:val="36"/>
          <w:szCs w:val="36"/>
          <w:highlight w:val="none"/>
        </w:rPr>
        <w:t>“★”号条款逐条响应情况表</w:t>
      </w:r>
    </w:p>
    <w:p w14:paraId="6F1FE113">
      <w:pPr>
        <w:spacing w:line="440" w:lineRule="exact"/>
        <w:ind w:left="420"/>
        <w:rPr>
          <w:rFonts w:ascii="宋体" w:hAnsi="宋体" w:cs="宋体"/>
          <w:b/>
          <w:color w:val="auto"/>
          <w:sz w:val="36"/>
          <w:szCs w:val="36"/>
          <w:highlight w:val="none"/>
        </w:rPr>
      </w:pPr>
    </w:p>
    <w:p w14:paraId="3DC9A5B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项目名称</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古地石指挥部及金尚菜市场项目、厦大海韵园二期项目保洁绿化服务</w:t>
      </w:r>
    </w:p>
    <w:tbl>
      <w:tblPr>
        <w:tblStyle w:val="42"/>
        <w:tblW w:w="83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4818"/>
        <w:gridCol w:w="1617"/>
        <w:gridCol w:w="1200"/>
      </w:tblGrid>
      <w:tr w14:paraId="58019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738" w:type="dxa"/>
            <w:vAlign w:val="center"/>
          </w:tcPr>
          <w:p w14:paraId="09B049E4">
            <w:pPr>
              <w:spacing w:line="300" w:lineRule="exact"/>
              <w:jc w:val="center"/>
              <w:rPr>
                <w:rFonts w:ascii="宋体" w:hAnsi="宋体" w:cs="宋体"/>
                <w:color w:val="auto"/>
                <w:sz w:val="24"/>
                <w:highlight w:val="none"/>
              </w:rPr>
            </w:pPr>
            <w:r>
              <w:rPr>
                <w:rFonts w:hint="eastAsia" w:ascii="宋体" w:hAnsi="宋体" w:cs="宋体"/>
                <w:color w:val="auto"/>
                <w:sz w:val="24"/>
                <w:highlight w:val="none"/>
              </w:rPr>
              <w:t>序号</w:t>
            </w:r>
          </w:p>
        </w:tc>
        <w:tc>
          <w:tcPr>
            <w:tcW w:w="4818" w:type="dxa"/>
            <w:vAlign w:val="center"/>
          </w:tcPr>
          <w:p w14:paraId="0C1CACE5">
            <w:pPr>
              <w:spacing w:line="300" w:lineRule="exact"/>
              <w:jc w:val="center"/>
              <w:rPr>
                <w:rFonts w:ascii="宋体" w:hAnsi="宋体" w:cs="宋体"/>
                <w:color w:val="auto"/>
                <w:sz w:val="24"/>
                <w:highlight w:val="none"/>
              </w:rPr>
            </w:pPr>
            <w:r>
              <w:rPr>
                <w:rFonts w:hint="eastAsia" w:ascii="宋体" w:hAnsi="宋体" w:cs="宋体"/>
                <w:color w:val="auto"/>
                <w:sz w:val="24"/>
                <w:highlight w:val="none"/>
                <w:lang w:eastAsia="zh-CN"/>
              </w:rPr>
              <w:t>询价文件</w:t>
            </w:r>
            <w:r>
              <w:rPr>
                <w:rFonts w:hint="eastAsia" w:ascii="宋体" w:hAnsi="宋体" w:cs="宋体"/>
                <w:color w:val="auto"/>
                <w:sz w:val="24"/>
                <w:highlight w:val="none"/>
              </w:rPr>
              <w:t>中带“★”号的条款</w:t>
            </w:r>
          </w:p>
        </w:tc>
        <w:tc>
          <w:tcPr>
            <w:tcW w:w="1617" w:type="dxa"/>
            <w:vAlign w:val="center"/>
          </w:tcPr>
          <w:p w14:paraId="1D5521FD">
            <w:pPr>
              <w:spacing w:line="300" w:lineRule="exact"/>
              <w:jc w:val="center"/>
              <w:rPr>
                <w:rFonts w:ascii="宋体" w:hAnsi="宋体" w:cs="宋体"/>
                <w:color w:val="auto"/>
                <w:sz w:val="24"/>
                <w:highlight w:val="none"/>
              </w:rPr>
            </w:pPr>
            <w:r>
              <w:rPr>
                <w:rFonts w:hint="eastAsia" w:ascii="宋体" w:hAnsi="宋体" w:cs="宋体"/>
                <w:color w:val="auto"/>
                <w:sz w:val="24"/>
                <w:highlight w:val="none"/>
              </w:rPr>
              <w:t>响应内容</w:t>
            </w:r>
          </w:p>
        </w:tc>
        <w:tc>
          <w:tcPr>
            <w:tcW w:w="1200" w:type="dxa"/>
            <w:vAlign w:val="center"/>
          </w:tcPr>
          <w:p w14:paraId="2D6A5E39">
            <w:pPr>
              <w:spacing w:line="300" w:lineRule="exact"/>
              <w:jc w:val="center"/>
              <w:rPr>
                <w:rFonts w:ascii="宋体" w:hAnsi="宋体" w:cs="宋体"/>
                <w:color w:val="auto"/>
                <w:sz w:val="24"/>
                <w:highlight w:val="none"/>
              </w:rPr>
            </w:pPr>
            <w:r>
              <w:rPr>
                <w:rFonts w:hint="eastAsia" w:ascii="宋体" w:hAnsi="宋体" w:cs="宋体"/>
                <w:color w:val="auto"/>
                <w:sz w:val="24"/>
                <w:highlight w:val="none"/>
              </w:rPr>
              <w:t>响应情况</w:t>
            </w:r>
          </w:p>
        </w:tc>
      </w:tr>
      <w:tr w14:paraId="2772E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738" w:type="dxa"/>
            <w:vAlign w:val="center"/>
          </w:tcPr>
          <w:p w14:paraId="39D48E8A">
            <w:pPr>
              <w:spacing w:line="30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4818" w:type="dxa"/>
            <w:vAlign w:val="center"/>
          </w:tcPr>
          <w:p w14:paraId="5B754473">
            <w:pPr>
              <w:pStyle w:val="93"/>
              <w:tabs>
                <w:tab w:val="left" w:pos="920"/>
              </w:tabs>
              <w:spacing w:after="160" w:line="397" w:lineRule="exact"/>
              <w:rPr>
                <w:bCs/>
                <w:color w:val="auto"/>
                <w:kern w:val="0"/>
                <w:sz w:val="24"/>
                <w:highlight w:val="none"/>
              </w:rPr>
            </w:pPr>
            <w:r>
              <w:rPr>
                <w:rFonts w:hint="eastAsia" w:ascii="宋体" w:hAnsi="宋体" w:cs="宋体"/>
                <w:color w:val="auto"/>
                <w:sz w:val="24"/>
                <w:szCs w:val="24"/>
                <w:highlight w:val="none"/>
              </w:rPr>
              <w:t>本采购项目的采购预算为人民币</w:t>
            </w:r>
            <w:r>
              <w:rPr>
                <w:rFonts w:hint="eastAsia" w:cs="宋体"/>
                <w:color w:val="auto"/>
                <w:sz w:val="24"/>
                <w:szCs w:val="24"/>
                <w:highlight w:val="none"/>
                <w:lang w:val="en-US" w:eastAsia="zh-CN"/>
              </w:rPr>
              <w:t>肆拾肆万捌仟玖佰玖拾玖</w:t>
            </w:r>
            <w:r>
              <w:rPr>
                <w:rFonts w:hint="eastAsia" w:ascii="宋体" w:hAnsi="宋体" w:cs="宋体"/>
                <w:color w:val="auto"/>
                <w:sz w:val="24"/>
                <w:szCs w:val="24"/>
                <w:highlight w:val="none"/>
                <w:lang w:eastAsia="zh-CN"/>
              </w:rPr>
              <w:t>元整</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4</w:t>
            </w:r>
            <w:r>
              <w:rPr>
                <w:rFonts w:hint="eastAsia" w:cs="宋体"/>
                <w:color w:val="auto"/>
                <w:sz w:val="24"/>
                <w:szCs w:val="24"/>
                <w:highlight w:val="none"/>
                <w:lang w:val="en-US" w:eastAsia="zh-CN"/>
              </w:rPr>
              <w:t>48999</w:t>
            </w:r>
            <w:r>
              <w:rPr>
                <w:rFonts w:hint="eastAsia" w:ascii="宋体" w:hAnsi="宋体" w:cs="宋体"/>
                <w:color w:val="auto"/>
                <w:sz w:val="24"/>
                <w:szCs w:val="24"/>
                <w:highlight w:val="none"/>
              </w:rPr>
              <w:t>），采购预算为总报价的最高限价。</w:t>
            </w:r>
            <w:r>
              <w:rPr>
                <w:rFonts w:hint="eastAsia" w:ascii="宋体" w:hAnsi="宋体" w:cs="宋体"/>
                <w:color w:val="auto"/>
                <w:sz w:val="24"/>
                <w:szCs w:val="24"/>
                <w:highlight w:val="none"/>
                <w:lang w:val="en-US" w:eastAsia="zh-CN"/>
              </w:rPr>
              <w:t>其中</w:t>
            </w:r>
            <w:r>
              <w:rPr>
                <w:rFonts w:hint="eastAsia" w:ascii="宋体" w:hAnsi="宋体" w:cs="宋体"/>
                <w:color w:val="auto"/>
                <w:kern w:val="0"/>
                <w:sz w:val="24"/>
                <w:highlight w:val="none"/>
                <w:lang w:val="en-US" w:eastAsia="zh-CN"/>
              </w:rPr>
              <w:t>古地石指挥部项目保洁最高限价</w:t>
            </w:r>
            <w:r>
              <w:rPr>
                <w:rFonts w:hint="eastAsia" w:cs="宋体"/>
                <w:color w:val="auto"/>
                <w:kern w:val="0"/>
                <w:sz w:val="24"/>
                <w:highlight w:val="none"/>
                <w:lang w:val="en-US" w:eastAsia="zh-CN"/>
              </w:rPr>
              <w:t>49199</w:t>
            </w:r>
            <w:r>
              <w:rPr>
                <w:rFonts w:hint="eastAsia" w:ascii="宋体" w:hAnsi="宋体" w:cs="宋体"/>
                <w:color w:val="auto"/>
                <w:kern w:val="0"/>
                <w:sz w:val="24"/>
                <w:highlight w:val="none"/>
                <w:lang w:val="en-US" w:eastAsia="zh-CN"/>
              </w:rPr>
              <w:t>元，金尚菜市场项目保洁最高限价140000元，厦大海韵园二期项目保洁</w:t>
            </w:r>
            <w:r>
              <w:rPr>
                <w:rFonts w:hint="eastAsia" w:cs="宋体"/>
                <w:color w:val="auto"/>
                <w:kern w:val="0"/>
                <w:sz w:val="24"/>
                <w:highlight w:val="none"/>
                <w:lang w:val="en-US" w:eastAsia="zh-CN"/>
              </w:rPr>
              <w:t>、绿化</w:t>
            </w:r>
            <w:r>
              <w:rPr>
                <w:rFonts w:hint="eastAsia" w:ascii="宋体" w:hAnsi="宋体" w:cs="宋体"/>
                <w:color w:val="auto"/>
                <w:kern w:val="0"/>
                <w:sz w:val="24"/>
                <w:highlight w:val="none"/>
                <w:lang w:val="en-US" w:eastAsia="zh-CN"/>
              </w:rPr>
              <w:t>最高限价</w:t>
            </w:r>
            <w:r>
              <w:rPr>
                <w:rFonts w:hint="eastAsia" w:cs="宋体"/>
                <w:color w:val="auto"/>
                <w:kern w:val="0"/>
                <w:sz w:val="24"/>
                <w:highlight w:val="none"/>
                <w:lang w:val="en-US" w:eastAsia="zh-CN"/>
              </w:rPr>
              <w:t>259800</w:t>
            </w:r>
            <w:r>
              <w:rPr>
                <w:rFonts w:hint="eastAsia" w:ascii="宋体" w:hAnsi="宋体" w:cs="宋体"/>
                <w:color w:val="auto"/>
                <w:kern w:val="0"/>
                <w:sz w:val="24"/>
                <w:highlight w:val="none"/>
                <w:lang w:val="en-US" w:eastAsia="zh-CN"/>
              </w:rPr>
              <w:t>元。</w:t>
            </w:r>
          </w:p>
        </w:tc>
        <w:tc>
          <w:tcPr>
            <w:tcW w:w="1617" w:type="dxa"/>
            <w:vAlign w:val="center"/>
          </w:tcPr>
          <w:p w14:paraId="47166742">
            <w:pPr>
              <w:spacing w:line="300" w:lineRule="exact"/>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投标总报价低于最高限价总价，且单项投标报价低于单项最高限价。</w:t>
            </w:r>
          </w:p>
        </w:tc>
        <w:tc>
          <w:tcPr>
            <w:tcW w:w="1200" w:type="dxa"/>
            <w:vAlign w:val="center"/>
          </w:tcPr>
          <w:p w14:paraId="2D16FF97">
            <w:pPr>
              <w:spacing w:line="300" w:lineRule="exact"/>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完全响应</w:t>
            </w:r>
          </w:p>
        </w:tc>
      </w:tr>
      <w:tr w14:paraId="41D1F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738" w:type="dxa"/>
            <w:vAlign w:val="center"/>
          </w:tcPr>
          <w:p w14:paraId="6A2B2B5C">
            <w:pPr>
              <w:spacing w:line="30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4818" w:type="dxa"/>
            <w:vAlign w:val="center"/>
          </w:tcPr>
          <w:p w14:paraId="745F4F69">
            <w:pPr>
              <w:pStyle w:val="93"/>
              <w:tabs>
                <w:tab w:val="left" w:pos="920"/>
              </w:tabs>
              <w:spacing w:after="160" w:line="397" w:lineRule="exact"/>
              <w:rPr>
                <w:bCs/>
                <w:color w:val="auto"/>
                <w:kern w:val="0"/>
                <w:sz w:val="24"/>
                <w:highlight w:val="none"/>
              </w:rPr>
            </w:pPr>
          </w:p>
        </w:tc>
        <w:tc>
          <w:tcPr>
            <w:tcW w:w="1617" w:type="dxa"/>
            <w:vAlign w:val="center"/>
          </w:tcPr>
          <w:p w14:paraId="2CE593DB">
            <w:pPr>
              <w:spacing w:line="300" w:lineRule="exact"/>
              <w:rPr>
                <w:rFonts w:ascii="宋体" w:hAnsi="宋体" w:cs="宋体"/>
                <w:color w:val="auto"/>
                <w:sz w:val="24"/>
                <w:highlight w:val="none"/>
              </w:rPr>
            </w:pPr>
          </w:p>
        </w:tc>
        <w:tc>
          <w:tcPr>
            <w:tcW w:w="1200" w:type="dxa"/>
            <w:vAlign w:val="center"/>
          </w:tcPr>
          <w:p w14:paraId="5147A5DD">
            <w:pPr>
              <w:spacing w:line="300" w:lineRule="exact"/>
              <w:rPr>
                <w:rFonts w:ascii="宋体" w:hAnsi="宋体" w:cs="宋体"/>
                <w:color w:val="auto"/>
                <w:sz w:val="24"/>
                <w:highlight w:val="none"/>
              </w:rPr>
            </w:pPr>
          </w:p>
        </w:tc>
      </w:tr>
      <w:tr w14:paraId="4868E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738" w:type="dxa"/>
            <w:vAlign w:val="center"/>
          </w:tcPr>
          <w:p w14:paraId="30F95812">
            <w:pPr>
              <w:spacing w:line="300" w:lineRule="exact"/>
              <w:jc w:val="center"/>
              <w:rPr>
                <w:rFonts w:ascii="宋体" w:hAnsi="宋体" w:cs="宋体"/>
                <w:color w:val="auto"/>
                <w:sz w:val="24"/>
                <w:highlight w:val="none"/>
              </w:rPr>
            </w:pPr>
            <w:r>
              <w:rPr>
                <w:rFonts w:hint="eastAsia" w:ascii="宋体" w:hAnsi="宋体" w:cs="宋体"/>
                <w:color w:val="auto"/>
                <w:sz w:val="24"/>
                <w:highlight w:val="none"/>
              </w:rPr>
              <w:t>3</w:t>
            </w:r>
          </w:p>
        </w:tc>
        <w:tc>
          <w:tcPr>
            <w:tcW w:w="4818" w:type="dxa"/>
            <w:vAlign w:val="center"/>
          </w:tcPr>
          <w:p w14:paraId="56BE85BE">
            <w:pPr>
              <w:pStyle w:val="93"/>
              <w:tabs>
                <w:tab w:val="left" w:pos="920"/>
              </w:tabs>
              <w:spacing w:after="160" w:line="397" w:lineRule="exact"/>
              <w:rPr>
                <w:b/>
                <w:bCs/>
                <w:color w:val="auto"/>
                <w:szCs w:val="21"/>
                <w:highlight w:val="none"/>
                <w:lang w:val="en-US" w:eastAsia="zh-CN" w:bidi="ar-SA"/>
              </w:rPr>
            </w:pPr>
          </w:p>
        </w:tc>
        <w:tc>
          <w:tcPr>
            <w:tcW w:w="1617" w:type="dxa"/>
            <w:vAlign w:val="center"/>
          </w:tcPr>
          <w:p w14:paraId="529B3EEB">
            <w:pPr>
              <w:spacing w:line="300" w:lineRule="exact"/>
              <w:rPr>
                <w:rFonts w:ascii="宋体" w:hAnsi="宋体" w:cs="宋体"/>
                <w:color w:val="auto"/>
                <w:sz w:val="24"/>
                <w:highlight w:val="none"/>
              </w:rPr>
            </w:pPr>
          </w:p>
        </w:tc>
        <w:tc>
          <w:tcPr>
            <w:tcW w:w="1200" w:type="dxa"/>
            <w:vAlign w:val="center"/>
          </w:tcPr>
          <w:p w14:paraId="0693BBD9">
            <w:pPr>
              <w:spacing w:line="300" w:lineRule="exact"/>
              <w:rPr>
                <w:rFonts w:ascii="宋体" w:hAnsi="宋体" w:cs="宋体"/>
                <w:color w:val="auto"/>
                <w:sz w:val="24"/>
                <w:highlight w:val="none"/>
              </w:rPr>
            </w:pPr>
          </w:p>
        </w:tc>
      </w:tr>
      <w:tr w14:paraId="5FB07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738" w:type="dxa"/>
            <w:vAlign w:val="center"/>
          </w:tcPr>
          <w:p w14:paraId="0A9D1465">
            <w:pPr>
              <w:spacing w:line="300" w:lineRule="exact"/>
              <w:jc w:val="center"/>
              <w:rPr>
                <w:rFonts w:ascii="宋体" w:hAnsi="宋体" w:cs="宋体"/>
                <w:color w:val="auto"/>
                <w:sz w:val="24"/>
                <w:highlight w:val="none"/>
              </w:rPr>
            </w:pPr>
            <w:r>
              <w:rPr>
                <w:rFonts w:hint="eastAsia" w:ascii="宋体" w:hAnsi="宋体" w:cs="宋体"/>
                <w:color w:val="auto"/>
                <w:sz w:val="24"/>
                <w:highlight w:val="none"/>
              </w:rPr>
              <w:t>4</w:t>
            </w:r>
          </w:p>
        </w:tc>
        <w:tc>
          <w:tcPr>
            <w:tcW w:w="4818" w:type="dxa"/>
            <w:vAlign w:val="center"/>
          </w:tcPr>
          <w:p w14:paraId="3217426A">
            <w:pPr>
              <w:pStyle w:val="93"/>
              <w:tabs>
                <w:tab w:val="left" w:pos="920"/>
              </w:tabs>
              <w:spacing w:after="160" w:line="397" w:lineRule="exact"/>
              <w:rPr>
                <w:b/>
                <w:bCs/>
                <w:color w:val="auto"/>
                <w:szCs w:val="21"/>
                <w:highlight w:val="none"/>
                <w:lang w:val="en-US" w:eastAsia="zh-CN" w:bidi="ar-SA"/>
              </w:rPr>
            </w:pPr>
          </w:p>
        </w:tc>
        <w:tc>
          <w:tcPr>
            <w:tcW w:w="1617" w:type="dxa"/>
            <w:vAlign w:val="center"/>
          </w:tcPr>
          <w:p w14:paraId="6EDEAE4A">
            <w:pPr>
              <w:spacing w:line="300" w:lineRule="exact"/>
              <w:rPr>
                <w:rFonts w:ascii="宋体" w:hAnsi="宋体" w:cs="宋体"/>
                <w:color w:val="auto"/>
                <w:sz w:val="24"/>
                <w:highlight w:val="none"/>
              </w:rPr>
            </w:pPr>
          </w:p>
        </w:tc>
        <w:tc>
          <w:tcPr>
            <w:tcW w:w="1200" w:type="dxa"/>
            <w:vAlign w:val="center"/>
          </w:tcPr>
          <w:p w14:paraId="29218B15">
            <w:pPr>
              <w:spacing w:line="300" w:lineRule="exact"/>
              <w:rPr>
                <w:rFonts w:ascii="宋体" w:hAnsi="宋体" w:cs="宋体"/>
                <w:color w:val="auto"/>
                <w:sz w:val="24"/>
                <w:highlight w:val="none"/>
              </w:rPr>
            </w:pPr>
          </w:p>
        </w:tc>
      </w:tr>
    </w:tbl>
    <w:p w14:paraId="47582DB8">
      <w:pPr>
        <w:spacing w:line="38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以上★号条款为</w:t>
      </w:r>
      <w:r>
        <w:rPr>
          <w:rFonts w:hint="eastAsia" w:ascii="宋体" w:hAnsi="宋体" w:cs="宋体"/>
          <w:b/>
          <w:color w:val="auto"/>
          <w:szCs w:val="21"/>
          <w:highlight w:val="none"/>
          <w:lang w:eastAsia="zh-CN"/>
        </w:rPr>
        <w:t>询价文件</w:t>
      </w:r>
      <w:r>
        <w:rPr>
          <w:rFonts w:hint="eastAsia" w:ascii="宋体" w:hAnsi="宋体" w:cs="宋体"/>
          <w:b/>
          <w:color w:val="auto"/>
          <w:szCs w:val="21"/>
          <w:highlight w:val="none"/>
        </w:rPr>
        <w:t>中的所有★号条款</w:t>
      </w:r>
    </w:p>
    <w:p w14:paraId="42B6C84B">
      <w:pPr>
        <w:spacing w:line="360" w:lineRule="auto"/>
        <w:ind w:firstLine="4200" w:firstLineChars="1750"/>
        <w:rPr>
          <w:rFonts w:ascii="宋体" w:hAnsi="宋体" w:cs="宋体"/>
          <w:color w:val="auto"/>
          <w:sz w:val="24"/>
          <w:highlight w:val="none"/>
        </w:rPr>
      </w:pPr>
    </w:p>
    <w:p w14:paraId="4339FF86">
      <w:pPr>
        <w:spacing w:line="360" w:lineRule="auto"/>
        <w:jc w:val="right"/>
        <w:rPr>
          <w:rFonts w:ascii="宋体" w:hAnsi="宋体" w:cs="宋体"/>
          <w:color w:val="auto"/>
          <w:sz w:val="24"/>
          <w:highlight w:val="none"/>
        </w:rPr>
      </w:pPr>
      <w:r>
        <w:rPr>
          <w:rFonts w:hint="eastAsia" w:ascii="宋体" w:hAnsi="宋体" w:cs="宋体"/>
          <w:color w:val="auto"/>
          <w:sz w:val="24"/>
          <w:highlight w:val="none"/>
        </w:rPr>
        <w:t>供应商（全称并加盖公章）：</w:t>
      </w:r>
    </w:p>
    <w:p w14:paraId="5958A445">
      <w:pPr>
        <w:spacing w:line="360" w:lineRule="auto"/>
        <w:jc w:val="right"/>
        <w:rPr>
          <w:rFonts w:ascii="宋体" w:hAnsi="宋体" w:cs="宋体"/>
          <w:color w:val="auto"/>
          <w:sz w:val="24"/>
          <w:highlight w:val="none"/>
        </w:rPr>
      </w:pPr>
      <w:r>
        <w:rPr>
          <w:rFonts w:hint="eastAsia" w:ascii="宋体" w:hAnsi="宋体" w:cs="宋体"/>
          <w:color w:val="auto"/>
          <w:sz w:val="24"/>
          <w:highlight w:val="none"/>
        </w:rPr>
        <w:t>供应商代表签字：</w:t>
      </w:r>
    </w:p>
    <w:p w14:paraId="13CB8FF5">
      <w:pPr>
        <w:spacing w:line="360" w:lineRule="auto"/>
        <w:ind w:firstLine="7680" w:firstLineChars="3200"/>
        <w:rPr>
          <w:rFonts w:ascii="宋体" w:hAnsi="宋体" w:cs="宋体"/>
          <w:b/>
          <w:color w:val="auto"/>
          <w:sz w:val="36"/>
          <w:szCs w:val="36"/>
          <w:highlight w:val="none"/>
        </w:rPr>
      </w:pPr>
      <w:r>
        <w:rPr>
          <w:rFonts w:hint="eastAsia" w:ascii="宋体" w:hAnsi="宋体" w:cs="宋体"/>
          <w:color w:val="auto"/>
          <w:sz w:val="24"/>
          <w:highlight w:val="none"/>
        </w:rPr>
        <w:t xml:space="preserve"> 日      期：</w:t>
      </w:r>
    </w:p>
    <w:bookmarkEnd w:id="206"/>
    <w:p w14:paraId="2040AAD9">
      <w:pPr>
        <w:spacing w:line="360" w:lineRule="auto"/>
        <w:jc w:val="left"/>
        <w:rPr>
          <w:rFonts w:ascii="宋体" w:hAnsi="宋体" w:cs="宋体"/>
          <w:color w:val="auto"/>
          <w:sz w:val="36"/>
          <w:highlight w:val="none"/>
        </w:rPr>
      </w:pPr>
      <w:r>
        <w:rPr>
          <w:rFonts w:hint="eastAsia" w:ascii="宋体" w:hAnsi="宋体" w:cs="宋体"/>
          <w:color w:val="auto"/>
          <w:highlight w:val="none"/>
        </w:rPr>
        <w:br w:type="page"/>
      </w:r>
      <w:r>
        <w:rPr>
          <w:rFonts w:hint="eastAsia" w:ascii="宋体" w:hAnsi="宋体" w:cs="宋体"/>
          <w:color w:val="auto"/>
          <w:sz w:val="24"/>
          <w:highlight w:val="none"/>
        </w:rPr>
        <w:t>附件</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 xml:space="preserve">                 </w:t>
      </w:r>
      <w:r>
        <w:rPr>
          <w:rFonts w:hint="eastAsia" w:ascii="宋体" w:hAnsi="宋体" w:cs="宋体"/>
          <w:b/>
          <w:color w:val="auto"/>
          <w:sz w:val="36"/>
          <w:highlight w:val="none"/>
        </w:rPr>
        <w:t>供应商的资格证明文件</w:t>
      </w:r>
    </w:p>
    <w:p w14:paraId="5BC60E7F">
      <w:pPr>
        <w:spacing w:line="0" w:lineRule="atLeast"/>
        <w:rPr>
          <w:rFonts w:ascii="宋体" w:hAnsi="宋体" w:cs="宋体"/>
          <w:color w:val="auto"/>
          <w:highlight w:val="none"/>
        </w:rPr>
      </w:pPr>
    </w:p>
    <w:p w14:paraId="0F7F6EDA">
      <w:pPr>
        <w:spacing w:line="0" w:lineRule="atLeast"/>
        <w:rPr>
          <w:rFonts w:ascii="宋体" w:hAnsi="宋体" w:cs="宋体"/>
          <w:color w:val="auto"/>
          <w:highlight w:val="none"/>
        </w:rPr>
      </w:pPr>
    </w:p>
    <w:p w14:paraId="684F2751">
      <w:pPr>
        <w:spacing w:line="460" w:lineRule="exact"/>
        <w:rPr>
          <w:rFonts w:ascii="宋体" w:hAnsi="宋体" w:cs="宋体"/>
          <w:b/>
          <w:color w:val="auto"/>
          <w:sz w:val="32"/>
          <w:highlight w:val="none"/>
        </w:rPr>
      </w:pPr>
      <w:r>
        <w:rPr>
          <w:rFonts w:hint="eastAsia" w:ascii="宋体" w:hAnsi="宋体" w:cs="宋体"/>
          <w:color w:val="auto"/>
          <w:sz w:val="24"/>
          <w:highlight w:val="none"/>
        </w:rPr>
        <w:t>附件</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 xml:space="preserve">-1                   </w:t>
      </w:r>
      <w:r>
        <w:rPr>
          <w:rFonts w:hint="eastAsia" w:ascii="宋体" w:hAnsi="宋体" w:cs="宋体"/>
          <w:b/>
          <w:color w:val="auto"/>
          <w:sz w:val="32"/>
          <w:highlight w:val="none"/>
        </w:rPr>
        <w:t>参加询价的声明函</w:t>
      </w:r>
    </w:p>
    <w:p w14:paraId="0D1F767E">
      <w:pPr>
        <w:rPr>
          <w:rFonts w:ascii="宋体" w:hAnsi="宋体" w:cs="宋体"/>
          <w:b/>
          <w:color w:val="auto"/>
          <w:sz w:val="36"/>
          <w:szCs w:val="36"/>
          <w:highlight w:val="none"/>
        </w:rPr>
      </w:pPr>
    </w:p>
    <w:p w14:paraId="5980AB32">
      <w:pPr>
        <w:spacing w:line="460" w:lineRule="exact"/>
        <w:rPr>
          <w:rFonts w:ascii="宋体" w:hAnsi="宋体" w:cs="宋体"/>
          <w:color w:val="auto"/>
          <w:sz w:val="24"/>
          <w:highlight w:val="none"/>
        </w:rPr>
      </w:pPr>
    </w:p>
    <w:p w14:paraId="4703DFC8">
      <w:pPr>
        <w:spacing w:afterLines="80" w:line="560" w:lineRule="exact"/>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Cs w:val="21"/>
          <w:highlight w:val="none"/>
        </w:rPr>
        <w:t>厦门湖里国投物业服务有限公司</w:t>
      </w:r>
    </w:p>
    <w:p w14:paraId="1640171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关于贵方询价邀请，本签字人愿意参加询价，提供</w:t>
      </w:r>
      <w:r>
        <w:rPr>
          <w:rFonts w:hint="eastAsia" w:ascii="宋体" w:hAnsi="宋体" w:cs="宋体"/>
          <w:color w:val="auto"/>
          <w:sz w:val="24"/>
          <w:highlight w:val="none"/>
          <w:lang w:eastAsia="zh-CN"/>
        </w:rPr>
        <w:t>询价文件</w:t>
      </w:r>
      <w:r>
        <w:rPr>
          <w:rFonts w:hint="eastAsia" w:ascii="宋体" w:hAnsi="宋体" w:cs="宋体"/>
          <w:color w:val="auto"/>
          <w:sz w:val="24"/>
          <w:highlight w:val="none"/>
        </w:rPr>
        <w:t>中规定的</w:t>
      </w:r>
      <w:r>
        <w:rPr>
          <w:rFonts w:hint="eastAsia" w:ascii="宋体" w:hAnsi="宋体" w:cs="宋体"/>
          <w:color w:val="auto"/>
          <w:sz w:val="24"/>
          <w:highlight w:val="none"/>
          <w:u w:val="single"/>
        </w:rPr>
        <w:t xml:space="preserve"> </w:t>
      </w:r>
      <w:r>
        <w:rPr>
          <w:rFonts w:hint="eastAsia" w:ascii="宋体" w:hAnsi="宋体" w:cs="宋体"/>
          <w:color w:val="auto"/>
          <w:szCs w:val="21"/>
          <w:highlight w:val="none"/>
          <w:u w:val="single"/>
          <w:lang w:val="en-US" w:eastAsia="zh-CN"/>
        </w:rPr>
        <w:t>古地石指挥部及金尚菜市场项目、厦大海韵园二期项目保洁绿化服务</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（服务名称），并证明提交的下列文件和说明是准确的和真实的。</w:t>
      </w:r>
    </w:p>
    <w:p w14:paraId="50DE7449">
      <w:pPr>
        <w:spacing w:line="360" w:lineRule="auto"/>
        <w:ind w:firstLine="480" w:firstLineChars="200"/>
        <w:rPr>
          <w:rFonts w:ascii="宋体" w:hAnsi="宋体" w:cs="宋体"/>
          <w:color w:val="auto"/>
          <w:sz w:val="24"/>
          <w:highlight w:val="none"/>
        </w:rPr>
      </w:pPr>
    </w:p>
    <w:p w14:paraId="515F010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1．本签字人确认资格文件中的说明以及响应文件中所有提交的文件和材料是真实的、准确的。</w:t>
      </w:r>
    </w:p>
    <w:p w14:paraId="4F0E602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2．我方的资格声明正本一份，副本二份，随响应文件一同递交。</w:t>
      </w:r>
    </w:p>
    <w:p w14:paraId="06839DD4">
      <w:pPr>
        <w:spacing w:line="440" w:lineRule="exact"/>
        <w:jc w:val="left"/>
        <w:rPr>
          <w:rFonts w:ascii="宋体" w:hAnsi="宋体" w:cs="宋体"/>
          <w:color w:val="auto"/>
          <w:sz w:val="24"/>
          <w:highlight w:val="none"/>
        </w:rPr>
      </w:pPr>
    </w:p>
    <w:p w14:paraId="2CBBFB47">
      <w:pPr>
        <w:spacing w:line="440" w:lineRule="exact"/>
        <w:jc w:val="left"/>
        <w:rPr>
          <w:rFonts w:ascii="宋体" w:hAnsi="宋体" w:cs="宋体"/>
          <w:color w:val="auto"/>
          <w:sz w:val="24"/>
          <w:highlight w:val="none"/>
        </w:rPr>
      </w:pPr>
    </w:p>
    <w:p w14:paraId="539FF76D">
      <w:pPr>
        <w:spacing w:line="440" w:lineRule="exact"/>
        <w:rPr>
          <w:rFonts w:ascii="宋体" w:hAnsi="宋体" w:cs="宋体"/>
          <w:color w:val="auto"/>
          <w:sz w:val="24"/>
          <w:highlight w:val="none"/>
          <w:u w:val="single"/>
        </w:rPr>
      </w:pPr>
      <w:r>
        <w:rPr>
          <w:rFonts w:hint="eastAsia" w:ascii="宋体" w:hAnsi="宋体" w:cs="宋体"/>
          <w:color w:val="auto"/>
          <w:sz w:val="24"/>
          <w:highlight w:val="none"/>
        </w:rPr>
        <w:t>供应商代表：</w:t>
      </w:r>
      <w:r>
        <w:rPr>
          <w:rFonts w:hint="eastAsia" w:ascii="宋体" w:hAnsi="宋体" w:cs="宋体"/>
          <w:color w:val="auto"/>
          <w:sz w:val="24"/>
          <w:highlight w:val="none"/>
          <w:u w:val="single"/>
        </w:rPr>
        <w:t xml:space="preserve"> （签字）</w:t>
      </w:r>
    </w:p>
    <w:p w14:paraId="4E34F9D3">
      <w:pPr>
        <w:spacing w:line="440" w:lineRule="exact"/>
        <w:rPr>
          <w:rFonts w:ascii="宋体" w:hAnsi="宋体" w:cs="宋体"/>
          <w:color w:val="auto"/>
          <w:sz w:val="24"/>
          <w:highlight w:val="none"/>
          <w:u w:val="singl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（全称并加盖公章）              .</w:t>
      </w:r>
    </w:p>
    <w:p w14:paraId="0E740094">
      <w:pPr>
        <w:spacing w:line="360" w:lineRule="auto"/>
        <w:rPr>
          <w:rFonts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u w:val="single"/>
        </w:rPr>
        <w:t xml:space="preserve">                         </w:t>
      </w:r>
    </w:p>
    <w:p w14:paraId="5AA7519B">
      <w:pPr>
        <w:spacing w:line="360" w:lineRule="auto"/>
        <w:rPr>
          <w:rFonts w:ascii="宋体" w:hAnsi="宋体" w:cs="宋体"/>
          <w:color w:val="auto"/>
          <w:sz w:val="24"/>
          <w:highlight w:val="none"/>
        </w:rPr>
      </w:pPr>
      <w:r>
        <w:rPr>
          <w:rFonts w:hint="eastAsia" w:ascii="宋体" w:hAnsi="宋体" w:cs="宋体"/>
          <w:color w:val="auto"/>
          <w:sz w:val="24"/>
          <w:highlight w:val="none"/>
        </w:rPr>
        <w:t>邮     编：</w:t>
      </w:r>
      <w:r>
        <w:rPr>
          <w:rFonts w:hint="eastAsia" w:ascii="宋体" w:hAnsi="宋体" w:cs="宋体"/>
          <w:color w:val="auto"/>
          <w:sz w:val="24"/>
          <w:highlight w:val="none"/>
          <w:u w:val="single"/>
        </w:rPr>
        <w:t xml:space="preserve">                         </w:t>
      </w:r>
    </w:p>
    <w:p w14:paraId="0B37BFAB">
      <w:pPr>
        <w:spacing w:line="360" w:lineRule="auto"/>
        <w:rPr>
          <w:rFonts w:ascii="宋体" w:hAnsi="宋体" w:cs="宋体"/>
          <w:color w:val="auto"/>
          <w:sz w:val="24"/>
          <w:highlight w:val="none"/>
        </w:rPr>
      </w:pPr>
      <w:r>
        <w:rPr>
          <w:rFonts w:hint="eastAsia" w:ascii="宋体" w:hAnsi="宋体" w:cs="宋体"/>
          <w:color w:val="auto"/>
          <w:sz w:val="24"/>
          <w:highlight w:val="none"/>
        </w:rPr>
        <w:t>电 话/传 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78FBD1B8">
      <w:pPr>
        <w:spacing w:line="360" w:lineRule="auto"/>
        <w:rPr>
          <w:rFonts w:ascii="宋体" w:hAnsi="宋体" w:cs="宋体"/>
          <w:color w:val="auto"/>
          <w:sz w:val="24"/>
          <w:highlight w:val="none"/>
        </w:rPr>
      </w:pPr>
      <w:r>
        <w:rPr>
          <w:rFonts w:hint="eastAsia" w:ascii="宋体" w:hAnsi="宋体" w:cs="宋体"/>
          <w:color w:val="auto"/>
          <w:sz w:val="24"/>
          <w:highlight w:val="none"/>
        </w:rPr>
        <w:t>电子信箱：</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261C8BAB">
      <w:pPr>
        <w:spacing w:line="440" w:lineRule="exact"/>
        <w:rPr>
          <w:rFonts w:ascii="宋体" w:hAnsi="宋体" w:cs="宋体"/>
          <w:color w:val="auto"/>
          <w:highlight w:val="none"/>
        </w:rPr>
      </w:pPr>
      <w:r>
        <w:rPr>
          <w:rFonts w:hint="eastAsia" w:ascii="宋体" w:hAnsi="宋体" w:cs="宋体"/>
          <w:color w:val="auto"/>
          <w:sz w:val="24"/>
          <w:highlight w:val="none"/>
        </w:rPr>
        <w:t>日  期： 年 月 日</w:t>
      </w:r>
    </w:p>
    <w:p w14:paraId="492534AA">
      <w:pPr>
        <w:spacing w:line="440" w:lineRule="exact"/>
        <w:rPr>
          <w:rFonts w:ascii="宋体" w:hAnsi="宋体" w:cs="宋体"/>
          <w:color w:val="auto"/>
          <w:highlight w:val="none"/>
        </w:rPr>
      </w:pPr>
    </w:p>
    <w:p w14:paraId="461AFB95">
      <w:pPr>
        <w:spacing w:line="0" w:lineRule="atLeast"/>
        <w:rPr>
          <w:rFonts w:ascii="宋体" w:hAnsi="宋体" w:cs="宋体"/>
          <w:color w:val="auto"/>
          <w:highlight w:val="none"/>
        </w:rPr>
      </w:pPr>
    </w:p>
    <w:p w14:paraId="62976520">
      <w:pPr>
        <w:spacing w:line="360" w:lineRule="auto"/>
        <w:jc w:val="both"/>
        <w:outlineLvl w:val="1"/>
        <w:rPr>
          <w:rFonts w:ascii="宋体" w:hAnsi="宋体" w:eastAsia="宋体" w:cs="宋体"/>
          <w:b/>
          <w:color w:val="auto"/>
          <w:sz w:val="24"/>
          <w:highlight w:val="none"/>
        </w:rPr>
      </w:pPr>
      <w:r>
        <w:rPr>
          <w:rFonts w:hint="eastAsia" w:ascii="宋体" w:hAnsi="宋体" w:cs="宋体"/>
          <w:color w:val="auto"/>
          <w:highlight w:val="none"/>
        </w:rPr>
        <w:br w:type="page"/>
      </w:r>
      <w:r>
        <w:rPr>
          <w:rFonts w:hint="eastAsia" w:ascii="宋体" w:hAnsi="宋体" w:cs="宋体"/>
          <w:color w:val="auto"/>
          <w:sz w:val="24"/>
          <w:highlight w:val="none"/>
        </w:rPr>
        <w:t>附件</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 xml:space="preserve">-2                  </w:t>
      </w:r>
      <w:r>
        <w:rPr>
          <w:rFonts w:hint="eastAsia" w:ascii="宋体" w:hAnsi="宋体" w:cs="宋体"/>
          <w:b/>
          <w:color w:val="auto"/>
          <w:sz w:val="28"/>
          <w:szCs w:val="28"/>
          <w:highlight w:val="none"/>
        </w:rPr>
        <w:t>资格承诺函</w:t>
      </w:r>
    </w:p>
    <w:p w14:paraId="15F36F44">
      <w:pPr>
        <w:pStyle w:val="94"/>
        <w:ind w:firstLine="480" w:firstLineChars="200"/>
        <w:jc w:val="both"/>
        <w:rPr>
          <w:rFonts w:hint="default" w:ascii="宋体" w:hAnsi="宋体" w:eastAsia="宋体" w:cs="宋体"/>
          <w:color w:val="auto"/>
          <w:highlight w:val="none"/>
        </w:rPr>
      </w:pPr>
      <w:r>
        <w:rPr>
          <w:rFonts w:ascii="宋体" w:hAnsi="宋体" w:eastAsia="宋体" w:cs="宋体"/>
          <w:color w:val="auto"/>
          <w:sz w:val="24"/>
          <w:highlight w:val="none"/>
        </w:rPr>
        <w:t>我单位(本人)自愿参加本次政府采购活动，严格遵守《中华人民共和国政府采购法》及相关法律法规，坚守公开、公平公正和诚实信用等原则，依法诚信经营，并郑重承诺:</w:t>
      </w:r>
    </w:p>
    <w:p w14:paraId="42243222">
      <w:pPr>
        <w:pStyle w:val="94"/>
        <w:ind w:firstLine="400"/>
        <w:jc w:val="both"/>
        <w:rPr>
          <w:rFonts w:hint="default" w:ascii="宋体" w:hAnsi="宋体" w:eastAsia="宋体" w:cs="宋体"/>
          <w:color w:val="auto"/>
          <w:highlight w:val="none"/>
        </w:rPr>
      </w:pPr>
      <w:r>
        <w:rPr>
          <w:rFonts w:ascii="宋体" w:hAnsi="宋体" w:eastAsia="宋体" w:cs="宋体"/>
          <w:color w:val="auto"/>
          <w:sz w:val="24"/>
          <w:highlight w:val="none"/>
        </w:rPr>
        <w:t>一、我单位(本人)具备</w:t>
      </w:r>
      <w:r>
        <w:rPr>
          <w:rFonts w:hint="eastAsia" w:ascii="宋体" w:hAnsi="宋体" w:cs="宋体"/>
          <w:color w:val="auto"/>
          <w:sz w:val="24"/>
          <w:highlight w:val="none"/>
          <w:lang w:eastAsia="zh-CN"/>
        </w:rPr>
        <w:t>询价文件</w:t>
      </w:r>
      <w:r>
        <w:rPr>
          <w:rFonts w:ascii="宋体" w:hAnsi="宋体" w:eastAsia="宋体" w:cs="宋体"/>
          <w:color w:val="auto"/>
          <w:sz w:val="24"/>
          <w:highlight w:val="none"/>
        </w:rPr>
        <w:t>要求以及《中华人民共和国政府采购法》第二十二条规定的条件:</w:t>
      </w:r>
    </w:p>
    <w:p w14:paraId="04717D94">
      <w:pPr>
        <w:pStyle w:val="94"/>
        <w:ind w:firstLine="400"/>
        <w:jc w:val="both"/>
        <w:rPr>
          <w:rFonts w:hint="default" w:ascii="宋体" w:hAnsi="宋体" w:eastAsia="宋体" w:cs="宋体"/>
          <w:color w:val="auto"/>
          <w:highlight w:val="none"/>
        </w:rPr>
      </w:pPr>
      <w:r>
        <w:rPr>
          <w:rFonts w:ascii="宋体" w:hAnsi="宋体" w:eastAsia="宋体" w:cs="宋体"/>
          <w:color w:val="auto"/>
          <w:sz w:val="24"/>
          <w:highlight w:val="none"/>
        </w:rPr>
        <w:t>1.具有独立承担民事责任的能力;</w:t>
      </w:r>
    </w:p>
    <w:p w14:paraId="7FE42B9E">
      <w:pPr>
        <w:pStyle w:val="94"/>
        <w:ind w:firstLine="400"/>
        <w:jc w:val="both"/>
        <w:rPr>
          <w:rFonts w:hint="default" w:ascii="宋体" w:hAnsi="宋体" w:eastAsia="宋体" w:cs="宋体"/>
          <w:color w:val="auto"/>
          <w:highlight w:val="none"/>
        </w:rPr>
      </w:pPr>
      <w:r>
        <w:rPr>
          <w:rFonts w:ascii="宋体" w:hAnsi="宋体" w:eastAsia="宋体" w:cs="宋体"/>
          <w:color w:val="auto"/>
          <w:sz w:val="24"/>
          <w:highlight w:val="none"/>
        </w:rPr>
        <w:t>2.具有良好的商业信誉和健全的财务会计制度;</w:t>
      </w:r>
    </w:p>
    <w:p w14:paraId="1DBCEC9C">
      <w:pPr>
        <w:pStyle w:val="94"/>
        <w:ind w:firstLine="400"/>
        <w:jc w:val="both"/>
        <w:rPr>
          <w:rFonts w:hint="default" w:ascii="宋体" w:hAnsi="宋体" w:eastAsia="宋体" w:cs="宋体"/>
          <w:color w:val="auto"/>
          <w:highlight w:val="none"/>
        </w:rPr>
      </w:pPr>
      <w:r>
        <w:rPr>
          <w:rFonts w:ascii="宋体" w:hAnsi="宋体" w:eastAsia="宋体" w:cs="宋体"/>
          <w:color w:val="auto"/>
          <w:sz w:val="24"/>
          <w:highlight w:val="none"/>
        </w:rPr>
        <w:t>3.具有履行合同所必需的设备和专业技术能力;</w:t>
      </w:r>
    </w:p>
    <w:p w14:paraId="3C66D80F">
      <w:pPr>
        <w:pStyle w:val="94"/>
        <w:ind w:firstLine="400"/>
        <w:jc w:val="both"/>
        <w:rPr>
          <w:rFonts w:hint="default" w:ascii="宋体" w:hAnsi="宋体" w:eastAsia="宋体" w:cs="宋体"/>
          <w:color w:val="auto"/>
          <w:highlight w:val="none"/>
        </w:rPr>
      </w:pPr>
      <w:r>
        <w:rPr>
          <w:rFonts w:ascii="宋体" w:hAnsi="宋体" w:eastAsia="宋体" w:cs="宋体"/>
          <w:color w:val="auto"/>
          <w:sz w:val="24"/>
          <w:highlight w:val="none"/>
        </w:rPr>
        <w:t>4.有依法缴纳税收和社会保障资金的良好记录;</w:t>
      </w:r>
    </w:p>
    <w:p w14:paraId="37328435">
      <w:pPr>
        <w:pStyle w:val="94"/>
        <w:ind w:firstLine="400"/>
        <w:jc w:val="both"/>
        <w:rPr>
          <w:rFonts w:hint="default" w:ascii="宋体" w:hAnsi="宋体" w:eastAsia="宋体" w:cs="宋体"/>
          <w:color w:val="auto"/>
          <w:highlight w:val="none"/>
        </w:rPr>
      </w:pPr>
      <w:r>
        <w:rPr>
          <w:rFonts w:ascii="宋体" w:hAnsi="宋体" w:eastAsia="宋体" w:cs="宋体"/>
          <w:color w:val="auto"/>
          <w:sz w:val="24"/>
          <w:highlight w:val="none"/>
        </w:rPr>
        <w:t>5.参加政府采购活动前三年内，在经营活动中没有重大违法记录；</w:t>
      </w:r>
    </w:p>
    <w:p w14:paraId="2A90FDBF">
      <w:pPr>
        <w:pStyle w:val="94"/>
        <w:ind w:firstLine="400"/>
        <w:jc w:val="both"/>
        <w:rPr>
          <w:rFonts w:hint="default" w:ascii="宋体" w:hAnsi="宋体" w:eastAsia="宋体" w:cs="宋体"/>
          <w:color w:val="auto"/>
          <w:highlight w:val="none"/>
        </w:rPr>
      </w:pPr>
      <w:r>
        <w:rPr>
          <w:rFonts w:ascii="宋体" w:hAnsi="宋体" w:eastAsia="宋体" w:cs="宋体"/>
          <w:color w:val="auto"/>
          <w:sz w:val="24"/>
          <w:highlight w:val="none"/>
        </w:rPr>
        <w:t>6.法律、行政法规规定的其他条件。</w:t>
      </w:r>
    </w:p>
    <w:p w14:paraId="46714359">
      <w:pPr>
        <w:pStyle w:val="94"/>
        <w:ind w:firstLine="400"/>
        <w:jc w:val="both"/>
        <w:rPr>
          <w:rFonts w:hint="default" w:ascii="宋体" w:hAnsi="宋体" w:eastAsia="宋体" w:cs="宋体"/>
          <w:color w:val="auto"/>
          <w:highlight w:val="none"/>
        </w:rPr>
      </w:pPr>
      <w:r>
        <w:rPr>
          <w:rFonts w:ascii="宋体" w:hAnsi="宋体" w:eastAsia="宋体" w:cs="宋体"/>
          <w:color w:val="auto"/>
          <w:sz w:val="24"/>
          <w:highlight w:val="none"/>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4E7B8BDC">
      <w:pPr>
        <w:pStyle w:val="94"/>
        <w:ind w:firstLine="400"/>
        <w:jc w:val="both"/>
        <w:rPr>
          <w:rFonts w:hint="default" w:ascii="宋体" w:hAnsi="宋体" w:eastAsia="宋体" w:cs="宋体"/>
          <w:color w:val="auto"/>
          <w:highlight w:val="none"/>
        </w:rPr>
      </w:pPr>
      <w:r>
        <w:rPr>
          <w:rFonts w:ascii="宋体" w:hAnsi="宋体" w:eastAsia="宋体" w:cs="宋体"/>
          <w:color w:val="auto"/>
          <w:sz w:val="24"/>
          <w:highlight w:val="none"/>
        </w:rPr>
        <w:t>我单位(本人)对本承诺函及所承诺事项的真实性、合法性及有效性负责，并已知晓如所作信用承诺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68DFE798">
      <w:pPr>
        <w:pStyle w:val="94"/>
        <w:ind w:firstLine="2200"/>
        <w:jc w:val="both"/>
        <w:rPr>
          <w:rFonts w:ascii="宋体" w:hAnsi="宋体" w:eastAsia="宋体" w:cs="宋体"/>
          <w:color w:val="auto"/>
          <w:sz w:val="24"/>
          <w:highlight w:val="none"/>
        </w:rPr>
      </w:pPr>
    </w:p>
    <w:p w14:paraId="22EC97FE">
      <w:pPr>
        <w:pStyle w:val="94"/>
        <w:ind w:firstLine="2200"/>
        <w:jc w:val="both"/>
        <w:rPr>
          <w:rFonts w:ascii="宋体" w:hAnsi="宋体" w:eastAsia="宋体" w:cs="宋体"/>
          <w:color w:val="auto"/>
          <w:sz w:val="24"/>
          <w:highlight w:val="none"/>
        </w:rPr>
      </w:pPr>
    </w:p>
    <w:p w14:paraId="77DD459A">
      <w:pPr>
        <w:pStyle w:val="94"/>
        <w:ind w:firstLine="2200"/>
        <w:jc w:val="both"/>
        <w:rPr>
          <w:rFonts w:hint="default" w:ascii="宋体" w:hAnsi="宋体" w:eastAsia="宋体" w:cs="宋体"/>
          <w:color w:val="auto"/>
          <w:highlight w:val="none"/>
        </w:rPr>
      </w:pPr>
      <w:r>
        <w:rPr>
          <w:rFonts w:ascii="宋体" w:hAnsi="宋体" w:eastAsia="宋体" w:cs="宋体"/>
          <w:color w:val="auto"/>
          <w:sz w:val="24"/>
          <w:highlight w:val="none"/>
        </w:rPr>
        <w:t>供应商名称(单位公章):</w:t>
      </w:r>
    </w:p>
    <w:p w14:paraId="64C0AAFF">
      <w:pPr>
        <w:pStyle w:val="94"/>
        <w:ind w:firstLine="2200"/>
        <w:jc w:val="both"/>
        <w:rPr>
          <w:rFonts w:hint="default" w:ascii="宋体" w:hAnsi="宋体" w:eastAsia="宋体" w:cs="宋体"/>
          <w:color w:val="auto"/>
          <w:highlight w:val="none"/>
        </w:rPr>
      </w:pPr>
      <w:r>
        <w:rPr>
          <w:rFonts w:ascii="宋体" w:hAnsi="宋体" w:eastAsia="宋体" w:cs="宋体"/>
          <w:color w:val="auto"/>
          <w:sz w:val="24"/>
          <w:highlight w:val="none"/>
        </w:rPr>
        <w:t xml:space="preserve"> 年   月   日</w:t>
      </w:r>
    </w:p>
    <w:p w14:paraId="22F35A40">
      <w:pPr>
        <w:pStyle w:val="94"/>
        <w:ind w:firstLine="400"/>
        <w:jc w:val="both"/>
        <w:rPr>
          <w:rFonts w:hint="default" w:ascii="宋体" w:hAnsi="宋体" w:eastAsia="宋体" w:cs="宋体"/>
          <w:color w:val="auto"/>
          <w:highlight w:val="none"/>
        </w:rPr>
      </w:pPr>
      <w:r>
        <w:rPr>
          <w:rFonts w:ascii="宋体" w:hAnsi="宋体" w:eastAsia="宋体" w:cs="宋体"/>
          <w:color w:val="auto"/>
          <w:sz w:val="24"/>
          <w:highlight w:val="none"/>
        </w:rPr>
        <w:t>注:</w:t>
      </w:r>
    </w:p>
    <w:p w14:paraId="7DFA3D38">
      <w:pPr>
        <w:pStyle w:val="94"/>
        <w:spacing w:line="440" w:lineRule="exact"/>
        <w:jc w:val="both"/>
        <w:rPr>
          <w:rFonts w:hint="default" w:ascii="宋体" w:hAnsi="宋体" w:eastAsia="宋体" w:cs="宋体"/>
          <w:color w:val="auto"/>
          <w:highlight w:val="none"/>
        </w:rPr>
      </w:pPr>
      <w:r>
        <w:rPr>
          <w:rFonts w:ascii="宋体" w:hAnsi="宋体" w:eastAsia="宋体" w:cs="宋体"/>
          <w:color w:val="auto"/>
          <w:sz w:val="24"/>
          <w:highlight w:val="none"/>
        </w:rPr>
        <w:t>1.我单位(本人)专指参加政府采购活动的供应商(含自然人)；</w:t>
      </w:r>
    </w:p>
    <w:p w14:paraId="1CD4BD90">
      <w:pPr>
        <w:spacing w:line="440" w:lineRule="exact"/>
        <w:rPr>
          <w:rFonts w:hint="eastAsia" w:ascii="宋体" w:hAnsi="宋体" w:cs="宋体"/>
          <w:color w:val="auto"/>
          <w:sz w:val="24"/>
          <w:highlight w:val="none"/>
        </w:rPr>
      </w:pPr>
      <w:r>
        <w:rPr>
          <w:rFonts w:hint="eastAsia" w:ascii="宋体" w:hAnsi="宋体" w:cs="宋体"/>
          <w:color w:val="auto"/>
          <w:sz w:val="24"/>
          <w:highlight w:val="none"/>
        </w:rPr>
        <w:t>2.资格承诺的供应商应在投标(响应)文件中按此模板提供承诺函，否则，视为未按照</w:t>
      </w:r>
      <w:r>
        <w:rPr>
          <w:rFonts w:hint="eastAsia" w:ascii="宋体" w:hAnsi="宋体" w:cs="宋体"/>
          <w:color w:val="auto"/>
          <w:sz w:val="24"/>
          <w:highlight w:val="none"/>
          <w:lang w:eastAsia="zh-CN"/>
        </w:rPr>
        <w:t>询价文件</w:t>
      </w:r>
      <w:r>
        <w:rPr>
          <w:rFonts w:hint="eastAsia" w:ascii="宋体" w:hAnsi="宋体" w:cs="宋体"/>
          <w:color w:val="auto"/>
          <w:sz w:val="24"/>
          <w:highlight w:val="none"/>
        </w:rPr>
        <w:t>规定提交供应商的资格及资信文件，按资格审查不通过处理。</w:t>
      </w:r>
    </w:p>
    <w:p w14:paraId="11595C18">
      <w:pPr>
        <w:pStyle w:val="41"/>
        <w:rPr>
          <w:rFonts w:hint="eastAsia" w:ascii="宋体" w:hAnsi="宋体" w:cs="宋体"/>
          <w:color w:val="auto"/>
          <w:sz w:val="24"/>
          <w:highlight w:val="none"/>
        </w:rPr>
      </w:pPr>
    </w:p>
    <w:p w14:paraId="4F1D35A2">
      <w:pPr>
        <w:rPr>
          <w:rFonts w:hint="eastAsia" w:ascii="宋体" w:hAnsi="宋体" w:cs="宋体"/>
          <w:color w:val="auto"/>
          <w:sz w:val="24"/>
          <w:highlight w:val="none"/>
        </w:rPr>
      </w:pPr>
    </w:p>
    <w:p w14:paraId="4F744A37">
      <w:pPr>
        <w:spacing w:line="380" w:lineRule="exact"/>
        <w:rPr>
          <w:rFonts w:ascii="宋体" w:hAnsi="宋体" w:cs="宋体"/>
          <w:color w:val="auto"/>
          <w:highlight w:val="none"/>
        </w:rPr>
      </w:pPr>
    </w:p>
    <w:p w14:paraId="17A1B042">
      <w:pPr>
        <w:pStyle w:val="94"/>
        <w:spacing w:line="400" w:lineRule="exact"/>
        <w:rPr>
          <w:rFonts w:hint="default" w:ascii="宋体" w:hAnsi="宋体" w:eastAsia="宋体" w:cs="宋体"/>
          <w:color w:val="auto"/>
          <w:sz w:val="24"/>
          <w:highlight w:val="none"/>
        </w:rPr>
      </w:pPr>
    </w:p>
    <w:p w14:paraId="345B366A">
      <w:pPr>
        <w:pStyle w:val="94"/>
        <w:spacing w:line="400" w:lineRule="exact"/>
        <w:rPr>
          <w:rFonts w:hint="default" w:ascii="宋体" w:hAnsi="宋体" w:eastAsia="宋体" w:cs="宋体"/>
          <w:b/>
          <w:color w:val="auto"/>
          <w:sz w:val="32"/>
          <w:highlight w:val="none"/>
        </w:rPr>
      </w:pPr>
      <w:r>
        <w:rPr>
          <w:rFonts w:ascii="宋体" w:hAnsi="宋体" w:eastAsia="宋体" w:cs="宋体"/>
          <w:color w:val="auto"/>
          <w:sz w:val="24"/>
          <w:highlight w:val="none"/>
        </w:rPr>
        <w:t>附件</w:t>
      </w:r>
      <w:r>
        <w:rPr>
          <w:rFonts w:hint="eastAsia" w:ascii="宋体" w:hAnsi="宋体" w:cs="宋体"/>
          <w:color w:val="auto"/>
          <w:sz w:val="24"/>
          <w:highlight w:val="none"/>
          <w:lang w:val="en-US" w:eastAsia="zh-CN"/>
        </w:rPr>
        <w:t>4</w:t>
      </w:r>
      <w:r>
        <w:rPr>
          <w:rFonts w:ascii="宋体" w:hAnsi="宋体" w:eastAsia="宋体" w:cs="宋体"/>
          <w:color w:val="auto"/>
          <w:sz w:val="24"/>
          <w:highlight w:val="none"/>
        </w:rPr>
        <w:t xml:space="preserve">-3                       </w:t>
      </w:r>
      <w:r>
        <w:rPr>
          <w:rFonts w:ascii="宋体" w:hAnsi="宋体" w:eastAsia="宋体" w:cs="宋体"/>
          <w:b/>
          <w:color w:val="auto"/>
          <w:sz w:val="28"/>
          <w:szCs w:val="28"/>
          <w:highlight w:val="none"/>
        </w:rPr>
        <w:t>营业执照等证明文件</w:t>
      </w:r>
    </w:p>
    <w:p w14:paraId="3959E227">
      <w:pPr>
        <w:spacing w:line="440" w:lineRule="exact"/>
        <w:rPr>
          <w:rFonts w:ascii="宋体" w:hAnsi="宋体" w:cs="宋体"/>
          <w:color w:val="auto"/>
          <w:sz w:val="24"/>
          <w:highlight w:val="none"/>
        </w:rPr>
      </w:pPr>
    </w:p>
    <w:p w14:paraId="14251530">
      <w:pPr>
        <w:spacing w:line="440" w:lineRule="exact"/>
        <w:rPr>
          <w:rFonts w:ascii="宋体" w:hAnsi="宋体" w:cs="宋体"/>
          <w:color w:val="auto"/>
          <w:sz w:val="24"/>
          <w:highlight w:val="none"/>
        </w:rPr>
      </w:pPr>
    </w:p>
    <w:p w14:paraId="7E5F23B6">
      <w:pPr>
        <w:spacing w:line="440" w:lineRule="exact"/>
        <w:rPr>
          <w:rFonts w:ascii="宋体" w:hAnsi="宋体" w:cs="宋体"/>
          <w:color w:val="auto"/>
          <w:sz w:val="24"/>
          <w:highlight w:val="none"/>
        </w:rPr>
      </w:pPr>
      <w:r>
        <w:rPr>
          <w:rFonts w:hint="eastAsia" w:ascii="宋体" w:hAnsi="宋体" w:cs="宋体"/>
          <w:color w:val="auto"/>
          <w:sz w:val="24"/>
          <w:highlight w:val="none"/>
        </w:rPr>
        <w:t>★注意：</w:t>
      </w:r>
    </w:p>
    <w:p w14:paraId="76422576">
      <w:pPr>
        <w:spacing w:line="440" w:lineRule="exact"/>
        <w:rPr>
          <w:rFonts w:ascii="宋体" w:hAnsi="宋体" w:cs="宋体"/>
          <w:color w:val="auto"/>
          <w:sz w:val="24"/>
          <w:highlight w:val="none"/>
        </w:rPr>
      </w:pPr>
      <w:r>
        <w:rPr>
          <w:rFonts w:hint="eastAsia" w:ascii="宋体" w:hAnsi="宋体" w:cs="宋体"/>
          <w:color w:val="auto"/>
          <w:sz w:val="24"/>
          <w:highlight w:val="none"/>
          <w:lang w:val="en-US" w:eastAsia="zh-CN"/>
        </w:rPr>
        <w:t>1</w:t>
      </w:r>
      <w:r>
        <w:rPr>
          <w:rFonts w:hint="eastAsia" w:ascii="宋体" w:hAnsi="宋体" w:cs="宋体"/>
          <w:color w:val="auto"/>
          <w:sz w:val="24"/>
          <w:highlight w:val="none"/>
        </w:rPr>
        <w:t>、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14:paraId="6DD5A592">
      <w:pPr>
        <w:spacing w:line="440" w:lineRule="exac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2、上述证明文件复印件需加盖公章。</w:t>
      </w:r>
    </w:p>
    <w:p w14:paraId="7260CC49">
      <w:pPr>
        <w:pStyle w:val="41"/>
        <w:rPr>
          <w:rFonts w:hint="default"/>
          <w:color w:val="auto"/>
          <w:highlight w:val="none"/>
          <w:lang w:val="en-US" w:eastAsia="zh-CN"/>
        </w:rPr>
      </w:pPr>
    </w:p>
    <w:p w14:paraId="56F2F8A1">
      <w:pPr>
        <w:spacing w:line="440" w:lineRule="exact"/>
        <w:rPr>
          <w:rFonts w:ascii="宋体" w:hAnsi="宋体" w:cs="宋体"/>
          <w:color w:val="auto"/>
          <w:sz w:val="24"/>
          <w:highlight w:val="none"/>
          <w:u w:val="single"/>
        </w:rPr>
      </w:pPr>
      <w:r>
        <w:rPr>
          <w:rFonts w:hint="eastAsia" w:ascii="宋体" w:hAnsi="宋体" w:cs="宋体"/>
          <w:color w:val="auto"/>
          <w:sz w:val="24"/>
          <w:highlight w:val="none"/>
        </w:rPr>
        <w:t>供应商代表：</w:t>
      </w:r>
      <w:r>
        <w:rPr>
          <w:rFonts w:hint="eastAsia" w:ascii="宋体" w:hAnsi="宋体" w:cs="宋体"/>
          <w:color w:val="auto"/>
          <w:sz w:val="24"/>
          <w:highlight w:val="none"/>
          <w:u w:val="single"/>
        </w:rPr>
        <w:t xml:space="preserve"> （签字）</w:t>
      </w:r>
    </w:p>
    <w:p w14:paraId="7F448232">
      <w:pPr>
        <w:spacing w:line="440" w:lineRule="exact"/>
        <w:rPr>
          <w:rFonts w:ascii="宋体" w:hAnsi="宋体" w:cs="宋体"/>
          <w:color w:val="auto"/>
          <w:sz w:val="24"/>
          <w:highlight w:val="none"/>
          <w:u w:val="singl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（全称并加盖公章）              </w:t>
      </w:r>
    </w:p>
    <w:p w14:paraId="679681CC">
      <w:pPr>
        <w:spacing w:line="380" w:lineRule="exact"/>
        <w:jc w:val="center"/>
        <w:rPr>
          <w:rFonts w:ascii="宋体" w:hAnsi="宋体" w:cs="宋体"/>
          <w:b/>
          <w:color w:val="auto"/>
          <w:sz w:val="28"/>
          <w:szCs w:val="28"/>
          <w:highlight w:val="none"/>
        </w:rPr>
      </w:pPr>
      <w:r>
        <w:rPr>
          <w:rFonts w:hint="eastAsia" w:ascii="宋体" w:hAnsi="宋体" w:cs="宋体"/>
          <w:color w:val="auto"/>
          <w:sz w:val="24"/>
          <w:highlight w:val="none"/>
        </w:rPr>
        <w:t>日  期： 年 月 日</w:t>
      </w:r>
    </w:p>
    <w:p w14:paraId="363AA58D">
      <w:pPr>
        <w:spacing w:line="380" w:lineRule="exact"/>
        <w:jc w:val="center"/>
        <w:rPr>
          <w:rFonts w:ascii="宋体" w:hAnsi="宋体" w:cs="宋体"/>
          <w:b/>
          <w:color w:val="auto"/>
          <w:sz w:val="28"/>
          <w:szCs w:val="28"/>
          <w:highlight w:val="none"/>
        </w:rPr>
      </w:pPr>
    </w:p>
    <w:p w14:paraId="1BF83697">
      <w:pPr>
        <w:spacing w:line="380" w:lineRule="exact"/>
        <w:jc w:val="center"/>
        <w:rPr>
          <w:rFonts w:ascii="宋体" w:hAnsi="宋体" w:cs="宋体"/>
          <w:b/>
          <w:color w:val="auto"/>
          <w:sz w:val="28"/>
          <w:szCs w:val="28"/>
          <w:highlight w:val="none"/>
        </w:rPr>
      </w:pPr>
    </w:p>
    <w:p w14:paraId="66CF6D55">
      <w:pPr>
        <w:spacing w:line="380" w:lineRule="exact"/>
        <w:jc w:val="center"/>
        <w:rPr>
          <w:rFonts w:ascii="宋体" w:hAnsi="宋体" w:cs="宋体"/>
          <w:b/>
          <w:color w:val="auto"/>
          <w:sz w:val="28"/>
          <w:szCs w:val="28"/>
          <w:highlight w:val="none"/>
        </w:rPr>
      </w:pPr>
    </w:p>
    <w:p w14:paraId="4AB97505">
      <w:pPr>
        <w:pStyle w:val="41"/>
        <w:rPr>
          <w:rFonts w:ascii="宋体" w:hAnsi="宋体" w:cs="宋体"/>
          <w:b/>
          <w:color w:val="auto"/>
          <w:sz w:val="28"/>
          <w:szCs w:val="28"/>
          <w:highlight w:val="none"/>
        </w:rPr>
      </w:pPr>
    </w:p>
    <w:p w14:paraId="3831973E">
      <w:pPr>
        <w:rPr>
          <w:rFonts w:ascii="宋体" w:hAnsi="宋体" w:cs="宋体"/>
          <w:b/>
          <w:color w:val="auto"/>
          <w:sz w:val="28"/>
          <w:szCs w:val="28"/>
          <w:highlight w:val="none"/>
        </w:rPr>
      </w:pPr>
    </w:p>
    <w:p w14:paraId="2745678E">
      <w:pPr>
        <w:pStyle w:val="41"/>
        <w:rPr>
          <w:rFonts w:ascii="宋体" w:hAnsi="宋体" w:cs="宋体"/>
          <w:b/>
          <w:color w:val="auto"/>
          <w:sz w:val="28"/>
          <w:szCs w:val="28"/>
          <w:highlight w:val="none"/>
        </w:rPr>
      </w:pPr>
    </w:p>
    <w:p w14:paraId="5D4026ED">
      <w:pPr>
        <w:rPr>
          <w:rFonts w:ascii="宋体" w:hAnsi="宋体" w:cs="宋体"/>
          <w:b/>
          <w:color w:val="auto"/>
          <w:sz w:val="28"/>
          <w:szCs w:val="28"/>
          <w:highlight w:val="none"/>
        </w:rPr>
      </w:pPr>
    </w:p>
    <w:p w14:paraId="64383290">
      <w:pPr>
        <w:pStyle w:val="41"/>
        <w:rPr>
          <w:rFonts w:ascii="宋体" w:hAnsi="宋体" w:cs="宋体"/>
          <w:b/>
          <w:color w:val="auto"/>
          <w:sz w:val="28"/>
          <w:szCs w:val="28"/>
          <w:highlight w:val="none"/>
        </w:rPr>
      </w:pPr>
    </w:p>
    <w:p w14:paraId="579B20F7">
      <w:pPr>
        <w:rPr>
          <w:rFonts w:ascii="宋体" w:hAnsi="宋体" w:cs="宋体"/>
          <w:b/>
          <w:color w:val="auto"/>
          <w:sz w:val="28"/>
          <w:szCs w:val="28"/>
          <w:highlight w:val="none"/>
        </w:rPr>
      </w:pPr>
    </w:p>
    <w:p w14:paraId="6CC1D1FE">
      <w:pPr>
        <w:pStyle w:val="41"/>
        <w:rPr>
          <w:rFonts w:ascii="宋体" w:hAnsi="宋体" w:cs="宋体"/>
          <w:b/>
          <w:color w:val="auto"/>
          <w:sz w:val="28"/>
          <w:szCs w:val="28"/>
          <w:highlight w:val="none"/>
        </w:rPr>
      </w:pPr>
    </w:p>
    <w:p w14:paraId="2B6C3ED7">
      <w:pPr>
        <w:rPr>
          <w:rFonts w:ascii="宋体" w:hAnsi="宋体" w:cs="宋体"/>
          <w:b/>
          <w:color w:val="auto"/>
          <w:sz w:val="28"/>
          <w:szCs w:val="28"/>
          <w:highlight w:val="none"/>
        </w:rPr>
      </w:pPr>
    </w:p>
    <w:p w14:paraId="3B77E101">
      <w:pPr>
        <w:pStyle w:val="41"/>
        <w:rPr>
          <w:rFonts w:ascii="宋体" w:hAnsi="宋体" w:cs="宋体"/>
          <w:b/>
          <w:color w:val="auto"/>
          <w:sz w:val="28"/>
          <w:szCs w:val="28"/>
          <w:highlight w:val="none"/>
        </w:rPr>
      </w:pPr>
    </w:p>
    <w:p w14:paraId="7EDFF6B6">
      <w:pPr>
        <w:rPr>
          <w:rFonts w:ascii="宋体" w:hAnsi="宋体" w:cs="宋体"/>
          <w:b/>
          <w:color w:val="auto"/>
          <w:sz w:val="28"/>
          <w:szCs w:val="28"/>
          <w:highlight w:val="none"/>
        </w:rPr>
      </w:pPr>
    </w:p>
    <w:p w14:paraId="0C94548D">
      <w:pPr>
        <w:pStyle w:val="41"/>
        <w:rPr>
          <w:color w:val="auto"/>
          <w:highlight w:val="none"/>
        </w:rPr>
      </w:pPr>
    </w:p>
    <w:p w14:paraId="766FE87E">
      <w:pPr>
        <w:spacing w:line="380" w:lineRule="exact"/>
        <w:jc w:val="center"/>
        <w:rPr>
          <w:rFonts w:ascii="宋体" w:hAnsi="宋体" w:cs="宋体"/>
          <w:b/>
          <w:color w:val="auto"/>
          <w:sz w:val="28"/>
          <w:szCs w:val="28"/>
          <w:highlight w:val="none"/>
        </w:rPr>
      </w:pPr>
    </w:p>
    <w:p w14:paraId="34349F31">
      <w:pPr>
        <w:spacing w:line="380" w:lineRule="exact"/>
        <w:jc w:val="left"/>
        <w:rPr>
          <w:rFonts w:ascii="宋体" w:hAnsi="宋体" w:cs="宋体"/>
          <w:color w:val="auto"/>
          <w:sz w:val="24"/>
          <w:highlight w:val="none"/>
        </w:rPr>
      </w:pPr>
    </w:p>
    <w:p w14:paraId="6AE765DD">
      <w:pPr>
        <w:spacing w:line="380" w:lineRule="exact"/>
        <w:jc w:val="left"/>
        <w:rPr>
          <w:rFonts w:hint="eastAsia" w:ascii="宋体" w:hAnsi="宋体" w:cs="宋体"/>
          <w:color w:val="auto"/>
          <w:sz w:val="24"/>
          <w:highlight w:val="none"/>
        </w:rPr>
      </w:pPr>
    </w:p>
    <w:p w14:paraId="3E1ACCDA">
      <w:pPr>
        <w:spacing w:line="380" w:lineRule="exact"/>
        <w:jc w:val="left"/>
        <w:rPr>
          <w:rFonts w:hint="eastAsia" w:ascii="宋体" w:hAnsi="宋体" w:cs="宋体"/>
          <w:b/>
          <w:color w:val="auto"/>
          <w:sz w:val="28"/>
          <w:szCs w:val="28"/>
          <w:highlight w:val="none"/>
        </w:rPr>
      </w:pPr>
      <w:r>
        <w:rPr>
          <w:rFonts w:hint="eastAsia" w:ascii="宋体" w:hAnsi="宋体" w:cs="宋体"/>
          <w:color w:val="auto"/>
          <w:sz w:val="24"/>
          <w:highlight w:val="none"/>
        </w:rPr>
        <w:t>附件</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-4</w:t>
      </w:r>
      <w:r>
        <w:rPr>
          <w:rFonts w:hint="eastAsia" w:ascii="宋体" w:hAnsi="宋体" w:cs="宋体"/>
          <w:b/>
          <w:color w:val="auto"/>
          <w:sz w:val="28"/>
          <w:szCs w:val="28"/>
          <w:highlight w:val="none"/>
        </w:rPr>
        <w:t xml:space="preserve">             </w:t>
      </w:r>
    </w:p>
    <w:p w14:paraId="4CD94E8B">
      <w:pPr>
        <w:spacing w:line="380" w:lineRule="exact"/>
        <w:jc w:val="left"/>
        <w:rPr>
          <w:rFonts w:ascii="宋体" w:hAnsi="宋体" w:cs="宋体"/>
          <w:color w:val="auto"/>
          <w:sz w:val="32"/>
          <w:highlight w:val="none"/>
        </w:rPr>
      </w:pPr>
      <w:r>
        <w:rPr>
          <w:rFonts w:hint="eastAsia" w:ascii="宋体" w:hAnsi="宋体" w:cs="宋体"/>
          <w:b/>
          <w:color w:val="auto"/>
          <w:sz w:val="28"/>
          <w:szCs w:val="28"/>
          <w:highlight w:val="none"/>
        </w:rPr>
        <w:t xml:space="preserve">  单位负责人授权书</w:t>
      </w:r>
    </w:p>
    <w:p w14:paraId="15379350">
      <w:pPr>
        <w:spacing w:line="400" w:lineRule="exact"/>
        <w:rPr>
          <w:rFonts w:ascii="宋体" w:hAnsi="宋体" w:cs="宋体"/>
          <w:color w:val="auto"/>
          <w:sz w:val="24"/>
          <w:highlight w:val="none"/>
        </w:rPr>
      </w:pPr>
    </w:p>
    <w:p w14:paraId="5B20B490">
      <w:pPr>
        <w:spacing w:line="400" w:lineRule="exact"/>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Cs w:val="21"/>
          <w:highlight w:val="none"/>
        </w:rPr>
        <w:t>厦门湖里国投物业服务有限公司</w:t>
      </w:r>
    </w:p>
    <w:p w14:paraId="42221C89">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我方的单位负责人</w:t>
      </w:r>
      <w:r>
        <w:rPr>
          <w:rFonts w:hint="eastAsia" w:ascii="宋体" w:hAnsi="宋体" w:cs="宋体"/>
          <w:color w:val="auto"/>
          <w:sz w:val="24"/>
          <w:highlight w:val="none"/>
          <w:u w:val="single"/>
        </w:rPr>
        <w:t>（填写“单位负责人全名”）</w:t>
      </w:r>
      <w:r>
        <w:rPr>
          <w:rFonts w:hint="eastAsia" w:ascii="宋体" w:hAnsi="宋体" w:cs="宋体"/>
          <w:color w:val="auto"/>
          <w:sz w:val="24"/>
          <w:highlight w:val="none"/>
        </w:rPr>
        <w:t>授权</w:t>
      </w:r>
      <w:r>
        <w:rPr>
          <w:rFonts w:hint="eastAsia" w:ascii="宋体" w:hAnsi="宋体" w:cs="宋体"/>
          <w:color w:val="auto"/>
          <w:sz w:val="24"/>
          <w:highlight w:val="none"/>
          <w:u w:val="single"/>
        </w:rPr>
        <w:t>（填写“供应商代表全名”）</w:t>
      </w:r>
      <w:r>
        <w:rPr>
          <w:rFonts w:hint="eastAsia" w:ascii="宋体" w:hAnsi="宋体" w:cs="宋体"/>
          <w:color w:val="auto"/>
          <w:sz w:val="24"/>
          <w:highlight w:val="none"/>
        </w:rPr>
        <w:t>为我方的供应商代表，代表我方参加</w:t>
      </w:r>
      <w:r>
        <w:rPr>
          <w:rFonts w:hint="eastAsia" w:ascii="宋体" w:hAnsi="宋体" w:cs="宋体"/>
          <w:color w:val="auto"/>
          <w:szCs w:val="21"/>
          <w:highlight w:val="none"/>
          <w:u w:val="single"/>
          <w:lang w:val="en-US" w:eastAsia="zh-CN"/>
        </w:rPr>
        <w:t>古地石指挥部及金尚菜市场项目、厦大海韵园二期项目保洁绿化服务</w:t>
      </w:r>
      <w:r>
        <w:rPr>
          <w:rFonts w:hint="eastAsia" w:ascii="宋体" w:hAnsi="宋体" w:cs="宋体"/>
          <w:color w:val="auto"/>
          <w:sz w:val="24"/>
          <w:highlight w:val="none"/>
          <w:u w:val="single"/>
        </w:rPr>
        <w:t>（填写“项目名称”）</w:t>
      </w:r>
      <w:r>
        <w:rPr>
          <w:rFonts w:hint="eastAsia" w:ascii="宋体" w:hAnsi="宋体" w:cs="宋体"/>
          <w:color w:val="auto"/>
          <w:sz w:val="24"/>
          <w:highlight w:val="none"/>
        </w:rPr>
        <w:t>项目的响应询价，全权代表我方处理响应询价过程的一切事宜，包括但不限于：递交响应文件、参与询价、澄清、签约等工作。供应商代表在响应询价过程中所签署的一切文件和处理与之有关的一切事务，我方均予以认可并对此承担责任。</w:t>
      </w:r>
    </w:p>
    <w:p w14:paraId="657CC6A9">
      <w:pPr>
        <w:spacing w:line="400" w:lineRule="exact"/>
        <w:rPr>
          <w:rFonts w:ascii="宋体" w:hAnsi="宋体" w:cs="宋体"/>
          <w:color w:val="auto"/>
          <w:sz w:val="24"/>
          <w:highlight w:val="none"/>
        </w:rPr>
      </w:pPr>
      <w:r>
        <w:rPr>
          <w:rFonts w:hint="eastAsia" w:ascii="宋体" w:hAnsi="宋体" w:cs="宋体"/>
          <w:color w:val="auto"/>
          <w:sz w:val="24"/>
          <w:highlight w:val="none"/>
        </w:rPr>
        <w:t xml:space="preserve">    供应商代表无转委权。特此授权。</w:t>
      </w:r>
    </w:p>
    <w:p w14:paraId="3B7B0531">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（以下无正文）</w:t>
      </w:r>
    </w:p>
    <w:p w14:paraId="421DCA9F">
      <w:pPr>
        <w:spacing w:line="400" w:lineRule="exact"/>
        <w:rPr>
          <w:rFonts w:ascii="宋体" w:hAnsi="宋体" w:cs="宋体"/>
          <w:color w:val="auto"/>
          <w:sz w:val="24"/>
          <w:highlight w:val="none"/>
        </w:rPr>
      </w:pPr>
      <w:r>
        <w:rPr>
          <w:rFonts w:hint="eastAsia" w:ascii="宋体" w:hAnsi="宋体" w:cs="宋体"/>
          <w:color w:val="auto"/>
          <w:sz w:val="24"/>
          <w:highlight w:val="none"/>
        </w:rPr>
        <w:t>单位负责人：身份证号：手机：</w:t>
      </w:r>
    </w:p>
    <w:p w14:paraId="674AFE66">
      <w:pPr>
        <w:spacing w:line="400" w:lineRule="exact"/>
        <w:rPr>
          <w:rFonts w:ascii="宋体" w:hAnsi="宋体" w:cs="宋体"/>
          <w:color w:val="auto"/>
          <w:sz w:val="24"/>
          <w:highlight w:val="none"/>
        </w:rPr>
      </w:pPr>
      <w:r>
        <w:rPr>
          <w:rFonts w:hint="eastAsia" w:ascii="宋体" w:hAnsi="宋体" w:cs="宋体"/>
          <w:color w:val="auto"/>
          <w:sz w:val="24"/>
          <w:highlight w:val="none"/>
        </w:rPr>
        <w:t xml:space="preserve">供应商代表：身份证号：手机： </w:t>
      </w:r>
    </w:p>
    <w:p w14:paraId="4B24C9FF">
      <w:pPr>
        <w:spacing w:line="400" w:lineRule="exact"/>
        <w:rPr>
          <w:rFonts w:ascii="宋体" w:hAnsi="宋体" w:cs="宋体"/>
          <w:color w:val="auto"/>
          <w:sz w:val="24"/>
          <w:highlight w:val="none"/>
        </w:rPr>
      </w:pPr>
    </w:p>
    <w:p w14:paraId="65B5C866">
      <w:pPr>
        <w:spacing w:line="400" w:lineRule="exact"/>
        <w:rPr>
          <w:rFonts w:ascii="宋体" w:hAnsi="宋体" w:cs="宋体"/>
          <w:color w:val="auto"/>
          <w:sz w:val="24"/>
          <w:highlight w:val="none"/>
        </w:rPr>
      </w:pPr>
      <w:r>
        <w:rPr>
          <w:rFonts w:hint="eastAsia" w:ascii="宋体" w:hAnsi="宋体" w:cs="宋体"/>
          <w:color w:val="auto"/>
          <w:sz w:val="24"/>
          <w:highlight w:val="none"/>
        </w:rPr>
        <w:t>授权方</w:t>
      </w:r>
    </w:p>
    <w:p w14:paraId="0402E728">
      <w:pPr>
        <w:spacing w:line="400" w:lineRule="exact"/>
        <w:rPr>
          <w:rFonts w:ascii="宋体" w:hAnsi="宋体" w:cs="宋体"/>
          <w:color w:val="auto"/>
          <w:sz w:val="24"/>
          <w:highlight w:val="none"/>
        </w:rPr>
      </w:pPr>
      <w:r>
        <w:rPr>
          <w:rFonts w:hint="eastAsia" w:ascii="宋体" w:hAnsi="宋体" w:cs="宋体"/>
          <w:color w:val="auto"/>
          <w:sz w:val="24"/>
          <w:highlight w:val="none"/>
        </w:rPr>
        <w:t>供应商：</w:t>
      </w:r>
      <w:r>
        <w:rPr>
          <w:rFonts w:hint="eastAsia" w:ascii="宋体" w:hAnsi="宋体" w:cs="宋体"/>
          <w:color w:val="auto"/>
          <w:sz w:val="24"/>
          <w:highlight w:val="none"/>
          <w:u w:val="single"/>
        </w:rPr>
        <w:t>（全称并加盖单位公章）</w:t>
      </w:r>
    </w:p>
    <w:p w14:paraId="19545BC8">
      <w:pPr>
        <w:spacing w:line="400" w:lineRule="exact"/>
        <w:rPr>
          <w:rFonts w:ascii="宋体" w:hAnsi="宋体" w:cs="宋体"/>
          <w:color w:val="auto"/>
          <w:sz w:val="24"/>
          <w:highlight w:val="none"/>
        </w:rPr>
      </w:pPr>
      <w:r>
        <w:rPr>
          <w:rFonts w:hint="eastAsia" w:ascii="宋体" w:hAnsi="宋体" w:cs="宋体"/>
          <w:color w:val="auto"/>
          <w:sz w:val="24"/>
          <w:highlight w:val="none"/>
        </w:rPr>
        <w:t>单位负责人签字或盖章：</w:t>
      </w:r>
    </w:p>
    <w:p w14:paraId="30B8976E">
      <w:pPr>
        <w:spacing w:line="400" w:lineRule="exact"/>
        <w:rPr>
          <w:rFonts w:ascii="宋体" w:hAnsi="宋体" w:cs="宋体"/>
          <w:color w:val="auto"/>
          <w:sz w:val="24"/>
          <w:highlight w:val="none"/>
        </w:rPr>
      </w:pPr>
    </w:p>
    <w:p w14:paraId="382630C3">
      <w:pPr>
        <w:spacing w:line="400" w:lineRule="exact"/>
        <w:rPr>
          <w:rFonts w:ascii="宋体" w:hAnsi="宋体" w:cs="宋体"/>
          <w:color w:val="auto"/>
          <w:sz w:val="24"/>
          <w:highlight w:val="none"/>
        </w:rPr>
      </w:pPr>
      <w:r>
        <w:rPr>
          <w:rFonts w:hint="eastAsia" w:ascii="宋体" w:hAnsi="宋体" w:cs="宋体"/>
          <w:color w:val="auto"/>
          <w:sz w:val="24"/>
          <w:highlight w:val="none"/>
        </w:rPr>
        <w:t>接受授权方</w:t>
      </w:r>
    </w:p>
    <w:p w14:paraId="786F8F92">
      <w:pPr>
        <w:spacing w:line="400" w:lineRule="exact"/>
        <w:rPr>
          <w:rFonts w:ascii="宋体" w:hAnsi="宋体" w:cs="宋体"/>
          <w:color w:val="auto"/>
          <w:sz w:val="24"/>
          <w:highlight w:val="none"/>
        </w:rPr>
      </w:pPr>
      <w:r>
        <w:rPr>
          <w:rFonts w:hint="eastAsia" w:ascii="宋体" w:hAnsi="宋体" w:cs="宋体"/>
          <w:color w:val="auto"/>
          <w:sz w:val="24"/>
          <w:highlight w:val="none"/>
        </w:rPr>
        <w:t>供应商代表签字：</w:t>
      </w:r>
    </w:p>
    <w:p w14:paraId="50990688">
      <w:pPr>
        <w:spacing w:line="400" w:lineRule="exact"/>
        <w:rPr>
          <w:rFonts w:ascii="宋体" w:hAnsi="宋体" w:cs="宋体"/>
          <w:color w:val="auto"/>
          <w:sz w:val="24"/>
          <w:highlight w:val="none"/>
        </w:rPr>
      </w:pPr>
      <w:r>
        <w:rPr>
          <w:rFonts w:hint="eastAsia" w:ascii="宋体" w:hAnsi="宋体" w:cs="宋体"/>
          <w:color w:val="auto"/>
          <w:sz w:val="24"/>
          <w:highlight w:val="none"/>
        </w:rPr>
        <w:t>签署日期：年月日</w:t>
      </w:r>
    </w:p>
    <w:p w14:paraId="75B66BBF">
      <w:pPr>
        <w:spacing w:line="400" w:lineRule="exact"/>
        <w:rPr>
          <w:rFonts w:ascii="宋体" w:hAnsi="宋体" w:cs="宋体"/>
          <w:color w:val="auto"/>
          <w:sz w:val="24"/>
          <w:highlight w:val="none"/>
        </w:rPr>
      </w:pPr>
    </w:p>
    <w:p w14:paraId="5B0D4969">
      <w:pPr>
        <w:spacing w:line="400" w:lineRule="exact"/>
        <w:rPr>
          <w:rFonts w:ascii="宋体" w:hAnsi="宋体" w:cs="宋体"/>
          <w:color w:val="auto"/>
          <w:sz w:val="24"/>
          <w:highlight w:val="none"/>
        </w:rPr>
      </w:pPr>
      <w:r>
        <w:rPr>
          <w:rFonts w:hint="eastAsia" w:ascii="宋体" w:hAnsi="宋体" w:cs="宋体"/>
          <w:color w:val="auto"/>
          <w:sz w:val="24"/>
          <w:highlight w:val="none"/>
        </w:rPr>
        <w:t>附：单位负责人、供应商代表的身份证正反面复印件</w:t>
      </w:r>
    </w:p>
    <w:tbl>
      <w:tblPr>
        <w:tblStyle w:val="42"/>
        <w:tblW w:w="8522"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522"/>
      </w:tblGrid>
      <w:tr w14:paraId="3A041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75" w:hRule="atLeast"/>
        </w:trPr>
        <w:tc>
          <w:tcPr>
            <w:tcW w:w="852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50E47FF">
            <w:pPr>
              <w:spacing w:line="400" w:lineRule="exact"/>
              <w:jc w:val="center"/>
              <w:rPr>
                <w:rFonts w:ascii="宋体" w:hAnsi="宋体" w:cs="宋体"/>
                <w:b/>
                <w:color w:val="auto"/>
                <w:sz w:val="24"/>
                <w:highlight w:val="none"/>
              </w:rPr>
            </w:pPr>
          </w:p>
          <w:p w14:paraId="7DA1D8C6">
            <w:pPr>
              <w:spacing w:line="400" w:lineRule="exact"/>
              <w:jc w:val="center"/>
              <w:rPr>
                <w:rFonts w:ascii="宋体" w:hAnsi="宋体" w:cs="宋体"/>
                <w:b/>
                <w:color w:val="auto"/>
                <w:sz w:val="24"/>
                <w:highlight w:val="none"/>
              </w:rPr>
            </w:pPr>
            <w:r>
              <w:rPr>
                <w:rFonts w:hint="eastAsia" w:ascii="宋体" w:hAnsi="宋体" w:cs="宋体"/>
                <w:b/>
                <w:color w:val="auto"/>
                <w:sz w:val="24"/>
                <w:highlight w:val="none"/>
              </w:rPr>
              <w:t>要求：真实、有效、清晰</w:t>
            </w:r>
          </w:p>
          <w:p w14:paraId="6C28CE7D">
            <w:pPr>
              <w:spacing w:line="400" w:lineRule="exact"/>
              <w:jc w:val="center"/>
              <w:rPr>
                <w:rFonts w:ascii="宋体" w:hAnsi="宋体" w:cs="宋体"/>
                <w:b/>
                <w:color w:val="auto"/>
                <w:sz w:val="24"/>
                <w:highlight w:val="none"/>
              </w:rPr>
            </w:pPr>
          </w:p>
        </w:tc>
      </w:tr>
    </w:tbl>
    <w:p w14:paraId="0B220B2E">
      <w:pPr>
        <w:spacing w:line="280" w:lineRule="exact"/>
        <w:rPr>
          <w:rFonts w:ascii="宋体" w:hAnsi="宋体" w:cs="宋体"/>
          <w:color w:val="auto"/>
          <w:szCs w:val="21"/>
          <w:highlight w:val="none"/>
        </w:rPr>
      </w:pPr>
      <w:r>
        <w:rPr>
          <w:rFonts w:hint="eastAsia" w:ascii="宋体" w:hAnsi="宋体" w:cs="宋体"/>
          <w:color w:val="auto"/>
          <w:szCs w:val="21"/>
          <w:highlight w:val="none"/>
        </w:rPr>
        <w:t>★注意：</w:t>
      </w:r>
    </w:p>
    <w:p w14:paraId="20D62504">
      <w:pPr>
        <w:spacing w:line="280" w:lineRule="exact"/>
        <w:rPr>
          <w:rFonts w:ascii="宋体" w:hAnsi="宋体" w:cs="宋体"/>
          <w:color w:val="auto"/>
          <w:szCs w:val="21"/>
          <w:highlight w:val="none"/>
        </w:rPr>
      </w:pPr>
      <w:r>
        <w:rPr>
          <w:rFonts w:hint="eastAsia" w:ascii="宋体" w:hAnsi="宋体" w:cs="宋体"/>
          <w:color w:val="auto"/>
          <w:szCs w:val="21"/>
          <w:highlight w:val="none"/>
        </w:rPr>
        <w:t>1、企业（银行、保险、石油石化、电力、电信等行业除外）、事业单位和社会团体法人的“单位负责人”指</w:t>
      </w:r>
      <w:r>
        <w:rPr>
          <w:rFonts w:hint="eastAsia" w:ascii="宋体" w:hAnsi="宋体" w:cs="宋体"/>
          <w:b/>
          <w:color w:val="auto"/>
          <w:szCs w:val="21"/>
          <w:highlight w:val="none"/>
        </w:rPr>
        <w:t>法定代表人，</w:t>
      </w:r>
      <w:r>
        <w:rPr>
          <w:rFonts w:hint="eastAsia" w:ascii="宋体" w:hAnsi="宋体" w:cs="宋体"/>
          <w:color w:val="auto"/>
          <w:szCs w:val="21"/>
          <w:highlight w:val="none"/>
        </w:rPr>
        <w:t>即</w:t>
      </w:r>
      <w:r>
        <w:rPr>
          <w:rFonts w:hint="eastAsia" w:ascii="宋体" w:hAnsi="宋体" w:cs="宋体"/>
          <w:b/>
          <w:color w:val="auto"/>
          <w:szCs w:val="21"/>
          <w:highlight w:val="none"/>
        </w:rPr>
        <w:t>与实际提交的“营业执照等证明文件”载明的一致</w:t>
      </w:r>
      <w:r>
        <w:rPr>
          <w:rFonts w:hint="eastAsia" w:ascii="宋体" w:hAnsi="宋体" w:cs="宋体"/>
          <w:color w:val="auto"/>
          <w:szCs w:val="21"/>
          <w:highlight w:val="none"/>
        </w:rPr>
        <w:t>。</w:t>
      </w:r>
    </w:p>
    <w:p w14:paraId="45D17F52">
      <w:pPr>
        <w:spacing w:line="280" w:lineRule="exact"/>
        <w:rPr>
          <w:rFonts w:ascii="宋体" w:hAnsi="宋体" w:cs="宋体"/>
          <w:color w:val="auto"/>
          <w:szCs w:val="21"/>
          <w:highlight w:val="none"/>
        </w:rPr>
      </w:pPr>
      <w:r>
        <w:rPr>
          <w:rFonts w:hint="eastAsia" w:ascii="宋体" w:hAnsi="宋体" w:cs="宋体"/>
          <w:color w:val="auto"/>
          <w:szCs w:val="21"/>
          <w:highlight w:val="none"/>
        </w:rPr>
        <w:t>2、银行、保险、石油石化、电力、电信等行业：以法人身份参加的，“单位负责人”指</w:t>
      </w:r>
      <w:r>
        <w:rPr>
          <w:rFonts w:hint="eastAsia" w:ascii="宋体" w:hAnsi="宋体" w:cs="宋体"/>
          <w:b/>
          <w:color w:val="auto"/>
          <w:szCs w:val="21"/>
          <w:highlight w:val="none"/>
        </w:rPr>
        <w:t>法定代表人，</w:t>
      </w:r>
      <w:r>
        <w:rPr>
          <w:rFonts w:hint="eastAsia" w:ascii="宋体" w:hAnsi="宋体" w:cs="宋体"/>
          <w:color w:val="auto"/>
          <w:szCs w:val="21"/>
          <w:highlight w:val="none"/>
        </w:rPr>
        <w:t>即</w:t>
      </w:r>
      <w:r>
        <w:rPr>
          <w:rFonts w:hint="eastAsia" w:ascii="宋体" w:hAnsi="宋体" w:cs="宋体"/>
          <w:b/>
          <w:color w:val="auto"/>
          <w:szCs w:val="21"/>
          <w:highlight w:val="none"/>
        </w:rPr>
        <w:t>与实际提交的“营业执照等证明文件”载明的一致</w:t>
      </w:r>
      <w:r>
        <w:rPr>
          <w:rFonts w:hint="eastAsia" w:ascii="宋体" w:hAnsi="宋体" w:cs="宋体"/>
          <w:color w:val="auto"/>
          <w:szCs w:val="21"/>
          <w:highlight w:val="none"/>
        </w:rPr>
        <w:t>；以非法人身份参加的，“单位负责人”指</w:t>
      </w:r>
      <w:r>
        <w:rPr>
          <w:rFonts w:hint="eastAsia" w:ascii="宋体" w:hAnsi="宋体" w:cs="宋体"/>
          <w:b/>
          <w:color w:val="auto"/>
          <w:szCs w:val="21"/>
          <w:highlight w:val="none"/>
        </w:rPr>
        <w:t>代表单位行使职权的主要负责人，</w:t>
      </w:r>
      <w:r>
        <w:rPr>
          <w:rFonts w:hint="eastAsia" w:ascii="宋体" w:hAnsi="宋体" w:cs="宋体"/>
          <w:color w:val="auto"/>
          <w:szCs w:val="21"/>
          <w:highlight w:val="none"/>
        </w:rPr>
        <w:t>即</w:t>
      </w:r>
      <w:r>
        <w:rPr>
          <w:rFonts w:hint="eastAsia" w:ascii="宋体" w:hAnsi="宋体" w:cs="宋体"/>
          <w:b/>
          <w:color w:val="auto"/>
          <w:szCs w:val="21"/>
          <w:highlight w:val="none"/>
        </w:rPr>
        <w:t>与实际提交的“营业执照等证明文件”载明的一致</w:t>
      </w:r>
      <w:r>
        <w:rPr>
          <w:rFonts w:hint="eastAsia" w:ascii="宋体" w:hAnsi="宋体" w:cs="宋体"/>
          <w:color w:val="auto"/>
          <w:szCs w:val="21"/>
          <w:highlight w:val="none"/>
        </w:rPr>
        <w:t>。</w:t>
      </w:r>
    </w:p>
    <w:p w14:paraId="41D330BD">
      <w:pPr>
        <w:spacing w:line="280" w:lineRule="exact"/>
        <w:rPr>
          <w:rFonts w:ascii="宋体" w:hAnsi="宋体" w:cs="宋体"/>
          <w:color w:val="auto"/>
          <w:szCs w:val="21"/>
          <w:highlight w:val="none"/>
        </w:rPr>
      </w:pPr>
      <w:r>
        <w:rPr>
          <w:rFonts w:hint="eastAsia" w:ascii="宋体" w:hAnsi="宋体" w:cs="宋体"/>
          <w:color w:val="auto"/>
          <w:szCs w:val="21"/>
          <w:highlight w:val="none"/>
        </w:rPr>
        <w:t>3、负责响应文件签字的供应商代表如果不是上述规定的单位负责人，则供应商应当在响应文件中提供本授权书，</w:t>
      </w:r>
      <w:r>
        <w:rPr>
          <w:rFonts w:hint="eastAsia" w:ascii="宋体" w:hAnsi="宋体" w:cs="宋体"/>
          <w:b/>
          <w:bCs/>
          <w:color w:val="auto"/>
          <w:szCs w:val="21"/>
          <w:highlight w:val="none"/>
        </w:rPr>
        <w:t>纸质响应文件正本中的本授权书应为原件。</w:t>
      </w:r>
      <w:r>
        <w:rPr>
          <w:rFonts w:hint="eastAsia" w:ascii="宋体" w:hAnsi="宋体" w:cs="宋体"/>
          <w:color w:val="auto"/>
          <w:szCs w:val="21"/>
          <w:highlight w:val="none"/>
        </w:rPr>
        <w:t>供应商为自然人的，可不填写本授权书，但应当提供其身份证正反面复印件。</w:t>
      </w:r>
    </w:p>
    <w:p w14:paraId="0F815FFC">
      <w:pPr>
        <w:pStyle w:val="23"/>
        <w:ind w:firstLine="0" w:firstLineChars="0"/>
        <w:rPr>
          <w:rFonts w:ascii="宋体" w:hAnsi="宋体" w:cs="宋体"/>
          <w:color w:val="auto"/>
          <w:sz w:val="21"/>
          <w:szCs w:val="21"/>
          <w:highlight w:val="none"/>
        </w:rPr>
      </w:pPr>
    </w:p>
    <w:p w14:paraId="0781BF61">
      <w:pPr>
        <w:pStyle w:val="23"/>
        <w:ind w:firstLine="0" w:firstLineChars="0"/>
        <w:rPr>
          <w:rFonts w:ascii="宋体" w:hAnsi="宋体" w:cs="宋体"/>
          <w:color w:val="auto"/>
          <w:sz w:val="21"/>
          <w:szCs w:val="21"/>
          <w:highlight w:val="none"/>
        </w:rPr>
      </w:pPr>
    </w:p>
    <w:p w14:paraId="53C5F18C">
      <w:pPr>
        <w:spacing w:line="440" w:lineRule="exact"/>
        <w:jc w:val="left"/>
        <w:rPr>
          <w:rFonts w:ascii="宋体" w:hAnsi="宋体" w:cs="宋体"/>
          <w:color w:val="auto"/>
          <w:sz w:val="24"/>
          <w:highlight w:val="none"/>
        </w:rPr>
      </w:pPr>
      <w:r>
        <w:rPr>
          <w:rFonts w:hint="eastAsia" w:ascii="宋体" w:hAnsi="宋体" w:cs="宋体"/>
          <w:color w:val="auto"/>
          <w:sz w:val="24"/>
          <w:highlight w:val="none"/>
        </w:rPr>
        <w:t>附件</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 xml:space="preserve">-5                    </w:t>
      </w:r>
      <w:r>
        <w:rPr>
          <w:rFonts w:hint="eastAsia" w:ascii="宋体" w:hAnsi="宋体" w:cs="宋体"/>
          <w:b/>
          <w:color w:val="auto"/>
          <w:sz w:val="32"/>
          <w:highlight w:val="none"/>
        </w:rPr>
        <w:t>财务状况报告</w:t>
      </w:r>
    </w:p>
    <w:p w14:paraId="0301C5D2">
      <w:pPr>
        <w:spacing w:line="440" w:lineRule="exact"/>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Cs w:val="21"/>
          <w:highlight w:val="none"/>
        </w:rPr>
        <w:t>厦门湖里国投物业服务有限公司</w:t>
      </w:r>
    </w:p>
    <w:p w14:paraId="1CEF76F8">
      <w:pPr>
        <w:spacing w:line="440" w:lineRule="exact"/>
        <w:ind w:firstLine="240" w:firstLineChars="100"/>
        <w:rPr>
          <w:rFonts w:ascii="宋体" w:hAnsi="宋体" w:cs="宋体"/>
          <w:color w:val="auto"/>
          <w:sz w:val="24"/>
          <w:highlight w:val="none"/>
        </w:rPr>
      </w:pPr>
      <w:r>
        <w:rPr>
          <w:rFonts w:hint="eastAsia" w:ascii="宋体" w:hAnsi="宋体" w:cs="宋体"/>
          <w:color w:val="auto"/>
          <w:sz w:val="24"/>
          <w:highlight w:val="none"/>
        </w:rPr>
        <w:t>（）供应商提供财务报告的</w:t>
      </w:r>
    </w:p>
    <w:p w14:paraId="696B9991">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企业适用：现附上我方（填写“具体的年度、或半年度、或季度”）财务报告复印件，包括资产负债表、利润表、现金流量表、所有者权益变动表及其附注（若有）、会计师事务所营业执照和注册会计师资格证书，上述证明材料真实有效，否则我方负全部责任。</w:t>
      </w:r>
    </w:p>
    <w:p w14:paraId="076BB56A">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事业单位适用：现附上我方（填写“具体的年度、或半年度、或季度”）财务报告复印件，包括资产负债表、收入支出表或收入费用表、财政补助收入支出表（若有）、会计师事务所营业执照和注册会计师资格证书，上述证明材料真实有效，否则我方负全部责任。</w:t>
      </w:r>
    </w:p>
    <w:p w14:paraId="11254E40">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社会团体、民办非企单位适用：现附上我方（填写“具体的年度、或半年度、或季度”）财务报告复印件，包括资产负债表、业务活动表、现金流量表、会计师事务所营业执照和注册会计师资格证书，上述证明材料真实有效，否则我方负全部责任。</w:t>
      </w:r>
    </w:p>
    <w:p w14:paraId="56D0CCD9">
      <w:pPr>
        <w:spacing w:line="440" w:lineRule="exact"/>
        <w:ind w:firstLine="240" w:firstLineChars="100"/>
        <w:rPr>
          <w:rFonts w:ascii="宋体" w:hAnsi="宋体" w:cs="宋体"/>
          <w:color w:val="auto"/>
          <w:sz w:val="24"/>
          <w:highlight w:val="none"/>
        </w:rPr>
      </w:pPr>
      <w:r>
        <w:rPr>
          <w:rFonts w:hint="eastAsia" w:ascii="宋体" w:hAnsi="宋体" w:cs="宋体"/>
          <w:color w:val="auto"/>
          <w:sz w:val="24"/>
          <w:highlight w:val="none"/>
        </w:rPr>
        <w:t>（）供应商提供资信证明的</w:t>
      </w:r>
    </w:p>
    <w:p w14:paraId="757E8B53">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□非自然人适用（包括企业、事业单位、社会团体和其他组织）：现附上我方银行：（填写“开户银行全称”）出具的资信证明复印件，上述证明材料真实有效，否则我方负全部责任。</w:t>
      </w:r>
    </w:p>
    <w:p w14:paraId="62CB0714">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□自然人适用（包括企业、事业单位、社会团体和其他组织）：现附上我方银行：（填写自然人的“个人账户的开户银行全称”）出具的资信证明复印件，上述证明材料真实有效，否则我方负全部责任。</w:t>
      </w:r>
    </w:p>
    <w:p w14:paraId="428EA587">
      <w:pPr>
        <w:spacing w:line="440" w:lineRule="exact"/>
        <w:ind w:firstLine="240" w:firstLineChars="100"/>
        <w:rPr>
          <w:rFonts w:ascii="宋体" w:hAnsi="宋体" w:cs="宋体"/>
          <w:color w:val="auto"/>
          <w:sz w:val="24"/>
          <w:highlight w:val="none"/>
        </w:rPr>
      </w:pPr>
      <w:r>
        <w:rPr>
          <w:rFonts w:hint="eastAsia" w:ascii="宋体" w:hAnsi="宋体" w:cs="宋体"/>
          <w:color w:val="auto"/>
          <w:sz w:val="24"/>
          <w:highlight w:val="none"/>
        </w:rPr>
        <w:t>（）供应商提供询价担保函的</w:t>
      </w:r>
    </w:p>
    <w:p w14:paraId="732E3AA2">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现附上由专业担保机构：（填写“担保机构全称”）出具的询价担保函复印件，上述证明材料真实有效，否则我方负全部责任。</w:t>
      </w:r>
    </w:p>
    <w:p w14:paraId="343338C7">
      <w:pPr>
        <w:spacing w:line="440" w:lineRule="exact"/>
        <w:rPr>
          <w:rFonts w:ascii="宋体" w:hAnsi="宋体" w:cs="宋体"/>
          <w:color w:val="auto"/>
          <w:sz w:val="24"/>
          <w:highlight w:val="none"/>
        </w:rPr>
      </w:pPr>
    </w:p>
    <w:p w14:paraId="41528F1B">
      <w:pPr>
        <w:spacing w:line="440" w:lineRule="exact"/>
        <w:rPr>
          <w:rFonts w:ascii="宋体" w:hAnsi="宋体" w:cs="宋体"/>
          <w:color w:val="auto"/>
          <w:sz w:val="24"/>
          <w:highlight w:val="none"/>
        </w:rPr>
      </w:pPr>
      <w:r>
        <w:rPr>
          <w:rFonts w:hint="eastAsia" w:ascii="宋体" w:hAnsi="宋体" w:cs="宋体"/>
          <w:color w:val="auto"/>
          <w:sz w:val="24"/>
          <w:highlight w:val="none"/>
        </w:rPr>
        <w:t>★注意：</w:t>
      </w:r>
    </w:p>
    <w:p w14:paraId="0CA2632E">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上文提供财务报告、资信证明、担保函共三大类型，请供应商按照自身实际情况编制填写，在其中相应的（）中打“√”并选择相应的“□”（若有）后，再按照本格式的要求提供相应证明材料的复印件即可。即供应商符合上述三大类型其中一种，并按要求提供相应证明资料即为满足。</w:t>
      </w:r>
    </w:p>
    <w:p w14:paraId="5613B4DB">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2、供应商提供的财务报告复印件（成立年限按照响应文件递交截止时间推算）应符合下列规定：</w:t>
      </w:r>
    </w:p>
    <w:p w14:paraId="33B91926">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2.1成立年限满1年及以上的供应商，提供经审计的上一年度的年度财务报告。</w:t>
      </w:r>
    </w:p>
    <w:p w14:paraId="5956087D">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2.2成立年限满半年但不足1年的供应商，提供该半年度中任一季度的季度财务报告或该半年度的半年度财务报告。</w:t>
      </w:r>
    </w:p>
    <w:p w14:paraId="52E487F0">
      <w:pPr>
        <w:spacing w:line="440" w:lineRule="exact"/>
        <w:rPr>
          <w:rFonts w:ascii="宋体" w:hAnsi="宋体" w:cs="宋体"/>
          <w:b/>
          <w:color w:val="auto"/>
          <w:sz w:val="24"/>
          <w:highlight w:val="none"/>
        </w:rPr>
      </w:pPr>
      <w:r>
        <w:rPr>
          <w:rFonts w:hint="eastAsia" w:ascii="宋体" w:hAnsi="宋体" w:cs="宋体"/>
          <w:b/>
          <w:color w:val="auto"/>
          <w:sz w:val="24"/>
          <w:highlight w:val="none"/>
        </w:rPr>
        <w:t>※无法按照本格式注意事项第2.1、2.2条规定提供财务报告复印件的供应商，应按照本格式注意事项的要求选择提供资信证明复印件或</w:t>
      </w:r>
      <w:r>
        <w:rPr>
          <w:rFonts w:hint="eastAsia" w:ascii="宋体" w:hAnsi="宋体" w:cs="宋体"/>
          <w:b/>
          <w:color w:val="auto"/>
          <w:sz w:val="24"/>
          <w:highlight w:val="none"/>
          <w:lang w:eastAsia="zh-CN"/>
        </w:rPr>
        <w:t>询价</w:t>
      </w:r>
      <w:r>
        <w:rPr>
          <w:rFonts w:hint="eastAsia" w:ascii="宋体" w:hAnsi="宋体" w:cs="宋体"/>
          <w:b/>
          <w:color w:val="auto"/>
          <w:sz w:val="24"/>
          <w:highlight w:val="none"/>
        </w:rPr>
        <w:t>担保函复印件，其中：非自然人的供应商选择提供资信证明的，还应附上其开户（基本户）许可证复印件。</w:t>
      </w:r>
    </w:p>
    <w:p w14:paraId="71593D4B">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w:t>
      </w:r>
    </w:p>
    <w:p w14:paraId="1EBCB2D4">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、供应商提供的相应证明材料复印件均应符合：内容完整、清晰、整洁，并由供应商加盖其单位公章。</w:t>
      </w:r>
    </w:p>
    <w:p w14:paraId="420ED6D6">
      <w:pPr>
        <w:spacing w:line="440" w:lineRule="exact"/>
        <w:rPr>
          <w:rFonts w:ascii="宋体" w:hAnsi="宋体" w:cs="宋体"/>
          <w:color w:val="auto"/>
          <w:sz w:val="24"/>
          <w:highlight w:val="none"/>
        </w:rPr>
      </w:pPr>
    </w:p>
    <w:p w14:paraId="216A0131">
      <w:pPr>
        <w:spacing w:line="440" w:lineRule="exact"/>
        <w:rPr>
          <w:rFonts w:ascii="宋体" w:hAnsi="宋体" w:cs="宋体"/>
          <w:color w:val="auto"/>
          <w:sz w:val="24"/>
          <w:highlight w:val="none"/>
          <w:u w:val="single"/>
        </w:rPr>
      </w:pPr>
      <w:r>
        <w:rPr>
          <w:rFonts w:hint="eastAsia" w:ascii="宋体" w:hAnsi="宋体" w:cs="宋体"/>
          <w:color w:val="auto"/>
          <w:sz w:val="24"/>
          <w:highlight w:val="none"/>
        </w:rPr>
        <w:t>供应商代表：</w:t>
      </w:r>
      <w:r>
        <w:rPr>
          <w:rFonts w:hint="eastAsia" w:ascii="宋体" w:hAnsi="宋体" w:cs="宋体"/>
          <w:color w:val="auto"/>
          <w:sz w:val="24"/>
          <w:highlight w:val="none"/>
          <w:u w:val="single"/>
        </w:rPr>
        <w:t xml:space="preserve"> （签字）</w:t>
      </w:r>
    </w:p>
    <w:p w14:paraId="3D65EAD4">
      <w:pPr>
        <w:spacing w:line="440" w:lineRule="exact"/>
        <w:rPr>
          <w:rFonts w:ascii="宋体" w:hAnsi="宋体" w:cs="宋体"/>
          <w:color w:val="auto"/>
          <w:sz w:val="24"/>
          <w:highlight w:val="none"/>
          <w:u w:val="singl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（全称并加盖公章）              </w:t>
      </w:r>
    </w:p>
    <w:p w14:paraId="6F81B0FB">
      <w:pPr>
        <w:spacing w:line="440" w:lineRule="exact"/>
        <w:rPr>
          <w:rFonts w:ascii="宋体" w:hAnsi="宋体" w:cs="宋体"/>
          <w:color w:val="auto"/>
          <w:sz w:val="24"/>
          <w:highlight w:val="none"/>
        </w:rPr>
      </w:pPr>
      <w:r>
        <w:rPr>
          <w:rFonts w:hint="eastAsia" w:ascii="宋体" w:hAnsi="宋体" w:cs="宋体"/>
          <w:color w:val="auto"/>
          <w:sz w:val="24"/>
          <w:highlight w:val="none"/>
        </w:rPr>
        <w:t>日  期： 年 月 日</w:t>
      </w:r>
    </w:p>
    <w:p w14:paraId="0A4DD445">
      <w:pPr>
        <w:spacing w:line="440" w:lineRule="exact"/>
        <w:rPr>
          <w:rFonts w:ascii="宋体" w:hAnsi="宋体" w:cs="宋体"/>
          <w:color w:val="auto"/>
          <w:sz w:val="24"/>
          <w:highlight w:val="none"/>
        </w:rPr>
      </w:pPr>
    </w:p>
    <w:p w14:paraId="20C1227F">
      <w:pPr>
        <w:spacing w:line="420" w:lineRule="exact"/>
        <w:jc w:val="left"/>
        <w:rPr>
          <w:rFonts w:ascii="宋体" w:hAnsi="宋体" w:cs="宋体"/>
          <w:color w:val="auto"/>
          <w:sz w:val="24"/>
          <w:highlight w:val="none"/>
        </w:rPr>
      </w:pPr>
      <w:r>
        <w:rPr>
          <w:rFonts w:hint="eastAsia" w:ascii="宋体" w:hAnsi="宋体" w:cs="宋体"/>
          <w:color w:val="auto"/>
          <w:highlight w:val="none"/>
        </w:rPr>
        <w:br w:type="page"/>
      </w:r>
      <w:r>
        <w:rPr>
          <w:rFonts w:hint="eastAsia" w:ascii="宋体" w:hAnsi="宋体" w:cs="宋体"/>
          <w:color w:val="auto"/>
          <w:sz w:val="24"/>
          <w:highlight w:val="none"/>
        </w:rPr>
        <w:t>附件</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 xml:space="preserve">-6              </w:t>
      </w:r>
      <w:r>
        <w:rPr>
          <w:rFonts w:hint="eastAsia" w:ascii="宋体" w:hAnsi="宋体" w:cs="宋体"/>
          <w:b/>
          <w:color w:val="auto"/>
          <w:sz w:val="32"/>
          <w:highlight w:val="none"/>
        </w:rPr>
        <w:t>依法缴纳税收证明材料</w:t>
      </w:r>
    </w:p>
    <w:p w14:paraId="1EAFF6E8">
      <w:pPr>
        <w:pStyle w:val="94"/>
        <w:spacing w:line="40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致：</w:t>
      </w:r>
      <w:r>
        <w:rPr>
          <w:rFonts w:hint="eastAsia" w:ascii="宋体" w:hAnsi="宋体" w:cs="宋体"/>
          <w:color w:val="auto"/>
          <w:szCs w:val="21"/>
          <w:highlight w:val="none"/>
        </w:rPr>
        <w:t>厦门湖里国投物业服务有限公司</w:t>
      </w:r>
    </w:p>
    <w:p w14:paraId="0FC5661B">
      <w:pPr>
        <w:pStyle w:val="94"/>
        <w:spacing w:line="40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1、依法缴纳税收的供应商</w:t>
      </w:r>
    </w:p>
    <w:p w14:paraId="371851CF">
      <w:pPr>
        <w:pStyle w:val="94"/>
        <w:spacing w:line="40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（）法人（包括企业、事业单位和社会团体）的</w:t>
      </w:r>
    </w:p>
    <w:p w14:paraId="71C20317">
      <w:pPr>
        <w:pStyle w:val="94"/>
        <w:spacing w:line="40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 xml:space="preserve">现附上自 </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年</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月</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日至</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年</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月</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日期间我方缴纳（包括但不限于税务机关出具的专用收据、税收缴纳证明或税收代缴银行的缴款收讫凭证）等税收凭据复印件，上述证明材料真实有效，否则我方负全部责任。</w:t>
      </w:r>
    </w:p>
    <w:p w14:paraId="29CD78ED">
      <w:pPr>
        <w:pStyle w:val="94"/>
        <w:spacing w:line="40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（）非法人（包括其他组织、自然人）的</w:t>
      </w:r>
    </w:p>
    <w:p w14:paraId="5F260347">
      <w:pPr>
        <w:pStyle w:val="94"/>
        <w:spacing w:line="40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现附上自</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年</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月</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日至</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年</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月</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日期间我方缴纳（包括但不限于税务机关出具的专用收据、税收缴纳证明或税收代缴银行的缴款收讫凭证）等税收凭据复印件，上述证明材料真实有效，否则我方负全部责任。</w:t>
      </w:r>
    </w:p>
    <w:p w14:paraId="530100BC">
      <w:pPr>
        <w:pStyle w:val="94"/>
        <w:spacing w:line="40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2、依法减免税收的供应商</w:t>
      </w:r>
    </w:p>
    <w:p w14:paraId="5D54F940">
      <w:pPr>
        <w:pStyle w:val="94"/>
        <w:spacing w:line="40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（）现附上我方依法免税证明材料复印件，上述证明材料真实有效，否则我方负全部责任。</w:t>
      </w:r>
    </w:p>
    <w:p w14:paraId="77B6BD2E">
      <w:pPr>
        <w:pStyle w:val="94"/>
        <w:spacing w:line="400" w:lineRule="exact"/>
        <w:ind w:firstLine="480"/>
        <w:rPr>
          <w:rFonts w:hint="default" w:ascii="宋体" w:hAnsi="宋体" w:eastAsia="宋体" w:cs="宋体"/>
          <w:color w:val="auto"/>
          <w:sz w:val="24"/>
          <w:szCs w:val="24"/>
          <w:highlight w:val="none"/>
        </w:rPr>
      </w:pPr>
    </w:p>
    <w:p w14:paraId="74EF0A30">
      <w:pPr>
        <w:pStyle w:val="94"/>
        <w:spacing w:line="40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※注意</w:t>
      </w:r>
    </w:p>
    <w:p w14:paraId="4CE8F822">
      <w:pPr>
        <w:pStyle w:val="94"/>
        <w:spacing w:line="40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1、请供应商根据实际情况填写，在相应的（）中打“√”，并按照本格式的要求提供相应证明材料的复印件。</w:t>
      </w:r>
    </w:p>
    <w:p w14:paraId="21D9CD63">
      <w:pPr>
        <w:pStyle w:val="94"/>
        <w:spacing w:line="40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2、供应商提供的税收凭据复印件应符合下列规定：</w:t>
      </w:r>
    </w:p>
    <w:p w14:paraId="6425DDC0">
      <w:pPr>
        <w:pStyle w:val="94"/>
        <w:spacing w:line="40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2.1首次响应文件递交截止时间前（不含截止时间的当月）已依法缴纳税收的供应商，提供首次响应文件递交截止时间前六个月（不含截止时间的当月）中任一月份的税收凭据复印件。</w:t>
      </w:r>
    </w:p>
    <w:p w14:paraId="2E3F4531">
      <w:pPr>
        <w:pStyle w:val="94"/>
        <w:spacing w:line="40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2.2首次响应文件递交截止时间的当月成立的供应商，视同满足本项资格条件要求。</w:t>
      </w:r>
    </w:p>
    <w:p w14:paraId="242486D9">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2.3若为依法免税范围的供应商，提供依法免税证明材料的，视同满足本项资格条件要求。</w:t>
      </w:r>
    </w:p>
    <w:p w14:paraId="153DEB27">
      <w:pPr>
        <w:spacing w:line="420" w:lineRule="exact"/>
        <w:rPr>
          <w:rFonts w:ascii="宋体" w:hAnsi="宋体" w:cs="宋体"/>
          <w:color w:val="auto"/>
          <w:sz w:val="24"/>
          <w:highlight w:val="none"/>
        </w:rPr>
      </w:pPr>
    </w:p>
    <w:p w14:paraId="756DF759">
      <w:pPr>
        <w:spacing w:line="420" w:lineRule="exact"/>
        <w:rPr>
          <w:rFonts w:ascii="宋体" w:hAnsi="宋体" w:cs="宋体"/>
          <w:color w:val="auto"/>
          <w:sz w:val="24"/>
          <w:highlight w:val="none"/>
          <w:u w:val="single"/>
        </w:rPr>
      </w:pPr>
      <w:r>
        <w:rPr>
          <w:rFonts w:hint="eastAsia" w:ascii="宋体" w:hAnsi="宋体" w:cs="宋体"/>
          <w:color w:val="auto"/>
          <w:sz w:val="24"/>
          <w:highlight w:val="none"/>
        </w:rPr>
        <w:t>供应商代表：</w:t>
      </w:r>
      <w:r>
        <w:rPr>
          <w:rFonts w:hint="eastAsia" w:ascii="宋体" w:hAnsi="宋体" w:cs="宋体"/>
          <w:color w:val="auto"/>
          <w:sz w:val="24"/>
          <w:highlight w:val="none"/>
          <w:u w:val="single"/>
        </w:rPr>
        <w:t xml:space="preserve"> （签字）</w:t>
      </w:r>
    </w:p>
    <w:p w14:paraId="4D78BD1F">
      <w:pPr>
        <w:spacing w:line="420" w:lineRule="exact"/>
        <w:rPr>
          <w:rFonts w:ascii="宋体" w:hAnsi="宋体" w:cs="宋体"/>
          <w:color w:val="auto"/>
          <w:sz w:val="24"/>
          <w:highlight w:val="none"/>
          <w:u w:val="singl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（全称并加盖公章）              </w:t>
      </w:r>
    </w:p>
    <w:p w14:paraId="2AE301EB">
      <w:pPr>
        <w:spacing w:line="420" w:lineRule="exact"/>
        <w:rPr>
          <w:rFonts w:ascii="宋体" w:hAnsi="宋体" w:cs="宋体"/>
          <w:color w:val="auto"/>
          <w:sz w:val="24"/>
          <w:highlight w:val="none"/>
        </w:rPr>
      </w:pPr>
      <w:r>
        <w:rPr>
          <w:rFonts w:hint="eastAsia" w:ascii="宋体" w:hAnsi="宋体" w:cs="宋体"/>
          <w:color w:val="auto"/>
          <w:sz w:val="24"/>
          <w:highlight w:val="none"/>
        </w:rPr>
        <w:t>日  期： 年 月 日</w:t>
      </w:r>
    </w:p>
    <w:p w14:paraId="018347FC">
      <w:pPr>
        <w:spacing w:line="440" w:lineRule="exact"/>
        <w:rPr>
          <w:rFonts w:ascii="宋体" w:hAnsi="宋体" w:cs="宋体"/>
          <w:color w:val="auto"/>
          <w:sz w:val="24"/>
          <w:highlight w:val="none"/>
        </w:rPr>
      </w:pPr>
    </w:p>
    <w:p w14:paraId="68631DC1">
      <w:pPr>
        <w:pStyle w:val="23"/>
        <w:ind w:firstLine="0" w:firstLineChars="0"/>
        <w:rPr>
          <w:rFonts w:ascii="宋体" w:hAnsi="宋体" w:cs="宋体"/>
          <w:color w:val="auto"/>
          <w:highlight w:val="none"/>
        </w:rPr>
      </w:pPr>
    </w:p>
    <w:p w14:paraId="53310929">
      <w:pPr>
        <w:pStyle w:val="23"/>
        <w:ind w:firstLine="0" w:firstLineChars="0"/>
        <w:rPr>
          <w:rFonts w:ascii="宋体" w:hAnsi="宋体" w:cs="宋体"/>
          <w:color w:val="auto"/>
          <w:highlight w:val="none"/>
        </w:rPr>
      </w:pPr>
    </w:p>
    <w:p w14:paraId="62466C95">
      <w:pPr>
        <w:pStyle w:val="23"/>
        <w:ind w:firstLine="0" w:firstLineChars="0"/>
        <w:rPr>
          <w:rFonts w:ascii="宋体" w:hAnsi="宋体" w:cs="宋体"/>
          <w:color w:val="auto"/>
          <w:highlight w:val="none"/>
        </w:rPr>
      </w:pPr>
    </w:p>
    <w:p w14:paraId="5E28C97E">
      <w:pPr>
        <w:spacing w:line="400" w:lineRule="exact"/>
        <w:jc w:val="left"/>
        <w:rPr>
          <w:rFonts w:ascii="宋体" w:hAnsi="宋体" w:cs="宋体"/>
          <w:color w:val="auto"/>
          <w:sz w:val="24"/>
          <w:highlight w:val="none"/>
        </w:rPr>
      </w:pPr>
    </w:p>
    <w:p w14:paraId="10B31CF1">
      <w:pPr>
        <w:spacing w:line="400" w:lineRule="exact"/>
        <w:jc w:val="left"/>
        <w:rPr>
          <w:rFonts w:ascii="宋体" w:hAnsi="宋体" w:cs="宋体"/>
          <w:color w:val="auto"/>
          <w:sz w:val="24"/>
          <w:highlight w:val="none"/>
        </w:rPr>
      </w:pPr>
    </w:p>
    <w:p w14:paraId="48E3A15D">
      <w:pPr>
        <w:spacing w:line="400" w:lineRule="exact"/>
        <w:jc w:val="left"/>
        <w:rPr>
          <w:rFonts w:ascii="宋体" w:hAnsi="宋体" w:cs="宋体"/>
          <w:color w:val="auto"/>
          <w:sz w:val="24"/>
          <w:highlight w:val="none"/>
        </w:rPr>
      </w:pPr>
    </w:p>
    <w:p w14:paraId="51EECB20">
      <w:pPr>
        <w:spacing w:line="400" w:lineRule="exact"/>
        <w:jc w:val="left"/>
        <w:rPr>
          <w:rFonts w:ascii="宋体" w:hAnsi="宋体" w:cs="宋体"/>
          <w:color w:val="auto"/>
          <w:sz w:val="24"/>
          <w:highlight w:val="none"/>
        </w:rPr>
      </w:pPr>
    </w:p>
    <w:p w14:paraId="5AB5CAC0">
      <w:pPr>
        <w:spacing w:line="400" w:lineRule="exact"/>
        <w:jc w:val="left"/>
        <w:rPr>
          <w:rFonts w:ascii="宋体" w:hAnsi="宋体" w:cs="宋体"/>
          <w:color w:val="auto"/>
          <w:sz w:val="24"/>
          <w:highlight w:val="none"/>
        </w:rPr>
      </w:pPr>
      <w:r>
        <w:rPr>
          <w:rFonts w:hint="eastAsia" w:ascii="宋体" w:hAnsi="宋体" w:cs="宋体"/>
          <w:color w:val="auto"/>
          <w:sz w:val="24"/>
          <w:highlight w:val="none"/>
        </w:rPr>
        <w:t>附件</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 xml:space="preserve">-7           </w:t>
      </w:r>
      <w:r>
        <w:rPr>
          <w:rFonts w:hint="eastAsia" w:ascii="宋体" w:hAnsi="宋体" w:cs="宋体"/>
          <w:b/>
          <w:color w:val="auto"/>
          <w:sz w:val="32"/>
          <w:highlight w:val="none"/>
        </w:rPr>
        <w:t>依法缴纳社会保障资金证明材料</w:t>
      </w:r>
    </w:p>
    <w:p w14:paraId="40447A39">
      <w:pPr>
        <w:spacing w:line="400" w:lineRule="exact"/>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Cs w:val="21"/>
          <w:highlight w:val="none"/>
        </w:rPr>
        <w:t>厦门湖里国投物业服务有限公司</w:t>
      </w:r>
    </w:p>
    <w:p w14:paraId="2B5A2637">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1、依法缴纳社会保障资金的供应商</w:t>
      </w:r>
    </w:p>
    <w:p w14:paraId="225CB97F">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（）法人（包括企业、事业单位和社会团体）的</w:t>
      </w:r>
    </w:p>
    <w:p w14:paraId="296DC85E">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现附上自</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日至</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日我方缴纳的社会保险凭据（限：税务机关/社会保障资金管理机关的专用收据或社会保险缴纳清单，或社会保险的银行缴款收讫凭证）复印件，上述证明材料真实有效，否则我方负全部责任。</w:t>
      </w:r>
    </w:p>
    <w:p w14:paraId="6B04DAB2">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（）非法人（包括其他组织、自然人）的</w:t>
      </w:r>
    </w:p>
    <w:p w14:paraId="08664D22">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自</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日至</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日我方缴纳的社会保险凭据（限：税务机关/社会保障资金管理机关的专用收据或社会保险缴纳清单，或社会保险的银行缴款收讫凭证）复印件，上述证明材料真实有效，否则我方负全部责任。</w:t>
      </w:r>
    </w:p>
    <w:p w14:paraId="65DB03DB">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2、依法不需要缴纳或暂缓缴纳社会保障资金的供应商</w:t>
      </w:r>
    </w:p>
    <w:p w14:paraId="74F9E7DB">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（）现附上我方依法不需要缴纳社会保障资金证明材料复印件，上述证明材料真实有效，否则我方负全部责任。</w:t>
      </w:r>
    </w:p>
    <w:p w14:paraId="7812CDB0">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※注意</w:t>
      </w:r>
    </w:p>
    <w:p w14:paraId="3DF13BAE">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1、请供应商根据实际情况填写，在相应的（）中打“√”，并按照本格式的要求提供相应证明材料的复印件。</w:t>
      </w:r>
    </w:p>
    <w:p w14:paraId="7EFB4B41">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2、供应商提供的社会保险凭据复印件应符合下列规定：</w:t>
      </w:r>
    </w:p>
    <w:p w14:paraId="272157D5">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2.1首次响应文件递交截止时间前（不含截止时间的当月）已依法缴纳社会保障资金的投供应商，提供首次响应文件递交截止时间前六个月（不含截止时间的当月）中任一月份的社会保险凭据复印件。</w:t>
      </w:r>
    </w:p>
    <w:p w14:paraId="0D363CE9">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2.2首次响应文件递交截止时间的当月成立的供应商，视同满足本项资格条件要求。</w:t>
      </w:r>
    </w:p>
    <w:p w14:paraId="3F166E02">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2.3若为依法不需要缴纳或暂缓缴纳社会保障资金的供应商，提供依法不需要缴纳或暂缓缴纳社会保障资金证明材料的，视同满足本项资格条件要求。</w:t>
      </w:r>
    </w:p>
    <w:p w14:paraId="398A666B">
      <w:pPr>
        <w:spacing w:line="400" w:lineRule="exact"/>
        <w:rPr>
          <w:rFonts w:ascii="宋体" w:hAnsi="宋体" w:cs="宋体"/>
          <w:color w:val="auto"/>
          <w:sz w:val="24"/>
          <w:highlight w:val="none"/>
        </w:rPr>
      </w:pPr>
    </w:p>
    <w:p w14:paraId="69A3F2A3">
      <w:pPr>
        <w:spacing w:line="400" w:lineRule="exact"/>
        <w:rPr>
          <w:rFonts w:ascii="宋体" w:hAnsi="宋体" w:cs="宋体"/>
          <w:color w:val="auto"/>
          <w:sz w:val="24"/>
          <w:highlight w:val="none"/>
          <w:u w:val="single"/>
        </w:rPr>
      </w:pPr>
      <w:r>
        <w:rPr>
          <w:rFonts w:hint="eastAsia" w:ascii="宋体" w:hAnsi="宋体" w:cs="宋体"/>
          <w:color w:val="auto"/>
          <w:sz w:val="24"/>
          <w:highlight w:val="none"/>
        </w:rPr>
        <w:t>供应商代表：</w:t>
      </w:r>
      <w:r>
        <w:rPr>
          <w:rFonts w:hint="eastAsia" w:ascii="宋体" w:hAnsi="宋体" w:cs="宋体"/>
          <w:color w:val="auto"/>
          <w:sz w:val="24"/>
          <w:highlight w:val="none"/>
          <w:u w:val="single"/>
        </w:rPr>
        <w:t xml:space="preserve"> （签字）</w:t>
      </w:r>
    </w:p>
    <w:p w14:paraId="4DC3324B">
      <w:pPr>
        <w:spacing w:line="400" w:lineRule="exact"/>
        <w:rPr>
          <w:rFonts w:ascii="宋体" w:hAnsi="宋体" w:cs="宋体"/>
          <w:color w:val="auto"/>
          <w:sz w:val="24"/>
          <w:highlight w:val="none"/>
          <w:u w:val="singl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（全称并加盖公章）              </w:t>
      </w:r>
    </w:p>
    <w:p w14:paraId="20E44CEB">
      <w:pPr>
        <w:spacing w:line="400" w:lineRule="exact"/>
        <w:rPr>
          <w:rFonts w:ascii="宋体" w:hAnsi="宋体" w:cs="宋体"/>
          <w:b/>
          <w:color w:val="auto"/>
          <w:sz w:val="32"/>
          <w:szCs w:val="32"/>
          <w:highlight w:val="none"/>
        </w:rPr>
      </w:pPr>
      <w:r>
        <w:rPr>
          <w:rFonts w:hint="eastAsia" w:ascii="宋体" w:hAnsi="宋体" w:cs="宋体"/>
          <w:color w:val="auto"/>
          <w:sz w:val="24"/>
          <w:highlight w:val="none"/>
        </w:rPr>
        <w:t>日  期： 年 月 日</w:t>
      </w:r>
      <w:r>
        <w:rPr>
          <w:rFonts w:hint="eastAsia" w:ascii="宋体" w:hAnsi="宋体" w:cs="宋体"/>
          <w:color w:val="auto"/>
          <w:highlight w:val="none"/>
        </w:rPr>
        <w:br w:type="page"/>
      </w:r>
      <w:r>
        <w:rPr>
          <w:rFonts w:hint="eastAsia" w:ascii="宋体" w:hAnsi="宋体" w:cs="宋体"/>
          <w:color w:val="auto"/>
          <w:sz w:val="24"/>
          <w:highlight w:val="none"/>
        </w:rPr>
        <w:t>附件</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-8</w:t>
      </w:r>
      <w:r>
        <w:rPr>
          <w:rFonts w:hint="eastAsia" w:ascii="宋体" w:hAnsi="宋体" w:cs="宋体"/>
          <w:b/>
          <w:color w:val="auto"/>
          <w:sz w:val="32"/>
          <w:highlight w:val="none"/>
        </w:rPr>
        <w:t>具备履行合同所必需设备和专业技术能力证明材料</w:t>
      </w:r>
      <w:r>
        <w:rPr>
          <w:rFonts w:hint="eastAsia" w:ascii="宋体" w:hAnsi="宋体" w:cs="宋体"/>
          <w:b/>
          <w:color w:val="auto"/>
          <w:sz w:val="32"/>
          <w:szCs w:val="32"/>
          <w:highlight w:val="none"/>
        </w:rPr>
        <w:t>声明函</w:t>
      </w:r>
    </w:p>
    <w:p w14:paraId="409DEDD2">
      <w:pPr>
        <w:spacing w:line="440" w:lineRule="exact"/>
        <w:rPr>
          <w:rFonts w:ascii="宋体" w:hAnsi="宋体" w:cs="宋体"/>
          <w:bCs/>
          <w:color w:val="auto"/>
          <w:sz w:val="24"/>
          <w:highlight w:val="none"/>
          <w:u w:val="single"/>
        </w:rPr>
      </w:pPr>
      <w:r>
        <w:rPr>
          <w:rFonts w:hint="eastAsia" w:ascii="宋体" w:hAnsi="宋体" w:cs="宋体"/>
          <w:bCs/>
          <w:color w:val="auto"/>
          <w:sz w:val="24"/>
          <w:highlight w:val="none"/>
        </w:rPr>
        <w:t>致：</w:t>
      </w:r>
      <w:r>
        <w:rPr>
          <w:rFonts w:hint="eastAsia" w:ascii="宋体" w:hAnsi="宋体" w:cs="宋体"/>
          <w:color w:val="auto"/>
          <w:szCs w:val="21"/>
          <w:highlight w:val="none"/>
        </w:rPr>
        <w:t>厦门湖里国投物业服务有限公司</w:t>
      </w:r>
    </w:p>
    <w:p w14:paraId="72F709B2">
      <w:pPr>
        <w:spacing w:line="44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我方具备履行合同所必需的设备和专业技术能力，并对本声明承诺的真实性负责，否则产生不利后果由我方承担责任。</w:t>
      </w:r>
    </w:p>
    <w:p w14:paraId="201E6915">
      <w:pPr>
        <w:spacing w:line="440" w:lineRule="exact"/>
        <w:rPr>
          <w:rFonts w:ascii="宋体" w:hAnsi="宋体" w:cs="宋体"/>
          <w:bCs/>
          <w:color w:val="auto"/>
          <w:sz w:val="24"/>
          <w:highlight w:val="none"/>
        </w:rPr>
      </w:pPr>
      <w:r>
        <w:rPr>
          <w:rFonts w:hint="eastAsia" w:ascii="宋体" w:hAnsi="宋体" w:cs="宋体"/>
          <w:bCs/>
          <w:color w:val="auto"/>
          <w:sz w:val="24"/>
          <w:highlight w:val="none"/>
        </w:rPr>
        <w:t>特此声明。</w:t>
      </w:r>
    </w:p>
    <w:p w14:paraId="348CA72F">
      <w:pPr>
        <w:spacing w:line="44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1.询价文件“供应商的资格”中特定资格条件如果没有特别规定，则由供应商在响应文件中按上述格式提供其具备履行合同所必需的设备和专业技术能力的声明即可，声明函应加盖供应商单位公章。</w:t>
      </w:r>
    </w:p>
    <w:p w14:paraId="6C4E0A77">
      <w:pPr>
        <w:spacing w:line="44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2.如果根据项目的特点和需要，对履行合同所必需的设备和专业技术能力的证明材料有特别专项要求的，则采购人或采购代理机构应当在询价文件“供应商的资格”中特定资格条件进行明确约定，供应商可以不用提供上述格式要求的声明函，但必须按特定资格条件的规定提供相应专项证明材料，并对相应证明材料的真实性负责。</w:t>
      </w:r>
    </w:p>
    <w:p w14:paraId="43F0B9E0">
      <w:pPr>
        <w:spacing w:line="44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3.对于接受联合体形式的询价且供应商是联合体的，则联合体各成员都应当提交本资格证明文件。</w:t>
      </w:r>
    </w:p>
    <w:p w14:paraId="6D144DC2">
      <w:pPr>
        <w:spacing w:line="440" w:lineRule="exact"/>
        <w:rPr>
          <w:rFonts w:ascii="宋体" w:hAnsi="宋体" w:cs="宋体"/>
          <w:color w:val="auto"/>
          <w:sz w:val="24"/>
          <w:highlight w:val="none"/>
        </w:rPr>
      </w:pPr>
    </w:p>
    <w:p w14:paraId="0B9DA45A">
      <w:pPr>
        <w:spacing w:line="440" w:lineRule="exact"/>
        <w:rPr>
          <w:rFonts w:ascii="宋体" w:hAnsi="宋体" w:cs="宋体"/>
          <w:color w:val="auto"/>
          <w:sz w:val="24"/>
          <w:highlight w:val="none"/>
          <w:u w:val="single"/>
        </w:rPr>
      </w:pPr>
      <w:r>
        <w:rPr>
          <w:rFonts w:hint="eastAsia" w:ascii="宋体" w:hAnsi="宋体" w:cs="宋体"/>
          <w:color w:val="auto"/>
          <w:sz w:val="24"/>
          <w:highlight w:val="none"/>
        </w:rPr>
        <w:t>供应商代表：</w:t>
      </w:r>
      <w:r>
        <w:rPr>
          <w:rFonts w:hint="eastAsia" w:ascii="宋体" w:hAnsi="宋体" w:cs="宋体"/>
          <w:color w:val="auto"/>
          <w:sz w:val="24"/>
          <w:highlight w:val="none"/>
          <w:u w:val="single"/>
        </w:rPr>
        <w:t xml:space="preserve"> （签字）</w:t>
      </w:r>
    </w:p>
    <w:p w14:paraId="6182D2C2">
      <w:pPr>
        <w:spacing w:line="440" w:lineRule="exact"/>
        <w:rPr>
          <w:rFonts w:ascii="宋体" w:hAnsi="宋体" w:cs="宋体"/>
          <w:color w:val="auto"/>
          <w:sz w:val="24"/>
          <w:highlight w:val="none"/>
          <w:u w:val="singl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（全称并加盖公章）              </w:t>
      </w:r>
    </w:p>
    <w:p w14:paraId="689ADDF3">
      <w:pPr>
        <w:spacing w:line="440" w:lineRule="exact"/>
        <w:rPr>
          <w:rFonts w:ascii="宋体" w:hAnsi="宋体" w:cs="宋体"/>
          <w:color w:val="auto"/>
          <w:sz w:val="24"/>
          <w:highlight w:val="none"/>
        </w:rPr>
      </w:pPr>
      <w:r>
        <w:rPr>
          <w:rFonts w:hint="eastAsia" w:ascii="宋体" w:hAnsi="宋体" w:cs="宋体"/>
          <w:color w:val="auto"/>
          <w:sz w:val="24"/>
          <w:highlight w:val="none"/>
        </w:rPr>
        <w:t>日  期： 年 月 日</w:t>
      </w:r>
    </w:p>
    <w:p w14:paraId="12E547AA">
      <w:pPr>
        <w:spacing w:line="440" w:lineRule="exact"/>
        <w:rPr>
          <w:rFonts w:ascii="宋体" w:hAnsi="宋体" w:cs="宋体"/>
          <w:color w:val="auto"/>
          <w:sz w:val="24"/>
          <w:highlight w:val="none"/>
        </w:rPr>
      </w:pPr>
    </w:p>
    <w:p w14:paraId="0482A0EB">
      <w:pPr>
        <w:spacing w:line="440" w:lineRule="exact"/>
        <w:rPr>
          <w:rFonts w:ascii="宋体" w:hAnsi="宋体" w:cs="宋体"/>
          <w:color w:val="auto"/>
          <w:sz w:val="24"/>
          <w:highlight w:val="none"/>
        </w:rPr>
      </w:pPr>
    </w:p>
    <w:p w14:paraId="13429DA6">
      <w:pPr>
        <w:spacing w:line="440" w:lineRule="exact"/>
        <w:rPr>
          <w:rFonts w:ascii="宋体" w:hAnsi="宋体" w:cs="宋体"/>
          <w:color w:val="auto"/>
          <w:sz w:val="24"/>
          <w:highlight w:val="none"/>
        </w:rPr>
      </w:pPr>
    </w:p>
    <w:p w14:paraId="27A6FD45">
      <w:pPr>
        <w:spacing w:line="440" w:lineRule="exact"/>
        <w:rPr>
          <w:rFonts w:ascii="宋体" w:hAnsi="宋体" w:cs="宋体"/>
          <w:color w:val="auto"/>
          <w:sz w:val="24"/>
          <w:highlight w:val="none"/>
        </w:rPr>
      </w:pPr>
    </w:p>
    <w:p w14:paraId="1B49FA71">
      <w:pPr>
        <w:spacing w:line="440" w:lineRule="exact"/>
        <w:rPr>
          <w:rFonts w:ascii="宋体" w:hAnsi="宋体" w:cs="宋体"/>
          <w:color w:val="auto"/>
          <w:sz w:val="24"/>
          <w:highlight w:val="none"/>
        </w:rPr>
      </w:pPr>
    </w:p>
    <w:p w14:paraId="45CD8B4B">
      <w:pPr>
        <w:spacing w:line="440" w:lineRule="exact"/>
        <w:rPr>
          <w:rFonts w:ascii="宋体" w:hAnsi="宋体" w:cs="宋体"/>
          <w:color w:val="auto"/>
          <w:sz w:val="24"/>
          <w:highlight w:val="none"/>
        </w:rPr>
      </w:pPr>
    </w:p>
    <w:p w14:paraId="7E25BA79">
      <w:pPr>
        <w:spacing w:line="400" w:lineRule="exact"/>
        <w:jc w:val="left"/>
        <w:rPr>
          <w:rFonts w:ascii="宋体" w:hAnsi="宋体" w:cs="宋体"/>
          <w:b/>
          <w:color w:val="auto"/>
          <w:kern w:val="0"/>
          <w:sz w:val="28"/>
          <w:highlight w:val="none"/>
        </w:rPr>
      </w:pPr>
      <w:r>
        <w:rPr>
          <w:rFonts w:hint="eastAsia" w:ascii="宋体" w:hAnsi="宋体" w:cs="宋体"/>
          <w:color w:val="auto"/>
          <w:highlight w:val="none"/>
        </w:rPr>
        <w:br w:type="page"/>
      </w:r>
      <w:r>
        <w:rPr>
          <w:rFonts w:hint="eastAsia" w:ascii="宋体" w:hAnsi="宋体" w:cs="宋体"/>
          <w:color w:val="auto"/>
          <w:sz w:val="24"/>
          <w:highlight w:val="none"/>
        </w:rPr>
        <w:t>附件</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 xml:space="preserve">-9           </w:t>
      </w:r>
      <w:r>
        <w:rPr>
          <w:rFonts w:hint="eastAsia" w:ascii="宋体" w:hAnsi="宋体" w:cs="宋体"/>
          <w:b/>
          <w:color w:val="auto"/>
          <w:kern w:val="0"/>
          <w:sz w:val="28"/>
          <w:highlight w:val="none"/>
        </w:rPr>
        <w:t>参加采购活动前三年内在经营活动中</w:t>
      </w:r>
    </w:p>
    <w:p w14:paraId="7B8EAD78">
      <w:pPr>
        <w:spacing w:line="440" w:lineRule="exact"/>
        <w:jc w:val="center"/>
        <w:rPr>
          <w:rFonts w:ascii="宋体" w:hAnsi="宋体" w:cs="宋体"/>
          <w:b/>
          <w:color w:val="auto"/>
          <w:kern w:val="0"/>
          <w:sz w:val="28"/>
          <w:highlight w:val="none"/>
        </w:rPr>
      </w:pPr>
      <w:r>
        <w:rPr>
          <w:rFonts w:hint="eastAsia" w:ascii="宋体" w:hAnsi="宋体" w:cs="宋体"/>
          <w:b/>
          <w:color w:val="auto"/>
          <w:kern w:val="0"/>
          <w:sz w:val="28"/>
          <w:highlight w:val="none"/>
        </w:rPr>
        <w:t>没有重大违法记录书面声明</w:t>
      </w:r>
    </w:p>
    <w:p w14:paraId="19F52C99">
      <w:pPr>
        <w:spacing w:line="440" w:lineRule="exact"/>
        <w:rPr>
          <w:rFonts w:ascii="宋体" w:hAnsi="宋体" w:cs="宋体"/>
          <w:b/>
          <w:color w:val="auto"/>
          <w:kern w:val="0"/>
          <w:sz w:val="28"/>
          <w:highlight w:val="none"/>
        </w:rPr>
      </w:pPr>
    </w:p>
    <w:p w14:paraId="0C18193F">
      <w:pPr>
        <w:spacing w:line="440" w:lineRule="exact"/>
        <w:rPr>
          <w:rFonts w:ascii="宋体" w:hAnsi="宋体" w:cs="宋体"/>
          <w:color w:val="auto"/>
          <w:sz w:val="24"/>
          <w:highlight w:val="none"/>
          <w:u w:val="single"/>
        </w:rPr>
      </w:pPr>
      <w:r>
        <w:rPr>
          <w:rFonts w:hint="eastAsia" w:ascii="宋体" w:hAnsi="宋体" w:cs="宋体"/>
          <w:color w:val="auto"/>
          <w:sz w:val="24"/>
          <w:highlight w:val="none"/>
        </w:rPr>
        <w:t>致：</w:t>
      </w:r>
      <w:r>
        <w:rPr>
          <w:rFonts w:hint="eastAsia" w:ascii="宋体" w:hAnsi="宋体" w:cs="宋体"/>
          <w:color w:val="auto"/>
          <w:szCs w:val="21"/>
          <w:highlight w:val="none"/>
        </w:rPr>
        <w:t>厦门湖里国投物业服务有限公司</w:t>
      </w:r>
    </w:p>
    <w:p w14:paraId="7D183EF7">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参加采购活动前三年内，我方在经营活动中没有重大违法记录，即没有因违法经营受到刑事处罚或责令停产停业、吊销许可证或执照、较大数额罚款等行政处罚。否则产生不利后果由我方承担责任。</w:t>
      </w:r>
    </w:p>
    <w:p w14:paraId="54BD0110">
      <w:pPr>
        <w:spacing w:line="440" w:lineRule="exact"/>
        <w:rPr>
          <w:rFonts w:ascii="宋体" w:hAnsi="宋体" w:cs="宋体"/>
          <w:color w:val="auto"/>
          <w:sz w:val="24"/>
          <w:highlight w:val="none"/>
        </w:rPr>
      </w:pPr>
      <w:r>
        <w:rPr>
          <w:rFonts w:hint="eastAsia" w:ascii="宋体" w:hAnsi="宋体" w:cs="宋体"/>
          <w:color w:val="auto"/>
          <w:sz w:val="24"/>
          <w:highlight w:val="none"/>
        </w:rPr>
        <w:t>特此声明。</w:t>
      </w:r>
    </w:p>
    <w:p w14:paraId="394F767A">
      <w:pPr>
        <w:spacing w:line="440" w:lineRule="exact"/>
        <w:rPr>
          <w:rFonts w:ascii="宋体" w:hAnsi="宋体" w:cs="宋体"/>
          <w:color w:val="auto"/>
          <w:sz w:val="24"/>
          <w:highlight w:val="none"/>
        </w:rPr>
      </w:pPr>
    </w:p>
    <w:p w14:paraId="656C1DFB">
      <w:pPr>
        <w:spacing w:line="440" w:lineRule="exact"/>
        <w:rPr>
          <w:rFonts w:ascii="宋体" w:hAnsi="宋体" w:cs="宋体"/>
          <w:color w:val="auto"/>
          <w:sz w:val="24"/>
          <w:highlight w:val="none"/>
        </w:rPr>
      </w:pPr>
      <w:r>
        <w:rPr>
          <w:rFonts w:hint="eastAsia" w:ascii="宋体" w:hAnsi="宋体" w:cs="宋体"/>
          <w:color w:val="auto"/>
          <w:sz w:val="24"/>
          <w:highlight w:val="none"/>
        </w:rPr>
        <w:t>★注意：</w:t>
      </w:r>
    </w:p>
    <w:p w14:paraId="06938250">
      <w:pPr>
        <w:spacing w:line="440" w:lineRule="exact"/>
        <w:ind w:firstLine="240" w:firstLineChars="100"/>
        <w:rPr>
          <w:rFonts w:ascii="宋体" w:hAnsi="宋体" w:cs="宋体"/>
          <w:color w:val="auto"/>
          <w:sz w:val="24"/>
          <w:highlight w:val="none"/>
        </w:rPr>
      </w:pPr>
      <w:r>
        <w:rPr>
          <w:rFonts w:hint="eastAsia" w:ascii="宋体" w:hAnsi="宋体" w:cs="宋体"/>
          <w:color w:val="auto"/>
          <w:sz w:val="24"/>
          <w:highlight w:val="none"/>
        </w:rPr>
        <w:t>1、“重大违法记录”指供应商因违法经营受到刑事处罚或责令停产停业、吊销许可证或执照、较大数额罚款等行政处罚。</w:t>
      </w:r>
    </w:p>
    <w:p w14:paraId="5F08BD3A">
      <w:pPr>
        <w:spacing w:line="440" w:lineRule="exact"/>
        <w:ind w:firstLine="240" w:firstLineChars="100"/>
        <w:rPr>
          <w:rFonts w:ascii="宋体" w:hAnsi="宋体" w:cs="宋体"/>
          <w:color w:val="auto"/>
          <w:sz w:val="24"/>
          <w:highlight w:val="none"/>
        </w:rPr>
      </w:pPr>
      <w:r>
        <w:rPr>
          <w:rFonts w:hint="eastAsia" w:ascii="宋体" w:hAnsi="宋体" w:cs="宋体"/>
          <w:color w:val="auto"/>
          <w:sz w:val="24"/>
          <w:highlight w:val="none"/>
        </w:rPr>
        <w:t>2、请供应商根据实际情况如实声明，否则视为提供虚假材料。</w:t>
      </w:r>
    </w:p>
    <w:p w14:paraId="1232D104">
      <w:pPr>
        <w:spacing w:line="440" w:lineRule="exact"/>
        <w:rPr>
          <w:rFonts w:ascii="宋体" w:hAnsi="宋体" w:cs="宋体"/>
          <w:color w:val="auto"/>
          <w:sz w:val="24"/>
          <w:highlight w:val="none"/>
        </w:rPr>
      </w:pPr>
    </w:p>
    <w:p w14:paraId="1836F248">
      <w:pPr>
        <w:spacing w:line="440" w:lineRule="exact"/>
        <w:rPr>
          <w:rFonts w:ascii="宋体" w:hAnsi="宋体" w:cs="宋体"/>
          <w:color w:val="auto"/>
          <w:sz w:val="24"/>
          <w:highlight w:val="none"/>
          <w:u w:val="single"/>
        </w:rPr>
      </w:pPr>
      <w:r>
        <w:rPr>
          <w:rFonts w:hint="eastAsia" w:ascii="宋体" w:hAnsi="宋体" w:cs="宋体"/>
          <w:color w:val="auto"/>
          <w:sz w:val="24"/>
          <w:highlight w:val="none"/>
        </w:rPr>
        <w:t>供应商代表：</w:t>
      </w:r>
      <w:r>
        <w:rPr>
          <w:rFonts w:hint="eastAsia" w:ascii="宋体" w:hAnsi="宋体" w:cs="宋体"/>
          <w:color w:val="auto"/>
          <w:sz w:val="24"/>
          <w:highlight w:val="none"/>
          <w:u w:val="single"/>
        </w:rPr>
        <w:t xml:space="preserve"> （签字）</w:t>
      </w:r>
    </w:p>
    <w:p w14:paraId="1A738726">
      <w:pPr>
        <w:spacing w:line="440" w:lineRule="exact"/>
        <w:rPr>
          <w:rFonts w:ascii="宋体" w:hAnsi="宋体" w:cs="宋体"/>
          <w:color w:val="auto"/>
          <w:sz w:val="24"/>
          <w:highlight w:val="none"/>
          <w:u w:val="singl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（全称并加盖公章）              </w:t>
      </w:r>
    </w:p>
    <w:p w14:paraId="4B1A8B5B">
      <w:pPr>
        <w:spacing w:line="440" w:lineRule="exact"/>
        <w:rPr>
          <w:rFonts w:ascii="宋体" w:hAnsi="宋体" w:cs="宋体"/>
          <w:color w:val="auto"/>
          <w:sz w:val="24"/>
          <w:highlight w:val="none"/>
        </w:rPr>
      </w:pPr>
      <w:r>
        <w:rPr>
          <w:rFonts w:hint="eastAsia" w:ascii="宋体" w:hAnsi="宋体" w:cs="宋体"/>
          <w:color w:val="auto"/>
          <w:sz w:val="24"/>
          <w:highlight w:val="none"/>
        </w:rPr>
        <w:t>日  期： 年 月 日</w:t>
      </w:r>
    </w:p>
    <w:p w14:paraId="79F61DE7">
      <w:pPr>
        <w:pStyle w:val="94"/>
        <w:jc w:val="center"/>
        <w:outlineLvl w:val="2"/>
        <w:rPr>
          <w:rFonts w:hint="default" w:ascii="宋体" w:hAnsi="宋体" w:eastAsia="宋体" w:cs="宋体"/>
          <w:b/>
          <w:color w:val="auto"/>
          <w:sz w:val="28"/>
          <w:highlight w:val="none"/>
        </w:rPr>
      </w:pPr>
    </w:p>
    <w:p w14:paraId="4910345E">
      <w:pPr>
        <w:pStyle w:val="94"/>
        <w:jc w:val="center"/>
        <w:outlineLvl w:val="2"/>
        <w:rPr>
          <w:rFonts w:hint="default" w:ascii="宋体" w:hAnsi="宋体" w:eastAsia="宋体" w:cs="宋体"/>
          <w:b/>
          <w:color w:val="auto"/>
          <w:sz w:val="28"/>
          <w:highlight w:val="none"/>
        </w:rPr>
      </w:pPr>
    </w:p>
    <w:p w14:paraId="62D8FCD5">
      <w:pPr>
        <w:pStyle w:val="94"/>
        <w:jc w:val="center"/>
        <w:outlineLvl w:val="2"/>
        <w:rPr>
          <w:rFonts w:hint="default" w:ascii="宋体" w:hAnsi="宋体" w:eastAsia="宋体" w:cs="宋体"/>
          <w:b/>
          <w:color w:val="auto"/>
          <w:sz w:val="28"/>
          <w:highlight w:val="none"/>
        </w:rPr>
      </w:pPr>
    </w:p>
    <w:p w14:paraId="26787B74">
      <w:pPr>
        <w:pStyle w:val="94"/>
        <w:jc w:val="center"/>
        <w:outlineLvl w:val="2"/>
        <w:rPr>
          <w:rFonts w:hint="default" w:ascii="宋体" w:hAnsi="宋体" w:eastAsia="宋体" w:cs="宋体"/>
          <w:b/>
          <w:color w:val="auto"/>
          <w:sz w:val="28"/>
          <w:highlight w:val="none"/>
        </w:rPr>
      </w:pPr>
    </w:p>
    <w:p w14:paraId="7C037CE3">
      <w:pPr>
        <w:pStyle w:val="94"/>
        <w:jc w:val="center"/>
        <w:outlineLvl w:val="2"/>
        <w:rPr>
          <w:rFonts w:hint="default" w:ascii="宋体" w:hAnsi="宋体" w:eastAsia="宋体" w:cs="宋体"/>
          <w:b/>
          <w:color w:val="auto"/>
          <w:sz w:val="28"/>
          <w:highlight w:val="none"/>
        </w:rPr>
      </w:pPr>
    </w:p>
    <w:p w14:paraId="2D528AA8">
      <w:pPr>
        <w:pStyle w:val="94"/>
        <w:jc w:val="center"/>
        <w:outlineLvl w:val="2"/>
        <w:rPr>
          <w:rFonts w:hint="default" w:ascii="宋体" w:hAnsi="宋体" w:eastAsia="宋体" w:cs="宋体"/>
          <w:b/>
          <w:color w:val="auto"/>
          <w:sz w:val="28"/>
          <w:highlight w:val="none"/>
        </w:rPr>
      </w:pPr>
    </w:p>
    <w:p w14:paraId="0D2E0738">
      <w:pPr>
        <w:pStyle w:val="94"/>
        <w:jc w:val="center"/>
        <w:outlineLvl w:val="2"/>
        <w:rPr>
          <w:rFonts w:hint="default" w:ascii="宋体" w:hAnsi="宋体" w:eastAsia="宋体" w:cs="宋体"/>
          <w:b/>
          <w:color w:val="auto"/>
          <w:sz w:val="28"/>
          <w:highlight w:val="none"/>
        </w:rPr>
      </w:pPr>
    </w:p>
    <w:p w14:paraId="72DDC965">
      <w:pPr>
        <w:pStyle w:val="94"/>
        <w:jc w:val="center"/>
        <w:outlineLvl w:val="2"/>
        <w:rPr>
          <w:rFonts w:hint="default" w:ascii="宋体" w:hAnsi="宋体" w:eastAsia="宋体" w:cs="宋体"/>
          <w:b/>
          <w:color w:val="auto"/>
          <w:sz w:val="28"/>
          <w:highlight w:val="none"/>
        </w:rPr>
      </w:pPr>
    </w:p>
    <w:p w14:paraId="520402BA">
      <w:pPr>
        <w:pStyle w:val="94"/>
        <w:jc w:val="center"/>
        <w:outlineLvl w:val="2"/>
        <w:rPr>
          <w:rFonts w:hint="default" w:ascii="宋体" w:hAnsi="宋体" w:eastAsia="宋体" w:cs="宋体"/>
          <w:b/>
          <w:color w:val="auto"/>
          <w:sz w:val="28"/>
          <w:highlight w:val="none"/>
        </w:rPr>
      </w:pPr>
    </w:p>
    <w:p w14:paraId="1953B236">
      <w:pPr>
        <w:pStyle w:val="94"/>
        <w:jc w:val="center"/>
        <w:outlineLvl w:val="2"/>
        <w:rPr>
          <w:rFonts w:hint="default" w:ascii="宋体" w:hAnsi="宋体" w:eastAsia="宋体" w:cs="宋体"/>
          <w:b/>
          <w:color w:val="auto"/>
          <w:sz w:val="28"/>
          <w:highlight w:val="none"/>
        </w:rPr>
      </w:pPr>
    </w:p>
    <w:p w14:paraId="60162588">
      <w:pPr>
        <w:pStyle w:val="94"/>
        <w:jc w:val="center"/>
        <w:outlineLvl w:val="2"/>
        <w:rPr>
          <w:rFonts w:hint="default" w:ascii="宋体" w:hAnsi="宋体" w:eastAsia="宋体" w:cs="宋体"/>
          <w:b/>
          <w:color w:val="auto"/>
          <w:sz w:val="28"/>
          <w:highlight w:val="none"/>
        </w:rPr>
      </w:pPr>
    </w:p>
    <w:p w14:paraId="77060A2D">
      <w:pPr>
        <w:pStyle w:val="94"/>
        <w:jc w:val="center"/>
        <w:outlineLvl w:val="2"/>
        <w:rPr>
          <w:rFonts w:hint="default" w:ascii="宋体" w:hAnsi="宋体" w:eastAsia="宋体" w:cs="宋体"/>
          <w:b/>
          <w:color w:val="auto"/>
          <w:sz w:val="28"/>
          <w:highlight w:val="none"/>
        </w:rPr>
      </w:pPr>
    </w:p>
    <w:p w14:paraId="686A4B6F">
      <w:pPr>
        <w:pStyle w:val="94"/>
        <w:jc w:val="center"/>
        <w:outlineLvl w:val="2"/>
        <w:rPr>
          <w:rFonts w:hint="default" w:ascii="宋体" w:hAnsi="宋体" w:eastAsia="宋体" w:cs="宋体"/>
          <w:b/>
          <w:color w:val="auto"/>
          <w:sz w:val="28"/>
          <w:highlight w:val="none"/>
        </w:rPr>
      </w:pPr>
    </w:p>
    <w:p w14:paraId="3BB69B94">
      <w:pPr>
        <w:pStyle w:val="94"/>
        <w:jc w:val="center"/>
        <w:outlineLvl w:val="2"/>
        <w:rPr>
          <w:rFonts w:hint="default" w:ascii="宋体" w:hAnsi="宋体" w:eastAsia="宋体" w:cs="宋体"/>
          <w:b/>
          <w:color w:val="auto"/>
          <w:sz w:val="28"/>
          <w:highlight w:val="none"/>
        </w:rPr>
      </w:pPr>
    </w:p>
    <w:p w14:paraId="37EE4344">
      <w:pPr>
        <w:pStyle w:val="94"/>
        <w:jc w:val="center"/>
        <w:outlineLvl w:val="2"/>
        <w:rPr>
          <w:rFonts w:hint="default" w:ascii="宋体" w:hAnsi="宋体" w:eastAsia="宋体" w:cs="宋体"/>
          <w:b/>
          <w:color w:val="auto"/>
          <w:sz w:val="28"/>
          <w:highlight w:val="none"/>
        </w:rPr>
      </w:pPr>
    </w:p>
    <w:p w14:paraId="0A88ABC2">
      <w:pPr>
        <w:pStyle w:val="94"/>
        <w:jc w:val="center"/>
        <w:outlineLvl w:val="2"/>
        <w:rPr>
          <w:rFonts w:hint="default" w:ascii="宋体" w:hAnsi="宋体" w:eastAsia="宋体" w:cs="宋体"/>
          <w:b/>
          <w:color w:val="auto"/>
          <w:sz w:val="28"/>
          <w:highlight w:val="none"/>
        </w:rPr>
      </w:pPr>
    </w:p>
    <w:p w14:paraId="716AF24C">
      <w:pPr>
        <w:pStyle w:val="94"/>
        <w:outlineLvl w:val="2"/>
        <w:rPr>
          <w:rFonts w:hint="default" w:ascii="宋体" w:hAnsi="宋体" w:eastAsia="宋体" w:cs="宋体"/>
          <w:color w:val="auto"/>
          <w:highlight w:val="none"/>
        </w:rPr>
      </w:pPr>
      <w:r>
        <w:rPr>
          <w:rFonts w:ascii="宋体" w:hAnsi="宋体" w:eastAsia="宋体" w:cs="宋体"/>
          <w:color w:val="auto"/>
          <w:sz w:val="24"/>
          <w:highlight w:val="none"/>
        </w:rPr>
        <w:t>附件</w:t>
      </w:r>
      <w:r>
        <w:rPr>
          <w:rFonts w:hint="eastAsia" w:ascii="宋体" w:hAnsi="宋体" w:cs="宋体"/>
          <w:color w:val="auto"/>
          <w:sz w:val="24"/>
          <w:highlight w:val="none"/>
          <w:lang w:val="en-US" w:eastAsia="zh-CN"/>
        </w:rPr>
        <w:t>4</w:t>
      </w:r>
      <w:r>
        <w:rPr>
          <w:rFonts w:ascii="宋体" w:hAnsi="宋体" w:eastAsia="宋体" w:cs="宋体"/>
          <w:color w:val="auto"/>
          <w:sz w:val="24"/>
          <w:highlight w:val="none"/>
        </w:rPr>
        <w:t xml:space="preserve">-10                   </w:t>
      </w:r>
      <w:r>
        <w:rPr>
          <w:rFonts w:ascii="宋体" w:hAnsi="宋体" w:eastAsia="宋体" w:cs="宋体"/>
          <w:b/>
          <w:color w:val="auto"/>
          <w:sz w:val="28"/>
          <w:highlight w:val="none"/>
        </w:rPr>
        <w:t>信用记录查询结果</w:t>
      </w:r>
    </w:p>
    <w:p w14:paraId="26766C92">
      <w:pPr>
        <w:pStyle w:val="94"/>
        <w:spacing w:line="40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1、由询价小组通过网站查询并打印供应商的信用记录。</w:t>
      </w:r>
    </w:p>
    <w:p w14:paraId="35967BA5">
      <w:pPr>
        <w:pStyle w:val="94"/>
        <w:spacing w:line="40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经查询，供应商参加本项目采购活动(响应文件递交截止时间)前三年内被列入失信被执行人名单、重大税收违法案件当事人名单、政府采购严重违法失信行为记录名单及其他重大违法记录且相关信用惩戒期限未满的，其资格审查不合格。</w:t>
      </w:r>
    </w:p>
    <w:p w14:paraId="501B7A68">
      <w:pPr>
        <w:spacing w:line="400" w:lineRule="exact"/>
        <w:ind w:firstLine="480"/>
        <w:jc w:val="left"/>
        <w:rPr>
          <w:rFonts w:ascii="宋体" w:hAnsi="宋体" w:cs="宋体"/>
          <w:color w:val="auto"/>
          <w:sz w:val="24"/>
          <w:highlight w:val="none"/>
        </w:rPr>
      </w:pPr>
      <w:r>
        <w:rPr>
          <w:rFonts w:hint="eastAsia" w:ascii="宋体" w:hAnsi="宋体" w:cs="宋体"/>
          <w:color w:val="auto"/>
          <w:sz w:val="24"/>
          <w:highlight w:val="none"/>
        </w:rPr>
        <w:t>3、供应商应了解自身的信用记录情况。当供应商受到200万以上罚款的行政处罚且该罚款不属较大数额罚款时，供应商应在电子响应文件中提供此项罚款不属于较大数额罚款的依据（如提供：相关法律制度的规定、行政执法机构对该罚款不属于较大数额罚款的认定或者其他有效依据）。</w:t>
      </w:r>
    </w:p>
    <w:p w14:paraId="61120E6E">
      <w:pPr>
        <w:spacing w:line="400" w:lineRule="exact"/>
        <w:ind w:firstLine="480"/>
        <w:jc w:val="left"/>
        <w:rPr>
          <w:rFonts w:ascii="宋体" w:hAnsi="宋体" w:cs="宋体"/>
          <w:color w:val="auto"/>
          <w:sz w:val="24"/>
          <w:highlight w:val="none"/>
        </w:rPr>
      </w:pPr>
    </w:p>
    <w:p w14:paraId="02DB92F6">
      <w:pPr>
        <w:spacing w:line="400" w:lineRule="exact"/>
        <w:ind w:firstLine="480"/>
        <w:jc w:val="left"/>
        <w:rPr>
          <w:rFonts w:ascii="宋体" w:hAnsi="宋体" w:cs="宋体"/>
          <w:color w:val="auto"/>
          <w:sz w:val="24"/>
          <w:highlight w:val="none"/>
        </w:rPr>
      </w:pPr>
    </w:p>
    <w:p w14:paraId="6CB4373A">
      <w:pPr>
        <w:spacing w:line="400" w:lineRule="exact"/>
        <w:ind w:firstLine="480"/>
        <w:jc w:val="left"/>
        <w:rPr>
          <w:rFonts w:ascii="宋体" w:hAnsi="宋体" w:cs="宋体"/>
          <w:color w:val="auto"/>
          <w:sz w:val="24"/>
          <w:highlight w:val="none"/>
        </w:rPr>
      </w:pPr>
    </w:p>
    <w:p w14:paraId="1B4FAC08">
      <w:pPr>
        <w:spacing w:line="400" w:lineRule="exact"/>
        <w:ind w:firstLine="480"/>
        <w:jc w:val="left"/>
        <w:rPr>
          <w:rFonts w:ascii="宋体" w:hAnsi="宋体" w:cs="宋体"/>
          <w:color w:val="auto"/>
          <w:sz w:val="24"/>
          <w:highlight w:val="none"/>
        </w:rPr>
      </w:pPr>
    </w:p>
    <w:p w14:paraId="1DF5716F">
      <w:pPr>
        <w:spacing w:line="400" w:lineRule="exact"/>
        <w:ind w:firstLine="480"/>
        <w:jc w:val="left"/>
        <w:rPr>
          <w:rFonts w:ascii="宋体" w:hAnsi="宋体" w:cs="宋体"/>
          <w:color w:val="auto"/>
          <w:sz w:val="24"/>
          <w:highlight w:val="none"/>
        </w:rPr>
      </w:pPr>
    </w:p>
    <w:p w14:paraId="48180048">
      <w:pPr>
        <w:spacing w:line="400" w:lineRule="exact"/>
        <w:ind w:firstLine="480"/>
        <w:jc w:val="left"/>
        <w:rPr>
          <w:rFonts w:ascii="宋体" w:hAnsi="宋体" w:cs="宋体"/>
          <w:color w:val="auto"/>
          <w:sz w:val="24"/>
          <w:highlight w:val="none"/>
        </w:rPr>
      </w:pPr>
    </w:p>
    <w:p w14:paraId="580C10DA">
      <w:pPr>
        <w:spacing w:line="400" w:lineRule="exact"/>
        <w:ind w:firstLine="480"/>
        <w:jc w:val="left"/>
        <w:rPr>
          <w:rFonts w:ascii="宋体" w:hAnsi="宋体" w:cs="宋体"/>
          <w:color w:val="auto"/>
          <w:sz w:val="24"/>
          <w:highlight w:val="none"/>
        </w:rPr>
      </w:pPr>
    </w:p>
    <w:p w14:paraId="39C8BD32">
      <w:pPr>
        <w:spacing w:line="400" w:lineRule="exact"/>
        <w:ind w:firstLine="480"/>
        <w:jc w:val="left"/>
        <w:rPr>
          <w:rFonts w:ascii="宋体" w:hAnsi="宋体" w:cs="宋体"/>
          <w:color w:val="auto"/>
          <w:sz w:val="24"/>
          <w:highlight w:val="none"/>
        </w:rPr>
      </w:pPr>
    </w:p>
    <w:p w14:paraId="4C485865">
      <w:pPr>
        <w:spacing w:line="400" w:lineRule="exact"/>
        <w:ind w:firstLine="480"/>
        <w:jc w:val="left"/>
        <w:rPr>
          <w:rFonts w:ascii="宋体" w:hAnsi="宋体" w:cs="宋体"/>
          <w:color w:val="auto"/>
          <w:sz w:val="24"/>
          <w:highlight w:val="none"/>
        </w:rPr>
      </w:pPr>
    </w:p>
    <w:p w14:paraId="07220881">
      <w:pPr>
        <w:spacing w:line="400" w:lineRule="exact"/>
        <w:ind w:firstLine="480"/>
        <w:jc w:val="left"/>
        <w:rPr>
          <w:rFonts w:ascii="宋体" w:hAnsi="宋体" w:cs="宋体"/>
          <w:color w:val="auto"/>
          <w:sz w:val="24"/>
          <w:highlight w:val="none"/>
        </w:rPr>
      </w:pPr>
    </w:p>
    <w:p w14:paraId="6EA5B7B3">
      <w:pPr>
        <w:spacing w:line="400" w:lineRule="exact"/>
        <w:ind w:firstLine="480"/>
        <w:jc w:val="left"/>
        <w:rPr>
          <w:rFonts w:ascii="宋体" w:hAnsi="宋体" w:cs="宋体"/>
          <w:color w:val="auto"/>
          <w:sz w:val="24"/>
          <w:highlight w:val="none"/>
        </w:rPr>
      </w:pPr>
    </w:p>
    <w:p w14:paraId="13A4493A">
      <w:pPr>
        <w:spacing w:line="400" w:lineRule="exact"/>
        <w:ind w:firstLine="480"/>
        <w:jc w:val="left"/>
        <w:rPr>
          <w:rFonts w:ascii="宋体" w:hAnsi="宋体" w:cs="宋体"/>
          <w:color w:val="auto"/>
          <w:sz w:val="24"/>
          <w:highlight w:val="none"/>
        </w:rPr>
      </w:pPr>
    </w:p>
    <w:p w14:paraId="1A984F25">
      <w:pPr>
        <w:spacing w:line="400" w:lineRule="exact"/>
        <w:ind w:firstLine="480"/>
        <w:jc w:val="left"/>
        <w:rPr>
          <w:rFonts w:ascii="宋体" w:hAnsi="宋体" w:cs="宋体"/>
          <w:color w:val="auto"/>
          <w:sz w:val="24"/>
          <w:highlight w:val="none"/>
        </w:rPr>
      </w:pPr>
    </w:p>
    <w:p w14:paraId="5C4B4FBB">
      <w:pPr>
        <w:spacing w:line="400" w:lineRule="exact"/>
        <w:ind w:firstLine="480"/>
        <w:jc w:val="left"/>
        <w:rPr>
          <w:rFonts w:ascii="宋体" w:hAnsi="宋体" w:cs="宋体"/>
          <w:color w:val="auto"/>
          <w:sz w:val="24"/>
          <w:highlight w:val="none"/>
        </w:rPr>
      </w:pPr>
    </w:p>
    <w:p w14:paraId="2351831E">
      <w:pPr>
        <w:spacing w:line="400" w:lineRule="exact"/>
        <w:ind w:firstLine="480"/>
        <w:jc w:val="left"/>
        <w:rPr>
          <w:rFonts w:ascii="宋体" w:hAnsi="宋体" w:cs="宋体"/>
          <w:color w:val="auto"/>
          <w:sz w:val="24"/>
          <w:highlight w:val="none"/>
        </w:rPr>
      </w:pPr>
    </w:p>
    <w:p w14:paraId="4B8F4E70">
      <w:pPr>
        <w:spacing w:line="400" w:lineRule="exact"/>
        <w:ind w:firstLine="480"/>
        <w:jc w:val="left"/>
        <w:rPr>
          <w:rFonts w:ascii="宋体" w:hAnsi="宋体" w:cs="宋体"/>
          <w:color w:val="auto"/>
          <w:sz w:val="24"/>
          <w:highlight w:val="none"/>
        </w:rPr>
      </w:pPr>
    </w:p>
    <w:p w14:paraId="751949BC">
      <w:pPr>
        <w:spacing w:line="400" w:lineRule="exact"/>
        <w:ind w:firstLine="480"/>
        <w:jc w:val="left"/>
        <w:rPr>
          <w:rFonts w:ascii="宋体" w:hAnsi="宋体" w:cs="宋体"/>
          <w:color w:val="auto"/>
          <w:sz w:val="24"/>
          <w:highlight w:val="none"/>
        </w:rPr>
      </w:pPr>
    </w:p>
    <w:p w14:paraId="2F173021">
      <w:pPr>
        <w:spacing w:line="400" w:lineRule="exact"/>
        <w:ind w:firstLine="480"/>
        <w:jc w:val="left"/>
        <w:rPr>
          <w:rFonts w:ascii="宋体" w:hAnsi="宋体" w:cs="宋体"/>
          <w:color w:val="auto"/>
          <w:sz w:val="24"/>
          <w:highlight w:val="none"/>
        </w:rPr>
      </w:pPr>
    </w:p>
    <w:p w14:paraId="08130567">
      <w:pPr>
        <w:spacing w:line="400" w:lineRule="exact"/>
        <w:ind w:firstLine="480"/>
        <w:jc w:val="left"/>
        <w:rPr>
          <w:rFonts w:ascii="宋体" w:hAnsi="宋体" w:cs="宋体"/>
          <w:color w:val="auto"/>
          <w:sz w:val="24"/>
          <w:highlight w:val="none"/>
        </w:rPr>
      </w:pPr>
    </w:p>
    <w:p w14:paraId="08FA2F38">
      <w:pPr>
        <w:spacing w:line="400" w:lineRule="exact"/>
        <w:ind w:firstLine="480"/>
        <w:jc w:val="left"/>
        <w:rPr>
          <w:rFonts w:ascii="宋体" w:hAnsi="宋体" w:cs="宋体"/>
          <w:color w:val="auto"/>
          <w:sz w:val="24"/>
          <w:highlight w:val="none"/>
        </w:rPr>
      </w:pPr>
    </w:p>
    <w:p w14:paraId="59C1DCB2">
      <w:pPr>
        <w:spacing w:line="400" w:lineRule="exact"/>
        <w:ind w:firstLine="480"/>
        <w:jc w:val="left"/>
        <w:rPr>
          <w:rFonts w:ascii="宋体" w:hAnsi="宋体" w:cs="宋体"/>
          <w:color w:val="auto"/>
          <w:sz w:val="24"/>
          <w:highlight w:val="none"/>
        </w:rPr>
      </w:pPr>
    </w:p>
    <w:p w14:paraId="2BC6E067">
      <w:pPr>
        <w:spacing w:line="400" w:lineRule="exact"/>
        <w:ind w:firstLine="480"/>
        <w:jc w:val="left"/>
        <w:rPr>
          <w:rFonts w:ascii="宋体" w:hAnsi="宋体" w:cs="宋体"/>
          <w:color w:val="auto"/>
          <w:sz w:val="24"/>
          <w:highlight w:val="none"/>
        </w:rPr>
      </w:pPr>
    </w:p>
    <w:p w14:paraId="5AE8021D">
      <w:pPr>
        <w:spacing w:line="400" w:lineRule="exact"/>
        <w:ind w:firstLine="480"/>
        <w:jc w:val="left"/>
        <w:rPr>
          <w:rFonts w:ascii="宋体" w:hAnsi="宋体" w:cs="宋体"/>
          <w:color w:val="auto"/>
          <w:sz w:val="24"/>
          <w:highlight w:val="none"/>
        </w:rPr>
      </w:pPr>
    </w:p>
    <w:p w14:paraId="0EA66842">
      <w:pPr>
        <w:spacing w:line="400" w:lineRule="exact"/>
        <w:ind w:firstLine="480"/>
        <w:jc w:val="left"/>
        <w:rPr>
          <w:rFonts w:ascii="宋体" w:hAnsi="宋体" w:cs="宋体"/>
          <w:color w:val="auto"/>
          <w:sz w:val="24"/>
          <w:highlight w:val="none"/>
        </w:rPr>
      </w:pPr>
    </w:p>
    <w:p w14:paraId="526F6CFB">
      <w:pPr>
        <w:spacing w:line="400" w:lineRule="exact"/>
        <w:ind w:firstLine="480"/>
        <w:jc w:val="left"/>
        <w:rPr>
          <w:rFonts w:ascii="宋体" w:hAnsi="宋体" w:cs="宋体"/>
          <w:color w:val="auto"/>
          <w:sz w:val="24"/>
          <w:highlight w:val="none"/>
        </w:rPr>
      </w:pPr>
    </w:p>
    <w:p w14:paraId="77B38636">
      <w:pPr>
        <w:spacing w:line="400" w:lineRule="exact"/>
        <w:jc w:val="center"/>
        <w:rPr>
          <w:rFonts w:ascii="宋体" w:hAnsi="宋体" w:cs="宋体"/>
          <w:color w:val="auto"/>
          <w:sz w:val="24"/>
          <w:highlight w:val="none"/>
        </w:rPr>
      </w:pPr>
    </w:p>
    <w:p w14:paraId="0F5C0283">
      <w:pPr>
        <w:pStyle w:val="94"/>
        <w:outlineLvl w:val="2"/>
        <w:rPr>
          <w:rFonts w:hint="default" w:ascii="宋体" w:hAnsi="宋体" w:eastAsia="宋体" w:cs="宋体"/>
          <w:b/>
          <w:color w:val="auto"/>
          <w:sz w:val="30"/>
          <w:szCs w:val="30"/>
          <w:highlight w:val="none"/>
        </w:rPr>
      </w:pPr>
      <w:r>
        <w:rPr>
          <w:rFonts w:ascii="宋体" w:hAnsi="宋体" w:eastAsia="宋体" w:cs="宋体"/>
          <w:color w:val="auto"/>
          <w:sz w:val="24"/>
          <w:highlight w:val="none"/>
        </w:rPr>
        <w:t>附件</w:t>
      </w:r>
      <w:r>
        <w:rPr>
          <w:rFonts w:hint="eastAsia" w:ascii="宋体" w:hAnsi="宋体" w:cs="宋体"/>
          <w:color w:val="auto"/>
          <w:sz w:val="24"/>
          <w:highlight w:val="none"/>
          <w:lang w:val="en-US" w:eastAsia="zh-CN"/>
        </w:rPr>
        <w:t>4</w:t>
      </w:r>
      <w:r>
        <w:rPr>
          <w:rFonts w:ascii="宋体" w:hAnsi="宋体" w:eastAsia="宋体" w:cs="宋体"/>
          <w:color w:val="auto"/>
          <w:sz w:val="24"/>
          <w:highlight w:val="none"/>
        </w:rPr>
        <w:t>-11</w:t>
      </w:r>
    </w:p>
    <w:p w14:paraId="12C7A89A">
      <w:pPr>
        <w:pStyle w:val="94"/>
        <w:jc w:val="center"/>
        <w:outlineLvl w:val="2"/>
        <w:rPr>
          <w:rFonts w:hint="default" w:ascii="宋体" w:hAnsi="宋体" w:eastAsia="宋体" w:cs="宋体"/>
          <w:color w:val="auto"/>
          <w:sz w:val="30"/>
          <w:szCs w:val="30"/>
          <w:highlight w:val="none"/>
        </w:rPr>
      </w:pPr>
      <w:r>
        <w:rPr>
          <w:rFonts w:ascii="宋体" w:hAnsi="宋体" w:eastAsia="宋体" w:cs="宋体"/>
          <w:b/>
          <w:color w:val="auto"/>
          <w:sz w:val="30"/>
          <w:szCs w:val="30"/>
          <w:highlight w:val="none"/>
        </w:rPr>
        <w:t xml:space="preserve"> 其它资格证明文件</w:t>
      </w:r>
    </w:p>
    <w:p w14:paraId="49ED7A95">
      <w:pPr>
        <w:pStyle w:val="94"/>
        <w:jc w:val="center"/>
        <w:outlineLvl w:val="1"/>
        <w:rPr>
          <w:rFonts w:hint="default" w:ascii="宋体" w:hAnsi="宋体" w:eastAsia="宋体" w:cs="宋体"/>
          <w:color w:val="auto"/>
          <w:sz w:val="30"/>
          <w:szCs w:val="30"/>
          <w:highlight w:val="none"/>
        </w:rPr>
      </w:pPr>
      <w:r>
        <w:rPr>
          <w:rFonts w:ascii="宋体" w:hAnsi="宋体" w:eastAsia="宋体" w:cs="宋体"/>
          <w:b/>
          <w:color w:val="auto"/>
          <w:sz w:val="30"/>
          <w:szCs w:val="30"/>
          <w:highlight w:val="none"/>
        </w:rPr>
        <w:t>（</w:t>
      </w:r>
      <w:r>
        <w:rPr>
          <w:rFonts w:hint="eastAsia" w:ascii="宋体" w:hAnsi="宋体" w:cs="宋体"/>
          <w:b/>
          <w:color w:val="auto"/>
          <w:sz w:val="30"/>
          <w:szCs w:val="30"/>
          <w:highlight w:val="none"/>
          <w:lang w:eastAsia="zh-CN"/>
        </w:rPr>
        <w:t>若有</w:t>
      </w:r>
      <w:r>
        <w:rPr>
          <w:rFonts w:ascii="宋体" w:hAnsi="宋体" w:eastAsia="宋体" w:cs="宋体"/>
          <w:b/>
          <w:color w:val="auto"/>
          <w:sz w:val="30"/>
          <w:szCs w:val="30"/>
          <w:highlight w:val="none"/>
        </w:rPr>
        <w:t>）</w:t>
      </w:r>
    </w:p>
    <w:p w14:paraId="5582D7FD">
      <w:pPr>
        <w:pStyle w:val="94"/>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说明：1、采购人或采购代理机构可以根据项目的特点和需要，在询价文件“供应商的资格”中特定资格条件，对其它资格证明文件进行具体规定，供应商应按照询价文件要求，在此项下提供相关证明材料，并加盖供应商单位公章。</w:t>
      </w:r>
    </w:p>
    <w:p w14:paraId="60B11AFD">
      <w:pPr>
        <w:pStyle w:val="94"/>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2、若询价文件规定接受联合体形式且供应商为联合体的，涉及联合体成员的其它资格证明文件在此处提供相关证明材料，并加盖供应商单位公章。</w:t>
      </w:r>
    </w:p>
    <w:p w14:paraId="2FEF739A">
      <w:pPr>
        <w:pStyle w:val="94"/>
        <w:ind w:firstLine="480"/>
        <w:rPr>
          <w:rFonts w:hint="default" w:ascii="宋体" w:hAnsi="宋体" w:eastAsia="宋体" w:cs="宋体"/>
          <w:color w:val="auto"/>
          <w:sz w:val="24"/>
          <w:szCs w:val="24"/>
          <w:highlight w:val="none"/>
        </w:rPr>
      </w:pPr>
    </w:p>
    <w:p w14:paraId="71AB43BD">
      <w:pPr>
        <w:pStyle w:val="94"/>
        <w:ind w:firstLine="480"/>
        <w:rPr>
          <w:rFonts w:hint="default" w:ascii="宋体" w:hAnsi="宋体" w:eastAsia="宋体" w:cs="宋体"/>
          <w:color w:val="auto"/>
          <w:sz w:val="24"/>
          <w:szCs w:val="24"/>
          <w:highlight w:val="none"/>
        </w:rPr>
      </w:pPr>
    </w:p>
    <w:p w14:paraId="16BD84E5">
      <w:pPr>
        <w:pStyle w:val="94"/>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供应商代表</w:t>
      </w:r>
      <w:r>
        <w:rPr>
          <w:rFonts w:ascii="宋体" w:hAnsi="宋体" w:eastAsia="宋体" w:cs="宋体"/>
          <w:color w:val="auto"/>
          <w:sz w:val="24"/>
          <w:szCs w:val="24"/>
          <w:highlight w:val="none"/>
          <w:u w:val="single"/>
        </w:rPr>
        <w:t>（签字）</w:t>
      </w:r>
    </w:p>
    <w:p w14:paraId="3CA55786">
      <w:pPr>
        <w:pStyle w:val="94"/>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供应商名称</w:t>
      </w:r>
      <w:r>
        <w:rPr>
          <w:rFonts w:ascii="宋体" w:hAnsi="宋体" w:eastAsia="宋体" w:cs="宋体"/>
          <w:color w:val="auto"/>
          <w:sz w:val="24"/>
          <w:szCs w:val="24"/>
          <w:highlight w:val="none"/>
          <w:u w:val="single"/>
        </w:rPr>
        <w:t>（全称并加盖公章）</w:t>
      </w:r>
    </w:p>
    <w:p w14:paraId="66DD3071">
      <w:pPr>
        <w:pStyle w:val="94"/>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日期：</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年</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月</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日</w:t>
      </w:r>
    </w:p>
    <w:p w14:paraId="66F5794A">
      <w:pPr>
        <w:spacing w:line="420" w:lineRule="exact"/>
        <w:rPr>
          <w:rFonts w:ascii="宋体" w:hAnsi="宋体" w:cs="宋体"/>
          <w:color w:val="auto"/>
          <w:sz w:val="24"/>
          <w:highlight w:val="none"/>
        </w:rPr>
      </w:pPr>
    </w:p>
    <w:p w14:paraId="0BA10AA5">
      <w:pPr>
        <w:spacing w:line="420" w:lineRule="exact"/>
        <w:rPr>
          <w:rFonts w:ascii="宋体" w:hAnsi="宋体" w:cs="宋体"/>
          <w:color w:val="auto"/>
          <w:sz w:val="24"/>
          <w:highlight w:val="none"/>
        </w:rPr>
      </w:pPr>
    </w:p>
    <w:p w14:paraId="08DE7339">
      <w:pPr>
        <w:spacing w:line="420" w:lineRule="exact"/>
        <w:rPr>
          <w:rFonts w:ascii="宋体" w:hAnsi="宋体" w:cs="宋体"/>
          <w:color w:val="auto"/>
          <w:sz w:val="24"/>
          <w:highlight w:val="none"/>
        </w:rPr>
      </w:pPr>
    </w:p>
    <w:p w14:paraId="55FB5639">
      <w:pPr>
        <w:spacing w:line="420" w:lineRule="exact"/>
        <w:rPr>
          <w:rFonts w:ascii="宋体" w:hAnsi="宋体" w:cs="宋体"/>
          <w:color w:val="auto"/>
          <w:sz w:val="24"/>
          <w:highlight w:val="none"/>
        </w:rPr>
      </w:pPr>
    </w:p>
    <w:p w14:paraId="4C9A36F7">
      <w:pPr>
        <w:spacing w:line="420" w:lineRule="exact"/>
        <w:rPr>
          <w:rFonts w:ascii="宋体" w:hAnsi="宋体" w:cs="宋体"/>
          <w:color w:val="auto"/>
          <w:sz w:val="24"/>
          <w:highlight w:val="none"/>
        </w:rPr>
      </w:pPr>
    </w:p>
    <w:p w14:paraId="23ACE8FA">
      <w:pPr>
        <w:spacing w:line="420" w:lineRule="exact"/>
        <w:rPr>
          <w:rFonts w:ascii="宋体" w:hAnsi="宋体" w:cs="宋体"/>
          <w:color w:val="auto"/>
          <w:sz w:val="24"/>
          <w:highlight w:val="none"/>
        </w:rPr>
      </w:pPr>
    </w:p>
    <w:p w14:paraId="381AFE78">
      <w:pPr>
        <w:spacing w:line="420" w:lineRule="exact"/>
        <w:rPr>
          <w:rFonts w:ascii="宋体" w:hAnsi="宋体" w:cs="宋体"/>
          <w:color w:val="auto"/>
          <w:sz w:val="24"/>
          <w:highlight w:val="none"/>
        </w:rPr>
      </w:pPr>
    </w:p>
    <w:p w14:paraId="0422681F">
      <w:pPr>
        <w:spacing w:line="420" w:lineRule="exact"/>
        <w:rPr>
          <w:rFonts w:ascii="宋体" w:hAnsi="宋体" w:cs="宋体"/>
          <w:color w:val="auto"/>
          <w:sz w:val="24"/>
          <w:highlight w:val="none"/>
        </w:rPr>
      </w:pPr>
    </w:p>
    <w:p w14:paraId="324D9EF2">
      <w:pPr>
        <w:spacing w:line="420" w:lineRule="exact"/>
        <w:rPr>
          <w:rFonts w:ascii="宋体" w:hAnsi="宋体" w:cs="宋体"/>
          <w:color w:val="auto"/>
          <w:sz w:val="24"/>
          <w:highlight w:val="none"/>
        </w:rPr>
      </w:pPr>
    </w:p>
    <w:p w14:paraId="537593A6">
      <w:pPr>
        <w:spacing w:line="420" w:lineRule="exact"/>
        <w:rPr>
          <w:rFonts w:ascii="宋体" w:hAnsi="宋体" w:cs="宋体"/>
          <w:color w:val="auto"/>
          <w:sz w:val="24"/>
          <w:highlight w:val="none"/>
        </w:rPr>
      </w:pPr>
    </w:p>
    <w:p w14:paraId="32380942">
      <w:pPr>
        <w:spacing w:line="420" w:lineRule="exact"/>
        <w:rPr>
          <w:rFonts w:ascii="宋体" w:hAnsi="宋体" w:cs="宋体"/>
          <w:color w:val="auto"/>
          <w:sz w:val="24"/>
          <w:highlight w:val="none"/>
        </w:rPr>
      </w:pPr>
    </w:p>
    <w:p w14:paraId="6526C869">
      <w:pPr>
        <w:spacing w:line="420" w:lineRule="exact"/>
        <w:rPr>
          <w:rFonts w:ascii="宋体" w:hAnsi="宋体" w:cs="宋体"/>
          <w:color w:val="auto"/>
          <w:sz w:val="24"/>
          <w:highlight w:val="none"/>
        </w:rPr>
      </w:pPr>
    </w:p>
    <w:p w14:paraId="7E5EB9F3">
      <w:pPr>
        <w:spacing w:line="420" w:lineRule="exact"/>
        <w:rPr>
          <w:rFonts w:ascii="宋体" w:hAnsi="宋体" w:cs="宋体"/>
          <w:color w:val="auto"/>
          <w:sz w:val="24"/>
          <w:highlight w:val="none"/>
        </w:rPr>
      </w:pPr>
    </w:p>
    <w:p w14:paraId="1912CBA7">
      <w:pPr>
        <w:spacing w:line="420" w:lineRule="exact"/>
        <w:rPr>
          <w:rFonts w:ascii="宋体" w:hAnsi="宋体" w:cs="宋体"/>
          <w:color w:val="auto"/>
          <w:sz w:val="24"/>
          <w:highlight w:val="none"/>
        </w:rPr>
      </w:pPr>
    </w:p>
    <w:p w14:paraId="31794C1D">
      <w:pPr>
        <w:spacing w:line="420" w:lineRule="exact"/>
        <w:rPr>
          <w:rFonts w:ascii="宋体" w:hAnsi="宋体" w:cs="宋体"/>
          <w:color w:val="auto"/>
          <w:sz w:val="24"/>
          <w:highlight w:val="none"/>
        </w:rPr>
      </w:pPr>
    </w:p>
    <w:p w14:paraId="7DC202AF">
      <w:pPr>
        <w:spacing w:line="420" w:lineRule="exact"/>
        <w:rPr>
          <w:rFonts w:ascii="宋体" w:hAnsi="宋体" w:cs="宋体"/>
          <w:color w:val="auto"/>
          <w:sz w:val="24"/>
          <w:highlight w:val="none"/>
        </w:rPr>
      </w:pPr>
    </w:p>
    <w:p w14:paraId="1364BF2B">
      <w:pPr>
        <w:spacing w:line="420" w:lineRule="exact"/>
        <w:rPr>
          <w:rFonts w:ascii="宋体" w:hAnsi="宋体" w:cs="宋体"/>
          <w:color w:val="auto"/>
          <w:sz w:val="24"/>
          <w:highlight w:val="none"/>
        </w:rPr>
      </w:pPr>
    </w:p>
    <w:p w14:paraId="6B8050DF">
      <w:pPr>
        <w:spacing w:line="420" w:lineRule="exact"/>
        <w:rPr>
          <w:rFonts w:ascii="宋体" w:hAnsi="宋体" w:cs="宋体"/>
          <w:color w:val="auto"/>
          <w:sz w:val="24"/>
          <w:highlight w:val="none"/>
        </w:rPr>
      </w:pPr>
    </w:p>
    <w:p w14:paraId="1671C8BB">
      <w:pPr>
        <w:spacing w:line="420" w:lineRule="exact"/>
        <w:rPr>
          <w:rFonts w:ascii="宋体" w:hAnsi="宋体" w:cs="宋体"/>
          <w:color w:val="auto"/>
          <w:sz w:val="24"/>
          <w:highlight w:val="none"/>
        </w:rPr>
      </w:pPr>
    </w:p>
    <w:p w14:paraId="6E3AFE57">
      <w:pPr>
        <w:spacing w:line="440" w:lineRule="exact"/>
        <w:jc w:val="center"/>
        <w:rPr>
          <w:rFonts w:ascii="宋体" w:hAnsi="宋体" w:cs="宋体"/>
          <w:color w:val="auto"/>
          <w:sz w:val="24"/>
          <w:highlight w:val="none"/>
        </w:rPr>
      </w:pPr>
      <w:r>
        <w:rPr>
          <w:rFonts w:hint="eastAsia" w:ascii="宋体" w:hAnsi="宋体" w:cs="宋体"/>
          <w:b/>
          <w:bCs/>
          <w:color w:val="auto"/>
          <w:sz w:val="32"/>
          <w:szCs w:val="32"/>
          <w:highlight w:val="none"/>
        </w:rPr>
        <w:t>供应商提交的其它资料（若有）</w:t>
      </w:r>
    </w:p>
    <w:p w14:paraId="06B65711">
      <w:pPr>
        <w:spacing w:line="440" w:lineRule="exact"/>
        <w:rPr>
          <w:rFonts w:ascii="宋体" w:hAnsi="宋体" w:cs="宋体"/>
          <w:color w:val="auto"/>
          <w:sz w:val="24"/>
          <w:highlight w:val="none"/>
        </w:rPr>
      </w:pPr>
      <w:r>
        <w:rPr>
          <w:rFonts w:hint="eastAsia" w:ascii="宋体" w:hAnsi="宋体" w:cs="宋体"/>
          <w:color w:val="auto"/>
          <w:sz w:val="24"/>
          <w:highlight w:val="none"/>
        </w:rPr>
        <w:t>说明：</w:t>
      </w:r>
    </w:p>
    <w:p w14:paraId="0946EAC9">
      <w:pPr>
        <w:spacing w:line="440" w:lineRule="exact"/>
        <w:rPr>
          <w:rFonts w:ascii="宋体" w:hAnsi="宋体" w:cs="宋体"/>
          <w:color w:val="auto"/>
          <w:highlight w:val="none"/>
        </w:rPr>
      </w:pPr>
      <w:r>
        <w:rPr>
          <w:rFonts w:hint="eastAsia" w:ascii="宋体" w:hAnsi="宋体" w:cs="宋体"/>
          <w:color w:val="auto"/>
          <w:sz w:val="24"/>
          <w:highlight w:val="none"/>
        </w:rPr>
        <w:t xml:space="preserve">    1、采购人或采购代理机构可以根据项目的特点和需要，在文件中对要求作为响应文件组成部分的其他内容进行具体规定或附表格式，供应商应按照文件要求提供相关承诺及材料，并加盖供应商单位公章。</w:t>
      </w:r>
    </w:p>
    <w:p w14:paraId="34CB095B">
      <w:pPr>
        <w:spacing w:line="440" w:lineRule="exact"/>
        <w:rPr>
          <w:rFonts w:ascii="宋体" w:hAnsi="宋体" w:cs="宋体"/>
          <w:color w:val="auto"/>
          <w:sz w:val="24"/>
          <w:highlight w:val="none"/>
        </w:rPr>
      </w:pPr>
      <w:r>
        <w:rPr>
          <w:rFonts w:hint="eastAsia" w:ascii="宋体" w:hAnsi="宋体" w:cs="宋体"/>
          <w:color w:val="auto"/>
          <w:sz w:val="24"/>
          <w:highlight w:val="none"/>
        </w:rPr>
        <w:t>2、供应商根据自身实际情况编写有关资料包括如供应商单位简介、询价文件要求或供应商自己认为体现自身优势，需要补充说明的其它资料，格式自拟。</w:t>
      </w:r>
    </w:p>
    <w:p w14:paraId="2A17B95B">
      <w:pPr>
        <w:rPr>
          <w:rFonts w:ascii="宋体" w:hAnsi="宋体" w:cs="宋体"/>
          <w:color w:val="auto"/>
          <w:highlight w:val="none"/>
        </w:rPr>
      </w:pPr>
    </w:p>
    <w:p w14:paraId="5C23C16D">
      <w:pPr>
        <w:spacing w:line="440" w:lineRule="exact"/>
        <w:rPr>
          <w:rFonts w:ascii="宋体" w:hAnsi="宋体" w:cs="宋体"/>
          <w:color w:val="auto"/>
          <w:sz w:val="24"/>
          <w:highlight w:val="none"/>
          <w:u w:val="single"/>
        </w:rPr>
      </w:pPr>
      <w:r>
        <w:rPr>
          <w:rFonts w:hint="eastAsia" w:ascii="宋体" w:hAnsi="宋体" w:cs="宋体"/>
          <w:color w:val="auto"/>
          <w:sz w:val="24"/>
          <w:highlight w:val="none"/>
        </w:rPr>
        <w:t>供应商代表：</w:t>
      </w:r>
      <w:r>
        <w:rPr>
          <w:rFonts w:hint="eastAsia" w:ascii="宋体" w:hAnsi="宋体" w:cs="宋体"/>
          <w:color w:val="auto"/>
          <w:sz w:val="24"/>
          <w:highlight w:val="none"/>
          <w:u w:val="single"/>
        </w:rPr>
        <w:t xml:space="preserve"> （签字）</w:t>
      </w:r>
    </w:p>
    <w:p w14:paraId="47A2A644">
      <w:pPr>
        <w:spacing w:line="440" w:lineRule="exact"/>
        <w:rPr>
          <w:rFonts w:ascii="宋体" w:hAnsi="宋体" w:cs="宋体"/>
          <w:color w:val="auto"/>
          <w:sz w:val="24"/>
          <w:highlight w:val="none"/>
          <w:u w:val="singl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（全称并加盖公章）              </w:t>
      </w:r>
    </w:p>
    <w:p w14:paraId="176FE217">
      <w:pPr>
        <w:spacing w:line="440" w:lineRule="exact"/>
        <w:rPr>
          <w:rFonts w:ascii="宋体" w:hAnsi="宋体" w:cs="宋体"/>
          <w:color w:val="auto"/>
          <w:sz w:val="24"/>
          <w:highlight w:val="none"/>
        </w:rPr>
      </w:pPr>
      <w:r>
        <w:rPr>
          <w:rFonts w:hint="eastAsia" w:ascii="宋体" w:hAnsi="宋体" w:cs="宋体"/>
          <w:color w:val="auto"/>
          <w:sz w:val="24"/>
          <w:highlight w:val="none"/>
        </w:rPr>
        <w:t>日  期： 年 月 日</w:t>
      </w:r>
    </w:p>
    <w:p w14:paraId="293D41CD">
      <w:pPr>
        <w:spacing w:line="0" w:lineRule="atLeast"/>
        <w:rPr>
          <w:rFonts w:ascii="宋体" w:hAnsi="宋体" w:cs="宋体"/>
          <w:color w:val="auto"/>
          <w:sz w:val="24"/>
          <w:highlight w:val="none"/>
        </w:rPr>
      </w:pPr>
    </w:p>
    <w:p w14:paraId="7961656E">
      <w:pPr>
        <w:rPr>
          <w:rFonts w:ascii="宋体" w:hAnsi="宋体" w:cs="宋体"/>
          <w:color w:val="auto"/>
          <w:highlight w:val="none"/>
        </w:rPr>
      </w:pPr>
    </w:p>
    <w:p w14:paraId="2BE3BBDE">
      <w:pPr>
        <w:rPr>
          <w:rFonts w:ascii="宋体" w:hAnsi="宋体" w:cs="宋体"/>
          <w:b/>
          <w:color w:val="auto"/>
          <w:sz w:val="24"/>
          <w:highlight w:val="none"/>
        </w:rPr>
      </w:pPr>
      <w:r>
        <w:rPr>
          <w:rFonts w:hint="eastAsia" w:ascii="宋体" w:hAnsi="宋体" w:cs="宋体"/>
          <w:b/>
          <w:color w:val="auto"/>
          <w:sz w:val="24"/>
          <w:highlight w:val="none"/>
        </w:rPr>
        <w:t>询价文件相关附件</w:t>
      </w:r>
    </w:p>
    <w:p w14:paraId="0BC25AC3">
      <w:pPr>
        <w:spacing w:line="720" w:lineRule="auto"/>
        <w:rPr>
          <w:rFonts w:ascii="宋体" w:hAnsi="宋体" w:cs="宋体"/>
          <w:color w:val="auto"/>
          <w:sz w:val="24"/>
          <w:highlight w:val="none"/>
        </w:rPr>
      </w:pPr>
    </w:p>
    <w:p w14:paraId="4007B317">
      <w:pPr>
        <w:spacing w:line="720" w:lineRule="auto"/>
        <w:rPr>
          <w:rFonts w:ascii="宋体" w:hAnsi="宋体" w:cs="宋体"/>
          <w:color w:val="auto"/>
          <w:sz w:val="24"/>
          <w:highlight w:val="none"/>
        </w:rPr>
      </w:pPr>
    </w:p>
    <w:p w14:paraId="3D585494">
      <w:pPr>
        <w:spacing w:line="720" w:lineRule="auto"/>
        <w:rPr>
          <w:rFonts w:ascii="宋体" w:hAnsi="宋体" w:cs="宋体"/>
          <w:color w:val="auto"/>
          <w:sz w:val="24"/>
          <w:highlight w:val="none"/>
        </w:rPr>
      </w:pPr>
    </w:p>
    <w:p w14:paraId="1945A48E">
      <w:pPr>
        <w:spacing w:line="720" w:lineRule="auto"/>
        <w:rPr>
          <w:rFonts w:ascii="宋体" w:hAnsi="宋体" w:cs="宋体"/>
          <w:color w:val="auto"/>
          <w:sz w:val="24"/>
          <w:highlight w:val="none"/>
        </w:rPr>
      </w:pPr>
    </w:p>
    <w:p w14:paraId="5EB01E59">
      <w:pPr>
        <w:spacing w:line="720" w:lineRule="auto"/>
        <w:rPr>
          <w:rFonts w:ascii="宋体" w:hAnsi="宋体" w:cs="宋体"/>
          <w:color w:val="auto"/>
          <w:sz w:val="24"/>
          <w:highlight w:val="none"/>
        </w:rPr>
      </w:pPr>
    </w:p>
    <w:p w14:paraId="078429B8">
      <w:pPr>
        <w:spacing w:line="720" w:lineRule="auto"/>
        <w:rPr>
          <w:rFonts w:ascii="宋体" w:hAnsi="宋体" w:cs="宋体"/>
          <w:color w:val="auto"/>
          <w:sz w:val="24"/>
          <w:highlight w:val="none"/>
        </w:rPr>
      </w:pPr>
    </w:p>
    <w:p w14:paraId="56552867">
      <w:pPr>
        <w:spacing w:line="440" w:lineRule="exact"/>
        <w:rPr>
          <w:rFonts w:ascii="宋体" w:hAnsi="宋体" w:cs="宋体"/>
          <w:color w:val="auto"/>
          <w:sz w:val="24"/>
          <w:highlight w:val="none"/>
        </w:rPr>
      </w:pPr>
    </w:p>
    <w:sectPr>
      <w:footerReference r:id="rId12" w:type="default"/>
      <w:pgSz w:w="11906" w:h="16838"/>
      <w:pgMar w:top="1440" w:right="1083" w:bottom="1440" w:left="1083" w:header="851" w:footer="992" w:gutter="0"/>
      <w:cols w:space="0" w:num="1"/>
      <w:docGrid w:type="lines" w:linePitch="39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_GB2312">
    <w:altName w:val="Times New Roman"/>
    <w:panose1 w:val="00000000000000000000"/>
    <w:charset w:val="00"/>
    <w:family w:val="auto"/>
    <w:pitch w:val="default"/>
    <w:sig w:usb0="00000000" w:usb1="00000000" w:usb2="00000000" w:usb3="00000000" w:csb0="00040001" w:csb1="00000000"/>
  </w:font>
  <w:font w:name="Calibri Light">
    <w:panose1 w:val="020F0302020204030204"/>
    <w:charset w:val="00"/>
    <w:family w:val="swiss"/>
    <w:pitch w:val="default"/>
    <w:sig w:usb0="E4002EFF" w:usb1="C200247B" w:usb2="00000009" w:usb3="00000000" w:csb0="200001FF" w:csb1="00000000"/>
  </w:font>
  <w:font w:name="Verdana">
    <w:panose1 w:val="020B0604030504040204"/>
    <w:charset w:val="00"/>
    <w:family w:val="auto"/>
    <w:pitch w:val="default"/>
    <w:sig w:usb0="A00006FF" w:usb1="4000205B" w:usb2="00000010" w:usb3="00000000" w:csb0="2000019F" w:csb1="00000000"/>
  </w:font>
  <w:font w:name="仿宋_GB2312">
    <w:panose1 w:val="02010609030101010101"/>
    <w:charset w:val="86"/>
    <w:family w:val="auto"/>
    <w:pitch w:val="default"/>
    <w:sig w:usb0="00000001" w:usb1="080E0000" w:usb2="00000000" w:usb3="00000000" w:csb0="00040000" w:csb1="00000000"/>
  </w:font>
  <w:font w:name="Arial Narrow">
    <w:panose1 w:val="020B0606020202030204"/>
    <w:charset w:val="00"/>
    <w:family w:val="auto"/>
    <w:pitch w:val="default"/>
    <w:sig w:usb0="00000287" w:usb1="00000800" w:usb2="00000000" w:usb3="00000000" w:csb0="2000009F" w:csb1="DFD70000"/>
  </w:font>
  <w:font w:name="方正大黑简体">
    <w:altName w:val="黑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Franklin Gothic Book">
    <w:panose1 w:val="020B0503020102020204"/>
    <w:charset w:val="00"/>
    <w:family w:val="auto"/>
    <w:pitch w:val="default"/>
    <w:sig w:usb0="00000287" w:usb1="00000000" w:usb2="00000000" w:usb3="00000000" w:csb0="2000009F" w:csb1="DFD70000"/>
  </w:font>
  <w:font w:name="Book Antiqua">
    <w:panose1 w:val="02040602050305030304"/>
    <w:charset w:val="00"/>
    <w:family w:val="auto"/>
    <w:pitch w:val="default"/>
    <w:sig w:usb0="00000287" w:usb1="00000000" w:usb2="00000000" w:usb3="00000000" w:csb0="2000009F" w:csb1="DFD7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2F3076">
    <w:pPr>
      <w:ind w:right="-2"/>
      <w:jc w:val="center"/>
      <w:rPr>
        <w:rFonts w:ascii="宋体" w:hAnsi="宋体"/>
        <w:bCs/>
      </w:rPr>
    </w:pPr>
    <w:r>
      <w:rPr>
        <w:rFonts w:ascii="Times New Roman" w:hAnsi="Times New Roman" w:eastAsia="宋体" w:cs="Times New Roman"/>
        <w:kern w:val="2"/>
        <w:sz w:val="21"/>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F1F7E9D">
                          <w:pPr>
                            <w:pStyle w:val="25"/>
                          </w:pPr>
                          <w:r>
                            <w:t xml:space="preserve">第 </w:t>
                          </w:r>
                          <w:r>
                            <w:fldChar w:fldCharType="begin"/>
                          </w:r>
                          <w:r>
                            <w:instrText xml:space="preserve"> PAGE  \* MERGEFORMAT </w:instrText>
                          </w:r>
                          <w:r>
                            <w:fldChar w:fldCharType="separate"/>
                          </w:r>
                          <w:r>
                            <w:t>20</w:t>
                          </w:r>
                          <w:r>
                            <w:fldChar w:fldCharType="end"/>
                          </w:r>
                          <w:r>
                            <w:t xml:space="preserve"> 页 共 </w:t>
                          </w:r>
                          <w:r>
                            <w:fldChar w:fldCharType="begin"/>
                          </w:r>
                          <w:r>
                            <w:instrText xml:space="preserve"> NUMPAGES  \* MERGEFORMAT </w:instrText>
                          </w:r>
                          <w:r>
                            <w:fldChar w:fldCharType="separate"/>
                          </w:r>
                          <w:r>
                            <w:t>65</w:t>
                          </w:r>
                          <w:r>
                            <w:fldChar w:fldCharType="end"/>
                          </w:r>
                          <w:r>
                            <w:t xml:space="preserve"> 页</w:t>
                          </w: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4yo2MsBAACcAwAADgAAAGRycy9lMm9Eb2MueG1srVPNjtMwEL4j8Q6W&#10;79RpD6sqarraVbUICQHSwgO4jt1Y8p88bpO+ALwBJy7cea4+B2Mn6cJy2QOXZDwz+eb7Pk82t4M1&#10;5CQjaO8aulxUlEgnfKvdoaFfPj+8WVMCibuWG+9kQ88S6O329atNH2q58p03rYwEQRzUfWhol1Ko&#10;GQPRScth4YN0WFQ+Wp7wGA+sjbxHdGvYqqpuWO9jG6IXEgCzu7FIJ8T4EkCvlBZy58XRSpdG1CgN&#10;TygJOh2AbgtbpaRIH5UCmYhpKCpN5YlDMN7nJ9tueH2IPHRaTBT4Syg802S5djj0CrXjiZNj1P9A&#10;WS2iB6/SQnjLRiHFEVSxrJ5589jxIIsWtBrC1XT4f7Diw+lTJLrFTaDEcYsXfvn+7fLj1+XnV7Ks&#10;VjfZoT5AjY2PAVvTcO+H3D3lAZNZ+KCizW+URLCO/p6v/sohEZE/Wq/W6wpLAmvzAXHY0+chQnor&#10;vSU5aGjECyy+8tN7SGPr3JKnOf+gjcE8r437K4GYOcMy95FjjtKwHybie9+eUU+Pd99Qh6tOiXnn&#10;0Nq8JnMQ52A/B8cQ9aFDasvCC8LdMSGJwi1PGGGnwXhpRd20YHkr/jyXrqefavs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eMqNjLAQAAnAMAAA4AAAAAAAAAAQAgAAAAHgEAAGRycy9lMm9E&#10;b2MueG1sUEsFBgAAAAAGAAYAWQEAAFsFAAAAAA==&#10;">
              <v:fill on="f" focussize="0,0"/>
              <v:stroke on="f"/>
              <v:imagedata o:title=""/>
              <o:lock v:ext="edit" aspectratio="f"/>
              <v:textbox inset="0mm,0mm,0mm,0mm" style="mso-fit-shape-to-text:t;">
                <w:txbxContent>
                  <w:p w14:paraId="3F1F7E9D">
                    <w:pPr>
                      <w:pStyle w:val="25"/>
                    </w:pPr>
                    <w:r>
                      <w:t xml:space="preserve">第 </w:t>
                    </w:r>
                    <w:r>
                      <w:fldChar w:fldCharType="begin"/>
                    </w:r>
                    <w:r>
                      <w:instrText xml:space="preserve"> PAGE  \* MERGEFORMAT </w:instrText>
                    </w:r>
                    <w:r>
                      <w:fldChar w:fldCharType="separate"/>
                    </w:r>
                    <w:r>
                      <w:t>20</w:t>
                    </w:r>
                    <w:r>
                      <w:fldChar w:fldCharType="end"/>
                    </w:r>
                    <w:r>
                      <w:t xml:space="preserve"> 页 共 </w:t>
                    </w:r>
                    <w:r>
                      <w:fldChar w:fldCharType="begin"/>
                    </w:r>
                    <w:r>
                      <w:instrText xml:space="preserve"> NUMPAGES  \* MERGEFORMAT </w:instrText>
                    </w:r>
                    <w:r>
                      <w:fldChar w:fldCharType="separate"/>
                    </w:r>
                    <w:r>
                      <w:t>65</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DFCB3B">
    <w:pPr>
      <w:ind w:right="-2"/>
      <w:jc w:val="center"/>
      <w:rPr>
        <w:rFonts w:ascii="宋体" w:hAnsi="宋体"/>
        <w:bCs/>
      </w:rPr>
    </w:pPr>
    <w:r>
      <w:rPr>
        <w:rFonts w:ascii="Times New Roman" w:hAnsi="Times New Roman" w:eastAsia="宋体" w:cs="Times New Roman"/>
        <w:kern w:val="2"/>
        <w:sz w:val="21"/>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F590249">
                          <w:pPr>
                            <w:pStyle w:val="2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65</w:t>
                          </w:r>
                          <w:r>
                            <w:fldChar w:fldCharType="end"/>
                          </w:r>
                          <w:r>
                            <w:t xml:space="preserve"> 页</w:t>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Jx02MwBAACcAwAADgAAAGRycy9lMm9Eb2MueG1srVNLbtswEN0XyB0I&#10;7mPKAloYguUggZEiQNAWSHsAmqIsAvyBQ1vyBdobdNVN9z2Xz9EhJTltusmiG2o4M3zz3sxofTMY&#10;TY4ygHK2pstFQYm0wjXK7mv65fP99YoSiNw2XDsra3qSQG82V2/Wva9k6TqnGxkIglioel/TLkZf&#10;MQaik4bDwnlpMdi6YHjEa9izJvAe0Y1mZVG8Y70LjQ9OSAD0bscgnRDDawBd2yoht04cjLRxRA1S&#10;84iSoFMe6CazbVsp4se2BRmJrikqjfnEImjv0sk2a17tA/edEhMF/hoKLzQZriwWvUBteeTkENQ/&#10;UEaJ4MC1cSGcYaOQ3BFUsSxe9Oap415mLdhq8Jemw/+DFR+OnwJRTU1LSiw3OPDz92/nH7/OP7+S&#10;ZVG+TR3qPVSY+OQxNQ53bsC9mf2AziR8aINJX5REMI79PV36K4dIRHq0KlerAkMCY/MF8dnzcx8g&#10;vpfOkGTUNOAAc1/58RHimDqnpGrW3Sut8xC1/cuBmMnDEveRY7LisBsmQTvXnFBPj7OvqcVVp0Q/&#10;WGxtWpPZCLOxm42DD2rfIbVl5gX+9hCRROaWKoywU2EcWlY3LVjaij/vOev5p9r8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onHTYzAEAAJwDAAAOAAAAAAAAAAEAIAAAAB4BAABkcnMvZTJv&#10;RG9jLnhtbFBLBQYAAAAABgAGAFkBAABcBQAAAAA=&#10;">
              <v:fill on="f" focussize="0,0"/>
              <v:stroke on="f"/>
              <v:imagedata o:title=""/>
              <o:lock v:ext="edit" aspectratio="f"/>
              <v:textbox inset="0mm,0mm,0mm,0mm" style="mso-fit-shape-to-text:t;">
                <w:txbxContent>
                  <w:p w14:paraId="3F590249">
                    <w:pPr>
                      <w:pStyle w:val="2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65</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CDD58A">
    <w:pPr>
      <w:pStyle w:val="25"/>
      <w:framePr w:wrap="around" w:vAnchor="text" w:hAnchor="margin" w:xAlign="right" w:y="1"/>
      <w:rPr>
        <w:rStyle w:val="46"/>
      </w:rPr>
    </w:pPr>
  </w:p>
  <w:p w14:paraId="727CD8EA">
    <w:pPr>
      <w:pStyle w:val="25"/>
      <w:ind w:right="360"/>
      <w:jc w:val="center"/>
      <w:rPr>
        <w:rFonts w:ascii="楷体_GB2312" w:eastAsia="楷体_GB2312"/>
      </w:rPr>
    </w:pPr>
    <w:r>
      <w:rPr>
        <w:rFonts w:hint="eastAsia" w:ascii="楷体_GB2312" w:eastAsia="楷体_GB2312"/>
        <w:kern w:val="0"/>
        <w:szCs w:val="21"/>
      </w:rPr>
      <w:t>第</w:t>
    </w:r>
    <w:r>
      <w:rPr>
        <w:rFonts w:hint="eastAsia" w:ascii="楷体_GB2312" w:eastAsia="楷体_GB2312"/>
        <w:kern w:val="0"/>
        <w:szCs w:val="21"/>
      </w:rPr>
      <w:fldChar w:fldCharType="begin"/>
    </w:r>
    <w:r>
      <w:rPr>
        <w:rFonts w:hint="eastAsia" w:ascii="楷体_GB2312" w:eastAsia="楷体_GB2312"/>
        <w:kern w:val="0"/>
        <w:szCs w:val="21"/>
      </w:rPr>
      <w:instrText xml:space="preserve"> PAGE </w:instrText>
    </w:r>
    <w:r>
      <w:rPr>
        <w:rFonts w:hint="eastAsia" w:ascii="楷体_GB2312" w:eastAsia="楷体_GB2312"/>
        <w:kern w:val="0"/>
        <w:szCs w:val="21"/>
      </w:rPr>
      <w:fldChar w:fldCharType="separate"/>
    </w:r>
    <w:r>
      <w:rPr>
        <w:rFonts w:ascii="楷体_GB2312" w:eastAsia="楷体_GB2312"/>
        <w:kern w:val="0"/>
        <w:szCs w:val="21"/>
      </w:rPr>
      <w:t>6</w:t>
    </w:r>
    <w:r>
      <w:rPr>
        <w:rFonts w:hint="eastAsia" w:ascii="楷体_GB2312" w:eastAsia="楷体_GB2312"/>
        <w:kern w:val="0"/>
        <w:szCs w:val="21"/>
      </w:rPr>
      <w:fldChar w:fldCharType="end"/>
    </w:r>
    <w:r>
      <w:rPr>
        <w:rFonts w:hint="eastAsia" w:ascii="楷体_GB2312" w:eastAsia="楷体_GB2312"/>
        <w:kern w:val="0"/>
        <w:szCs w:val="21"/>
      </w:rPr>
      <w:t>页共</w:t>
    </w:r>
    <w:r>
      <w:rPr>
        <w:rFonts w:hint="eastAsia" w:ascii="楷体_GB2312" w:eastAsia="楷体_GB2312"/>
        <w:kern w:val="0"/>
        <w:szCs w:val="21"/>
      </w:rPr>
      <w:fldChar w:fldCharType="begin"/>
    </w:r>
    <w:r>
      <w:rPr>
        <w:rFonts w:hint="eastAsia" w:ascii="楷体_GB2312" w:eastAsia="楷体_GB2312"/>
        <w:kern w:val="0"/>
        <w:szCs w:val="21"/>
      </w:rPr>
      <w:instrText xml:space="preserve"> NUMPAGES </w:instrText>
    </w:r>
    <w:r>
      <w:rPr>
        <w:rFonts w:hint="eastAsia" w:ascii="楷体_GB2312" w:eastAsia="楷体_GB2312"/>
        <w:kern w:val="0"/>
        <w:szCs w:val="21"/>
      </w:rPr>
      <w:fldChar w:fldCharType="separate"/>
    </w:r>
    <w:r>
      <w:rPr>
        <w:rFonts w:ascii="楷体_GB2312" w:eastAsia="楷体_GB2312"/>
        <w:kern w:val="0"/>
        <w:szCs w:val="21"/>
      </w:rPr>
      <w:t>13</w:t>
    </w:r>
    <w:r>
      <w:rPr>
        <w:rFonts w:hint="eastAsia" w:ascii="楷体_GB2312" w:eastAsia="楷体_GB2312"/>
        <w:kern w:val="0"/>
        <w:szCs w:val="21"/>
      </w:rPr>
      <w:fldChar w:fldCharType="end"/>
    </w:r>
    <w:r>
      <w:rPr>
        <w:rFonts w:hint="eastAsia" w:ascii="楷体_GB2312" w:eastAsia="楷体_GB2312"/>
        <w:kern w:val="0"/>
        <w:szCs w:val="21"/>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13C819">
    <w:pPr>
      <w:pStyle w:val="25"/>
      <w:framePr w:wrap="around" w:vAnchor="text" w:hAnchor="margin" w:xAlign="right" w:y="1"/>
      <w:rPr>
        <w:rStyle w:val="46"/>
      </w:rPr>
    </w:pPr>
    <w:r>
      <w:fldChar w:fldCharType="begin"/>
    </w:r>
    <w:r>
      <w:rPr>
        <w:rStyle w:val="46"/>
      </w:rPr>
      <w:instrText xml:space="preserve">PAGE  </w:instrText>
    </w:r>
    <w:r>
      <w:fldChar w:fldCharType="separate"/>
    </w:r>
    <w:r>
      <w:rPr>
        <w:rStyle w:val="46"/>
      </w:rPr>
      <w:t>9</w:t>
    </w:r>
    <w:r>
      <w:fldChar w:fldCharType="end"/>
    </w:r>
  </w:p>
  <w:p w14:paraId="19C3D439">
    <w:pPr>
      <w:pStyle w:val="25"/>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2EFE14">
    <w:pPr>
      <w:ind w:right="-2"/>
      <w:jc w:val="center"/>
      <w:rPr>
        <w:rFonts w:ascii="宋体" w:hAnsi="宋体"/>
        <w:bCs/>
      </w:rPr>
    </w:pPr>
    <w:r>
      <w:rPr>
        <w:rFonts w:ascii="Times New Roman" w:hAnsi="Times New Roman" w:eastAsia="宋体" w:cs="Times New Roman"/>
        <w:kern w:val="2"/>
        <w:sz w:val="21"/>
        <w:lang w:val="en-US" w:eastAsia="zh-CN"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A70791C">
                          <w:pPr>
                            <w:pStyle w:val="25"/>
                          </w:pPr>
                          <w:r>
                            <w:t xml:space="preserve">第 </w:t>
                          </w:r>
                          <w:r>
                            <w:fldChar w:fldCharType="begin"/>
                          </w:r>
                          <w:r>
                            <w:instrText xml:space="preserve"> PAGE  \* MERGEFORMAT </w:instrText>
                          </w:r>
                          <w:r>
                            <w:fldChar w:fldCharType="separate"/>
                          </w:r>
                          <w:r>
                            <w:t>21</w:t>
                          </w:r>
                          <w:r>
                            <w:fldChar w:fldCharType="end"/>
                          </w:r>
                          <w:r>
                            <w:t xml:space="preserve"> 页 共 </w:t>
                          </w:r>
                          <w:r>
                            <w:fldChar w:fldCharType="begin"/>
                          </w:r>
                          <w:r>
                            <w:instrText xml:space="preserve"> NUMPAGES  \* MERGEFORMAT </w:instrText>
                          </w:r>
                          <w:r>
                            <w:fldChar w:fldCharType="separate"/>
                          </w:r>
                          <w:r>
                            <w:t>65</w:t>
                          </w:r>
                          <w:r>
                            <w:fldChar w:fldCharType="end"/>
                          </w:r>
                          <w:r>
                            <w:t xml:space="preserve"> 页</w:t>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V4aQ8sBAACcAwAADgAAAGRycy9lMm9Eb2MueG1srVPNjtMwEL4j8Q6W&#10;79RpkaCK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cNfUmJ4xYHfvn+7fLj1+XnV7Ks&#10;Vq9zh/oANSbeBUxNw1s/4N7MfkBnFj6oaPMXJRGMY3/P1/7KIRGRH61X63WFIYGx+YL47OF5iJDe&#10;SW9JNhoacYClr/z0AdKYOqfkas7famPKEI37y4GY2cMy95FjttKwHyZBe9+eUU+Ps2+ow1WnxLx3&#10;2Nq8JrMRZ2M/G8cQ9aFDasvCC8KbY0IShVuuMMJOhXFoRd20YHkr/ryXrIefavs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GFeGkPLAQAAnAMAAA4AAAAAAAAAAQAgAAAAHgEAAGRycy9lMm9E&#10;b2MueG1sUEsFBgAAAAAGAAYAWQEAAFsFAAAAAA==&#10;">
              <v:fill on="f" focussize="0,0"/>
              <v:stroke on="f"/>
              <v:imagedata o:title=""/>
              <o:lock v:ext="edit" aspectratio="f"/>
              <v:textbox inset="0mm,0mm,0mm,0mm" style="mso-fit-shape-to-text:t;">
                <w:txbxContent>
                  <w:p w14:paraId="0A70791C">
                    <w:pPr>
                      <w:pStyle w:val="25"/>
                    </w:pPr>
                    <w:r>
                      <w:t xml:space="preserve">第 </w:t>
                    </w:r>
                    <w:r>
                      <w:fldChar w:fldCharType="begin"/>
                    </w:r>
                    <w:r>
                      <w:instrText xml:space="preserve"> PAGE  \* MERGEFORMAT </w:instrText>
                    </w:r>
                    <w:r>
                      <w:fldChar w:fldCharType="separate"/>
                    </w:r>
                    <w:r>
                      <w:t>21</w:t>
                    </w:r>
                    <w:r>
                      <w:fldChar w:fldCharType="end"/>
                    </w:r>
                    <w:r>
                      <w:t xml:space="preserve"> 页 共 </w:t>
                    </w:r>
                    <w:r>
                      <w:fldChar w:fldCharType="begin"/>
                    </w:r>
                    <w:r>
                      <w:instrText xml:space="preserve"> NUMPAGES  \* MERGEFORMAT </w:instrText>
                    </w:r>
                    <w:r>
                      <w:fldChar w:fldCharType="separate"/>
                    </w:r>
                    <w:r>
                      <w:t>65</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1B9CAA">
    <w:pPr>
      <w:pStyle w:val="25"/>
      <w:ind w:right="360" w:firstLine="360"/>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6642584">
                          <w:pPr>
                            <w:pStyle w:val="25"/>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65</w:t>
                          </w:r>
                          <w:r>
                            <w:fldChar w:fldCharType="end"/>
                          </w:r>
                          <w:r>
                            <w:t xml:space="preserve"> 页</w:t>
                          </w:r>
                        </w:p>
                      </w:txbxContent>
                    </wps:txbx>
                    <wps:bodyPr wrap="none" lIns="0" tIns="0" rIns="0" bIns="0" upright="1">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VujLswBAACcAwAADgAAAGRycy9lMm9Eb2MueG1srVNLbtswEN0XyB0I&#10;7mPKRlEIguUggZEiQNAWSHsAmqIsAvyBQ1vyBdobdNVN9z2Xz9EhJTltusmiG2o4M3zz3sxofTMY&#10;TY4ygHK2pstFQYm0wjXK7mv65fP9dUkJRG4brp2VNT1JoDebqzfr3ldy5TqnGxkIglioel/TLkZf&#10;MQaik4bDwnlpMdi6YHjEa9izJvAe0Y1mq6J4x3oXGh+ckADo3Y5BOiGG1wC6tlVCbp04GGnjiBqk&#10;5hElQac80E1m27ZSxI9tCzISXVNUGvOJRdDepZNt1rzaB+47JSYK/DUUXmgyXFkseoHa8sjJIah/&#10;oIwSwYFr40I4w0YhuSOoYlm86M1Tx73MWrDV4C9Nh/8HKz4cPwWimpq+pcRygwM/f/92/vHr/PMr&#10;WRarMnWo91Bh4pPH1DjcuQH3ZvYDOpPwoQ0mfVESwTj293TprxwiEelRuSrLAkMCY/MF8dnzcx8g&#10;vpfOkGTUNOAAc1/58RHimDqnpGrW3Sut8xC1/cuBmMnDEveRY7LisBsmQTvXnFBPj7OvqcVVp0Q/&#10;WGxtWpPZCLOxm42DD2rfIbVl5gX+9hCRROaWKoywU2EcWlY3LVjaij/vOev5p9r8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dW6MuzAEAAJwDAAAOAAAAAAAAAAEAIAAAAB4BAABkcnMvZTJv&#10;RG9jLnhtbFBLBQYAAAAABgAGAFkBAABcBQAAAAA=&#10;">
              <v:fill on="f" focussize="0,0"/>
              <v:stroke on="f"/>
              <v:imagedata o:title=""/>
              <o:lock v:ext="edit" aspectratio="f"/>
              <v:textbox inset="0mm,0mm,0mm,0mm" style="mso-fit-shape-to-text:t;">
                <w:txbxContent>
                  <w:p w14:paraId="56642584">
                    <w:pPr>
                      <w:pStyle w:val="25"/>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65</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B72A45">
    <w:pPr>
      <w:pStyle w:val="26"/>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523749">
    <w:pPr>
      <w:pStyle w:val="26"/>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5AAEC3">
    <w:pPr>
      <w:spacing w:line="460" w:lineRule="exact"/>
      <w:jc w:val="right"/>
      <w:rPr>
        <w:rFonts w:ascii="楷体_GB2312" w:eastAsia="楷体_GB2312"/>
        <w:b/>
        <w:color w:val="000000"/>
        <w:szCs w:val="21"/>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AED3AE">
    <w:pPr>
      <w:pStyle w:val="26"/>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C2C02C"/>
    <w:multiLevelType w:val="singleLevel"/>
    <w:tmpl w:val="93C2C02C"/>
    <w:lvl w:ilvl="0" w:tentative="0">
      <w:start w:val="1"/>
      <w:numFmt w:val="chineseCounting"/>
      <w:suff w:val="nothing"/>
      <w:lvlText w:val="（%1）"/>
      <w:lvlJc w:val="left"/>
      <w:rPr>
        <w:rFonts w:hint="eastAsia"/>
        <w:color w:val="auto"/>
        <w:sz w:val="24"/>
        <w:szCs w:val="24"/>
      </w:rPr>
    </w:lvl>
  </w:abstractNum>
  <w:abstractNum w:abstractNumId="1">
    <w:nsid w:val="BD1CC336"/>
    <w:multiLevelType w:val="singleLevel"/>
    <w:tmpl w:val="BD1CC336"/>
    <w:lvl w:ilvl="0" w:tentative="0">
      <w:start w:val="2"/>
      <w:numFmt w:val="chineseCounting"/>
      <w:suff w:val="nothing"/>
      <w:lvlText w:val="（%1）"/>
      <w:lvlJc w:val="left"/>
      <w:rPr>
        <w:rFonts w:hint="eastAsia"/>
      </w:rPr>
    </w:lvl>
  </w:abstractNum>
  <w:abstractNum w:abstractNumId="2">
    <w:nsid w:val="BF680074"/>
    <w:multiLevelType w:val="singleLevel"/>
    <w:tmpl w:val="BF680074"/>
    <w:lvl w:ilvl="0" w:tentative="0">
      <w:start w:val="1"/>
      <w:numFmt w:val="chineseCounting"/>
      <w:suff w:val="nothing"/>
      <w:lvlText w:val="（%1）"/>
      <w:lvlJc w:val="left"/>
      <w:rPr>
        <w:rFonts w:hint="eastAsia"/>
      </w:rPr>
    </w:lvl>
  </w:abstractNum>
  <w:abstractNum w:abstractNumId="3">
    <w:nsid w:val="D4BC92D1"/>
    <w:multiLevelType w:val="singleLevel"/>
    <w:tmpl w:val="D4BC92D1"/>
    <w:lvl w:ilvl="0" w:tentative="0">
      <w:start w:val="2"/>
      <w:numFmt w:val="decimal"/>
      <w:suff w:val="nothing"/>
      <w:lvlText w:val="（%1）"/>
      <w:lvlJc w:val="left"/>
    </w:lvl>
  </w:abstractNum>
  <w:abstractNum w:abstractNumId="4">
    <w:nsid w:val="DFA38EFC"/>
    <w:multiLevelType w:val="singleLevel"/>
    <w:tmpl w:val="DFA38EFC"/>
    <w:lvl w:ilvl="0" w:tentative="0">
      <w:start w:val="1"/>
      <w:numFmt w:val="decimal"/>
      <w:suff w:val="nothing"/>
      <w:lvlText w:val="%1、"/>
      <w:lvlJc w:val="left"/>
    </w:lvl>
  </w:abstractNum>
  <w:abstractNum w:abstractNumId="5">
    <w:nsid w:val="E68483B2"/>
    <w:multiLevelType w:val="multilevel"/>
    <w:tmpl w:val="E68483B2"/>
    <w:lvl w:ilvl="0" w:tentative="0">
      <w:start w:val="1"/>
      <w:numFmt w:val="decimal"/>
      <w:suff w:val="space"/>
      <w:lvlText w:val="%1"/>
      <w:lvlJc w:val="left"/>
      <w:pPr>
        <w:ind w:left="902" w:hanging="420"/>
      </w:pPr>
      <w:rPr>
        <w:rFonts w:hint="eastAsia"/>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6">
    <w:nsid w:val="FF7F3733"/>
    <w:multiLevelType w:val="singleLevel"/>
    <w:tmpl w:val="FF7F3733"/>
    <w:lvl w:ilvl="0" w:tentative="0">
      <w:start w:val="13"/>
      <w:numFmt w:val="chineseCounting"/>
      <w:suff w:val="nothing"/>
      <w:lvlText w:val="%1、"/>
      <w:lvlJc w:val="left"/>
      <w:rPr>
        <w:rFonts w:hint="eastAsia"/>
      </w:rPr>
    </w:lvl>
  </w:abstractNum>
  <w:abstractNum w:abstractNumId="7">
    <w:nsid w:val="00000007"/>
    <w:multiLevelType w:val="multilevel"/>
    <w:tmpl w:val="00000007"/>
    <w:lvl w:ilvl="0" w:tentative="0">
      <w:start w:val="1"/>
      <w:numFmt w:val="decimal"/>
      <w:lvlText w:val="%1"/>
      <w:lvlJc w:val="left"/>
      <w:pPr>
        <w:tabs>
          <w:tab w:val="left" w:pos="425"/>
        </w:tabs>
        <w:ind w:left="425" w:hanging="425"/>
      </w:pPr>
    </w:lvl>
    <w:lvl w:ilvl="1" w:tentative="0">
      <w:start w:val="1"/>
      <w:numFmt w:val="decimal"/>
      <w:lvlText w:val="%1.%2"/>
      <w:lvlJc w:val="left"/>
      <w:pPr>
        <w:tabs>
          <w:tab w:val="left" w:pos="992"/>
        </w:tabs>
        <w:ind w:left="992" w:hanging="567"/>
      </w:pPr>
    </w:lvl>
    <w:lvl w:ilvl="2" w:tentative="0">
      <w:start w:val="1"/>
      <w:numFmt w:val="decimal"/>
      <w:pStyle w:val="76"/>
      <w:lvlText w:val="%1.%2.%3"/>
      <w:lvlJc w:val="left"/>
      <w:pPr>
        <w:tabs>
          <w:tab w:val="left" w:pos="1571"/>
        </w:tabs>
        <w:ind w:left="1418" w:hanging="567"/>
      </w:pPr>
    </w:lvl>
    <w:lvl w:ilvl="3" w:tentative="0">
      <w:start w:val="1"/>
      <w:numFmt w:val="decimal"/>
      <w:lvlText w:val="%1.%2.%3.%4"/>
      <w:lvlJc w:val="left"/>
      <w:pPr>
        <w:tabs>
          <w:tab w:val="left" w:pos="2356"/>
        </w:tabs>
        <w:ind w:left="1984" w:hanging="708"/>
      </w:pPr>
    </w:lvl>
    <w:lvl w:ilvl="4" w:tentative="0">
      <w:start w:val="1"/>
      <w:numFmt w:val="decimal"/>
      <w:lvlText w:val="%1.%2.%3.%4.%5"/>
      <w:lvlJc w:val="left"/>
      <w:pPr>
        <w:tabs>
          <w:tab w:val="left" w:pos="3141"/>
        </w:tabs>
        <w:ind w:left="2551" w:hanging="850"/>
      </w:pPr>
    </w:lvl>
    <w:lvl w:ilvl="5" w:tentative="0">
      <w:start w:val="1"/>
      <w:numFmt w:val="decimal"/>
      <w:lvlText w:val="%1.%2.%3.%4.%5.%6"/>
      <w:lvlJc w:val="left"/>
      <w:pPr>
        <w:tabs>
          <w:tab w:val="left" w:pos="3566"/>
        </w:tabs>
        <w:ind w:left="3260" w:hanging="1134"/>
      </w:pPr>
    </w:lvl>
    <w:lvl w:ilvl="6" w:tentative="0">
      <w:start w:val="1"/>
      <w:numFmt w:val="decimal"/>
      <w:lvlText w:val="%1.%2.%3.%4.%5.%6.%7"/>
      <w:lvlJc w:val="left"/>
      <w:pPr>
        <w:tabs>
          <w:tab w:val="left" w:pos="4351"/>
        </w:tabs>
        <w:ind w:left="3827" w:hanging="1276"/>
      </w:pPr>
    </w:lvl>
    <w:lvl w:ilvl="7" w:tentative="0">
      <w:start w:val="1"/>
      <w:numFmt w:val="decimal"/>
      <w:lvlText w:val="%1.%2.%3.%4.%5.%6.%7.%8"/>
      <w:lvlJc w:val="left"/>
      <w:pPr>
        <w:tabs>
          <w:tab w:val="left" w:pos="4776"/>
        </w:tabs>
        <w:ind w:left="4394" w:hanging="1418"/>
      </w:pPr>
    </w:lvl>
    <w:lvl w:ilvl="8" w:tentative="0">
      <w:start w:val="1"/>
      <w:numFmt w:val="decimal"/>
      <w:lvlText w:val="%1.%2.%3.%4.%5.%6.%7.%8.%9"/>
      <w:lvlJc w:val="left"/>
      <w:pPr>
        <w:tabs>
          <w:tab w:val="left" w:pos="5562"/>
        </w:tabs>
        <w:ind w:left="5102" w:hanging="1700"/>
      </w:pPr>
    </w:lvl>
  </w:abstractNum>
  <w:abstractNum w:abstractNumId="8">
    <w:nsid w:val="00000009"/>
    <w:multiLevelType w:val="multilevel"/>
    <w:tmpl w:val="00000009"/>
    <w:lvl w:ilvl="0" w:tentative="0">
      <w:start w:val="1"/>
      <w:numFmt w:val="bullet"/>
      <w:pStyle w:val="61"/>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9">
    <w:nsid w:val="0000000B"/>
    <w:multiLevelType w:val="multilevel"/>
    <w:tmpl w:val="0000000B"/>
    <w:lvl w:ilvl="0" w:tentative="0">
      <w:start w:val="1"/>
      <w:numFmt w:val="bullet"/>
      <w:pStyle w:val="64"/>
      <w:lvlText w:val=""/>
      <w:lvlJc w:val="left"/>
      <w:pPr>
        <w:tabs>
          <w:tab w:val="left" w:pos="1320"/>
        </w:tabs>
        <w:ind w:left="132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10">
    <w:nsid w:val="0000000C"/>
    <w:multiLevelType w:val="multilevel"/>
    <w:tmpl w:val="0000000C"/>
    <w:lvl w:ilvl="0" w:tentative="0">
      <w:start w:val="1"/>
      <w:numFmt w:val="decimal"/>
      <w:pStyle w:val="58"/>
      <w:lvlText w:val="%1"/>
      <w:lvlJc w:val="left"/>
      <w:pPr>
        <w:tabs>
          <w:tab w:val="left" w:pos="1756"/>
        </w:tabs>
        <w:ind w:left="1756" w:hanging="425"/>
      </w:pPr>
    </w:lvl>
    <w:lvl w:ilvl="1" w:tentative="0">
      <w:start w:val="1"/>
      <w:numFmt w:val="decimal"/>
      <w:lvlText w:val="%1.%2"/>
      <w:lvlJc w:val="left"/>
      <w:pPr>
        <w:tabs>
          <w:tab w:val="left" w:pos="2323"/>
        </w:tabs>
        <w:ind w:left="2323" w:hanging="567"/>
      </w:pPr>
    </w:lvl>
    <w:lvl w:ilvl="2" w:tentative="0">
      <w:start w:val="1"/>
      <w:numFmt w:val="decimal"/>
      <w:lvlText w:val="%1.%2.%3"/>
      <w:lvlJc w:val="left"/>
      <w:pPr>
        <w:tabs>
          <w:tab w:val="left" w:pos="2902"/>
        </w:tabs>
        <w:ind w:left="2749" w:hanging="567"/>
      </w:pPr>
    </w:lvl>
    <w:lvl w:ilvl="3" w:tentative="0">
      <w:start w:val="1"/>
      <w:numFmt w:val="decimal"/>
      <w:lvlText w:val="%1.%2.%3.%4"/>
      <w:lvlJc w:val="left"/>
      <w:pPr>
        <w:tabs>
          <w:tab w:val="left" w:pos="3687"/>
        </w:tabs>
        <w:ind w:left="3315" w:hanging="708"/>
      </w:pPr>
    </w:lvl>
    <w:lvl w:ilvl="4" w:tentative="0">
      <w:start w:val="1"/>
      <w:numFmt w:val="decimal"/>
      <w:lvlText w:val="%1.%2.%3.%4.%5"/>
      <w:lvlJc w:val="left"/>
      <w:pPr>
        <w:tabs>
          <w:tab w:val="left" w:pos="4472"/>
        </w:tabs>
        <w:ind w:left="3882" w:hanging="850"/>
      </w:pPr>
    </w:lvl>
    <w:lvl w:ilvl="5" w:tentative="0">
      <w:start w:val="1"/>
      <w:numFmt w:val="decimal"/>
      <w:lvlText w:val="%1.%2.%3.%4.%5.%6"/>
      <w:lvlJc w:val="left"/>
      <w:pPr>
        <w:tabs>
          <w:tab w:val="left" w:pos="4897"/>
        </w:tabs>
        <w:ind w:left="4591" w:hanging="1134"/>
      </w:pPr>
    </w:lvl>
    <w:lvl w:ilvl="6" w:tentative="0">
      <w:start w:val="1"/>
      <w:numFmt w:val="decimal"/>
      <w:lvlText w:val="%1.%2.%3.%4.%5.%6.%7"/>
      <w:lvlJc w:val="left"/>
      <w:pPr>
        <w:tabs>
          <w:tab w:val="left" w:pos="5682"/>
        </w:tabs>
        <w:ind w:left="5158" w:hanging="1276"/>
      </w:pPr>
    </w:lvl>
    <w:lvl w:ilvl="7" w:tentative="0">
      <w:start w:val="1"/>
      <w:numFmt w:val="decimal"/>
      <w:lvlText w:val="%1.%2.%3.%4.%5.%6.%7.%8"/>
      <w:lvlJc w:val="left"/>
      <w:pPr>
        <w:tabs>
          <w:tab w:val="left" w:pos="6107"/>
        </w:tabs>
        <w:ind w:left="5725" w:hanging="1418"/>
      </w:pPr>
    </w:lvl>
    <w:lvl w:ilvl="8" w:tentative="0">
      <w:start w:val="1"/>
      <w:numFmt w:val="decimal"/>
      <w:lvlText w:val="%1.%2.%3.%4.%5.%6.%7.%8.%9"/>
      <w:lvlJc w:val="left"/>
      <w:pPr>
        <w:tabs>
          <w:tab w:val="left" w:pos="6893"/>
        </w:tabs>
        <w:ind w:left="6433" w:hanging="1700"/>
      </w:pPr>
    </w:lvl>
  </w:abstractNum>
  <w:abstractNum w:abstractNumId="11">
    <w:nsid w:val="0000000D"/>
    <w:multiLevelType w:val="multilevel"/>
    <w:tmpl w:val="0000000D"/>
    <w:lvl w:ilvl="0" w:tentative="0">
      <w:start w:val="1"/>
      <w:numFmt w:val="bullet"/>
      <w:pStyle w:val="69"/>
      <w:lvlText w:val=""/>
      <w:lvlJc w:val="left"/>
      <w:pPr>
        <w:tabs>
          <w:tab w:val="left" w:pos="780"/>
        </w:tabs>
        <w:ind w:left="780" w:hanging="420"/>
      </w:pPr>
      <w:rPr>
        <w:rFonts w:hint="default" w:ascii="Wingdings" w:hAnsi="Wingdings"/>
      </w:rPr>
    </w:lvl>
    <w:lvl w:ilvl="1" w:tentative="0">
      <w:start w:val="1"/>
      <w:numFmt w:val="bullet"/>
      <w:lvlText w:val=""/>
      <w:lvlJc w:val="left"/>
      <w:pPr>
        <w:tabs>
          <w:tab w:val="left" w:pos="720"/>
        </w:tabs>
        <w:ind w:left="720" w:hanging="420"/>
      </w:pPr>
      <w:rPr>
        <w:rFonts w:hint="default" w:ascii="Wingdings" w:hAnsi="Wingdings"/>
      </w:rPr>
    </w:lvl>
    <w:lvl w:ilvl="2" w:tentative="0">
      <w:start w:val="1"/>
      <w:numFmt w:val="bullet"/>
      <w:lvlText w:val=""/>
      <w:lvlJc w:val="left"/>
      <w:pPr>
        <w:tabs>
          <w:tab w:val="left" w:pos="1140"/>
        </w:tabs>
        <w:ind w:left="1140" w:hanging="420"/>
      </w:pPr>
      <w:rPr>
        <w:rFonts w:hint="default" w:ascii="Wingdings" w:hAnsi="Wingdings"/>
      </w:rPr>
    </w:lvl>
    <w:lvl w:ilvl="3" w:tentative="0">
      <w:start w:val="1"/>
      <w:numFmt w:val="bullet"/>
      <w:lvlText w:val=""/>
      <w:lvlJc w:val="left"/>
      <w:pPr>
        <w:tabs>
          <w:tab w:val="left" w:pos="1560"/>
        </w:tabs>
        <w:ind w:left="1560" w:hanging="420"/>
      </w:pPr>
      <w:rPr>
        <w:rFonts w:hint="default" w:ascii="Wingdings" w:hAnsi="Wingdings"/>
      </w:rPr>
    </w:lvl>
    <w:lvl w:ilvl="4" w:tentative="0">
      <w:start w:val="1"/>
      <w:numFmt w:val="bullet"/>
      <w:lvlText w:val=""/>
      <w:lvlJc w:val="left"/>
      <w:pPr>
        <w:tabs>
          <w:tab w:val="left" w:pos="1980"/>
        </w:tabs>
        <w:ind w:left="1980" w:hanging="420"/>
      </w:pPr>
      <w:rPr>
        <w:rFonts w:hint="default" w:ascii="Wingdings" w:hAnsi="Wingdings"/>
      </w:rPr>
    </w:lvl>
    <w:lvl w:ilvl="5" w:tentative="0">
      <w:start w:val="1"/>
      <w:numFmt w:val="bullet"/>
      <w:lvlText w:val=""/>
      <w:lvlJc w:val="left"/>
      <w:pPr>
        <w:tabs>
          <w:tab w:val="left" w:pos="2400"/>
        </w:tabs>
        <w:ind w:left="2400" w:hanging="420"/>
      </w:pPr>
      <w:rPr>
        <w:rFonts w:hint="default" w:ascii="Wingdings" w:hAnsi="Wingdings"/>
      </w:rPr>
    </w:lvl>
    <w:lvl w:ilvl="6" w:tentative="0">
      <w:start w:val="1"/>
      <w:numFmt w:val="bullet"/>
      <w:lvlText w:val=""/>
      <w:lvlJc w:val="left"/>
      <w:pPr>
        <w:tabs>
          <w:tab w:val="left" w:pos="2820"/>
        </w:tabs>
        <w:ind w:left="2820" w:hanging="420"/>
      </w:pPr>
      <w:rPr>
        <w:rFonts w:hint="default" w:ascii="Wingdings" w:hAnsi="Wingdings"/>
      </w:rPr>
    </w:lvl>
    <w:lvl w:ilvl="7" w:tentative="0">
      <w:start w:val="1"/>
      <w:numFmt w:val="bullet"/>
      <w:lvlText w:val=""/>
      <w:lvlJc w:val="left"/>
      <w:pPr>
        <w:tabs>
          <w:tab w:val="left" w:pos="3240"/>
        </w:tabs>
        <w:ind w:left="3240" w:hanging="420"/>
      </w:pPr>
      <w:rPr>
        <w:rFonts w:hint="default" w:ascii="Wingdings" w:hAnsi="Wingdings"/>
      </w:rPr>
    </w:lvl>
    <w:lvl w:ilvl="8" w:tentative="0">
      <w:start w:val="1"/>
      <w:numFmt w:val="bullet"/>
      <w:lvlText w:val=""/>
      <w:lvlJc w:val="left"/>
      <w:pPr>
        <w:tabs>
          <w:tab w:val="left" w:pos="3660"/>
        </w:tabs>
        <w:ind w:left="3660" w:hanging="420"/>
      </w:pPr>
      <w:rPr>
        <w:rFonts w:hint="default" w:ascii="Wingdings" w:hAnsi="Wingdings"/>
      </w:rPr>
    </w:lvl>
  </w:abstractNum>
  <w:abstractNum w:abstractNumId="12">
    <w:nsid w:val="05EE2803"/>
    <w:multiLevelType w:val="multilevel"/>
    <w:tmpl w:val="05EE2803"/>
    <w:lvl w:ilvl="0" w:tentative="0">
      <w:start w:val="1"/>
      <w:numFmt w:val="chineseCountingThousand"/>
      <w:pStyle w:val="21"/>
      <w:suff w:val="nothing"/>
      <w:lvlText w:val="%1、"/>
      <w:lvlJc w:val="left"/>
      <w:pPr>
        <w:ind w:left="84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3">
    <w:nsid w:val="08E1BDC1"/>
    <w:multiLevelType w:val="singleLevel"/>
    <w:tmpl w:val="08E1BDC1"/>
    <w:lvl w:ilvl="0" w:tentative="0">
      <w:start w:val="1"/>
      <w:numFmt w:val="decimal"/>
      <w:suff w:val="space"/>
      <w:lvlText w:val="(%1)"/>
      <w:lvlJc w:val="left"/>
      <w:pPr>
        <w:ind w:left="568" w:leftChars="0" w:hanging="343" w:firstLineChars="0"/>
      </w:pPr>
      <w:rPr>
        <w:rFonts w:hint="default"/>
      </w:rPr>
    </w:lvl>
  </w:abstractNum>
  <w:abstractNum w:abstractNumId="14">
    <w:nsid w:val="24656A4D"/>
    <w:multiLevelType w:val="multilevel"/>
    <w:tmpl w:val="24656A4D"/>
    <w:lvl w:ilvl="0" w:tentative="0">
      <w:start w:val="1"/>
      <w:numFmt w:val="decimal"/>
      <w:lvlText w:val="%1"/>
      <w:lvlJc w:val="left"/>
      <w:pPr>
        <w:tabs>
          <w:tab w:val="left" w:pos="425"/>
        </w:tabs>
        <w:ind w:left="425" w:hanging="425"/>
      </w:pPr>
      <w:rPr>
        <w:rFonts w:hint="eastAsia"/>
      </w:rPr>
    </w:lvl>
    <w:lvl w:ilvl="1" w:tentative="0">
      <w:start w:val="1"/>
      <w:numFmt w:val="decimal"/>
      <w:suff w:val="nothing"/>
      <w:lvlText w:val="%1.%2 "/>
      <w:lvlJc w:val="left"/>
      <w:pPr>
        <w:ind w:left="484" w:firstLine="509"/>
      </w:pPr>
      <w:rPr>
        <w:rFonts w:hint="eastAsia"/>
      </w:rPr>
    </w:lvl>
    <w:lvl w:ilvl="2" w:tentative="0">
      <w:start w:val="1"/>
      <w:numFmt w:val="decimal"/>
      <w:suff w:val="nothing"/>
      <w:lvlText w:val="%1.%2.%3 "/>
      <w:lvlJc w:val="left"/>
      <w:pPr>
        <w:ind w:left="3828" w:firstLine="425"/>
      </w:pPr>
      <w:rPr>
        <w:rFonts w:hint="eastAsia"/>
      </w:rPr>
    </w:lvl>
    <w:lvl w:ilvl="3" w:tentative="0">
      <w:start w:val="1"/>
      <w:numFmt w:val="decimal"/>
      <w:suff w:val="nothing"/>
      <w:lvlText w:val="%1.%2.%3.%4、"/>
      <w:lvlJc w:val="left"/>
      <w:pPr>
        <w:ind w:left="1226" w:firstLine="312"/>
      </w:pPr>
      <w:rPr>
        <w:rFonts w:hint="eastAsia"/>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5">
    <w:nsid w:val="25C22B40"/>
    <w:multiLevelType w:val="multilevel"/>
    <w:tmpl w:val="25C22B40"/>
    <w:lvl w:ilvl="0" w:tentative="0">
      <w:start w:val="1"/>
      <w:numFmt w:val="japaneseCounting"/>
      <w:lvlText w:val="%1、"/>
      <w:lvlJc w:val="left"/>
      <w:pPr>
        <w:tabs>
          <w:tab w:val="left" w:pos="480"/>
        </w:tabs>
        <w:ind w:left="480" w:hanging="48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6">
    <w:nsid w:val="3B8D6315"/>
    <w:multiLevelType w:val="multilevel"/>
    <w:tmpl w:val="3B8D6315"/>
    <w:lvl w:ilvl="0" w:tentative="0">
      <w:start w:val="6"/>
      <w:numFmt w:val="decimal"/>
      <w:lvlText w:val="%1"/>
      <w:lvlJc w:val="left"/>
      <w:pPr>
        <w:ind w:left="360" w:hanging="360"/>
      </w:pPr>
      <w:rPr>
        <w:rFonts w:hint="default"/>
      </w:rPr>
    </w:lvl>
    <w:lvl w:ilvl="1" w:tentative="0">
      <w:start w:val="4"/>
      <w:numFmt w:val="decimal"/>
      <w:lvlText w:val="%1.%2"/>
      <w:lvlJc w:val="left"/>
      <w:pPr>
        <w:ind w:left="1605" w:hanging="360"/>
      </w:pPr>
      <w:rPr>
        <w:rFonts w:hint="default"/>
      </w:rPr>
    </w:lvl>
    <w:lvl w:ilvl="2" w:tentative="0">
      <w:start w:val="1"/>
      <w:numFmt w:val="decimal"/>
      <w:lvlText w:val="%1.%2.%3"/>
      <w:lvlJc w:val="left"/>
      <w:pPr>
        <w:ind w:left="3210" w:hanging="720"/>
      </w:pPr>
      <w:rPr>
        <w:rFonts w:hint="default"/>
      </w:rPr>
    </w:lvl>
    <w:lvl w:ilvl="3" w:tentative="0">
      <w:start w:val="1"/>
      <w:numFmt w:val="decimal"/>
      <w:lvlText w:val="%1.%2.%3.%4"/>
      <w:lvlJc w:val="left"/>
      <w:pPr>
        <w:ind w:left="4815" w:hanging="1080"/>
      </w:pPr>
      <w:rPr>
        <w:rFonts w:hint="default"/>
      </w:rPr>
    </w:lvl>
    <w:lvl w:ilvl="4" w:tentative="0">
      <w:start w:val="1"/>
      <w:numFmt w:val="decimal"/>
      <w:lvlText w:val="%1.%2.%3.%4.%5"/>
      <w:lvlJc w:val="left"/>
      <w:pPr>
        <w:ind w:left="6060" w:hanging="1080"/>
      </w:pPr>
      <w:rPr>
        <w:rFonts w:hint="default"/>
      </w:rPr>
    </w:lvl>
    <w:lvl w:ilvl="5" w:tentative="0">
      <w:start w:val="1"/>
      <w:numFmt w:val="decimal"/>
      <w:lvlText w:val="%1.%2.%3.%4.%5.%6"/>
      <w:lvlJc w:val="left"/>
      <w:pPr>
        <w:ind w:left="7665" w:hanging="1440"/>
      </w:pPr>
      <w:rPr>
        <w:rFonts w:hint="default"/>
      </w:rPr>
    </w:lvl>
    <w:lvl w:ilvl="6" w:tentative="0">
      <w:start w:val="1"/>
      <w:numFmt w:val="decimal"/>
      <w:lvlText w:val="%1.%2.%3.%4.%5.%6.%7"/>
      <w:lvlJc w:val="left"/>
      <w:pPr>
        <w:ind w:left="9270" w:hanging="1800"/>
      </w:pPr>
      <w:rPr>
        <w:rFonts w:hint="default"/>
      </w:rPr>
    </w:lvl>
    <w:lvl w:ilvl="7" w:tentative="0">
      <w:start w:val="1"/>
      <w:numFmt w:val="decimal"/>
      <w:lvlText w:val="%1.%2.%3.%4.%5.%6.%7.%8"/>
      <w:lvlJc w:val="left"/>
      <w:pPr>
        <w:ind w:left="10515" w:hanging="1800"/>
      </w:pPr>
      <w:rPr>
        <w:rFonts w:hint="default"/>
      </w:rPr>
    </w:lvl>
    <w:lvl w:ilvl="8" w:tentative="0">
      <w:start w:val="1"/>
      <w:numFmt w:val="decimal"/>
      <w:lvlText w:val="%1.%2.%3.%4.%5.%6.%7.%8.%9"/>
      <w:lvlJc w:val="left"/>
      <w:pPr>
        <w:ind w:left="12120" w:hanging="2160"/>
      </w:pPr>
      <w:rPr>
        <w:rFonts w:hint="default"/>
      </w:rPr>
    </w:lvl>
  </w:abstractNum>
  <w:abstractNum w:abstractNumId="17">
    <w:nsid w:val="46D1CC74"/>
    <w:multiLevelType w:val="singleLevel"/>
    <w:tmpl w:val="46D1CC74"/>
    <w:lvl w:ilvl="0" w:tentative="0">
      <w:start w:val="1"/>
      <w:numFmt w:val="upperLetter"/>
      <w:suff w:val="nothing"/>
      <w:lvlText w:val="%1、"/>
      <w:lvlJc w:val="left"/>
    </w:lvl>
  </w:abstractNum>
  <w:abstractNum w:abstractNumId="18">
    <w:nsid w:val="573158B9"/>
    <w:multiLevelType w:val="singleLevel"/>
    <w:tmpl w:val="573158B9"/>
    <w:lvl w:ilvl="0" w:tentative="0">
      <w:start w:val="4"/>
      <w:numFmt w:val="decimal"/>
      <w:suff w:val="nothing"/>
      <w:lvlText w:val="%1、"/>
      <w:lvlJc w:val="left"/>
    </w:lvl>
  </w:abstractNum>
  <w:abstractNum w:abstractNumId="19">
    <w:nsid w:val="67864187"/>
    <w:multiLevelType w:val="multilevel"/>
    <w:tmpl w:val="67864187"/>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pStyle w:val="68"/>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AB83322"/>
    <w:multiLevelType w:val="singleLevel"/>
    <w:tmpl w:val="6AB83322"/>
    <w:lvl w:ilvl="0" w:tentative="0">
      <w:start w:val="1"/>
      <w:numFmt w:val="chineseCounting"/>
      <w:suff w:val="nothing"/>
      <w:lvlText w:val="（%1）"/>
      <w:lvlJc w:val="left"/>
      <w:rPr>
        <w:rFonts w:hint="eastAsia"/>
      </w:rPr>
    </w:lvl>
  </w:abstractNum>
  <w:abstractNum w:abstractNumId="21">
    <w:nsid w:val="7BB4EC06"/>
    <w:multiLevelType w:val="singleLevel"/>
    <w:tmpl w:val="7BB4EC06"/>
    <w:lvl w:ilvl="0" w:tentative="0">
      <w:start w:val="1"/>
      <w:numFmt w:val="chineseCounting"/>
      <w:suff w:val="nothing"/>
      <w:lvlText w:val="（%1）"/>
      <w:lvlJc w:val="left"/>
      <w:rPr>
        <w:rFonts w:hint="eastAsia"/>
      </w:rPr>
    </w:lvl>
  </w:abstractNum>
  <w:num w:numId="1">
    <w:abstractNumId w:val="12"/>
  </w:num>
  <w:num w:numId="2">
    <w:abstractNumId w:val="10"/>
  </w:num>
  <w:num w:numId="3">
    <w:abstractNumId w:val="8"/>
  </w:num>
  <w:num w:numId="4">
    <w:abstractNumId w:val="9"/>
  </w:num>
  <w:num w:numId="5">
    <w:abstractNumId w:val="19"/>
  </w:num>
  <w:num w:numId="6">
    <w:abstractNumId w:val="11"/>
  </w:num>
  <w:num w:numId="7">
    <w:abstractNumId w:val="7"/>
  </w:num>
  <w:num w:numId="8">
    <w:abstractNumId w:val="3"/>
  </w:num>
  <w:num w:numId="9">
    <w:abstractNumId w:val="4"/>
  </w:num>
  <w:num w:numId="10">
    <w:abstractNumId w:val="15"/>
    <w:lvlOverride w:ilvl="0">
      <w:startOverride w:val="1"/>
    </w:lvlOverride>
  </w:num>
  <w:num w:numId="11">
    <w:abstractNumId w:val="5"/>
  </w:num>
  <w:num w:numId="12">
    <w:abstractNumId w:val="14"/>
  </w:num>
  <w:num w:numId="13">
    <w:abstractNumId w:val="16"/>
  </w:num>
  <w:num w:numId="14">
    <w:abstractNumId w:val="1"/>
  </w:num>
  <w:num w:numId="15">
    <w:abstractNumId w:val="21"/>
  </w:num>
  <w:num w:numId="16">
    <w:abstractNumId w:val="2"/>
  </w:num>
  <w:num w:numId="17">
    <w:abstractNumId w:val="20"/>
  </w:num>
  <w:num w:numId="18">
    <w:abstractNumId w:val="0"/>
  </w:num>
  <w:num w:numId="19">
    <w:abstractNumId w:val="17"/>
  </w:num>
  <w:num w:numId="20">
    <w:abstractNumId w:val="18"/>
  </w:num>
  <w:num w:numId="21">
    <w:abstractNumId w:val="6"/>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203"/>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E616D"/>
    <w:rsid w:val="007C3708"/>
    <w:rsid w:val="00AF5C1F"/>
    <w:rsid w:val="011545F2"/>
    <w:rsid w:val="021138F7"/>
    <w:rsid w:val="024737BC"/>
    <w:rsid w:val="031F78E5"/>
    <w:rsid w:val="04772FC0"/>
    <w:rsid w:val="04D261F6"/>
    <w:rsid w:val="04E672BC"/>
    <w:rsid w:val="053E0EA6"/>
    <w:rsid w:val="05AA0014"/>
    <w:rsid w:val="05AF5900"/>
    <w:rsid w:val="05CF1AFF"/>
    <w:rsid w:val="067D59FE"/>
    <w:rsid w:val="06ED4932"/>
    <w:rsid w:val="07351E35"/>
    <w:rsid w:val="078D17EE"/>
    <w:rsid w:val="07D16002"/>
    <w:rsid w:val="087A505F"/>
    <w:rsid w:val="090F1CBF"/>
    <w:rsid w:val="097B2056"/>
    <w:rsid w:val="0AA95A26"/>
    <w:rsid w:val="0ABB08A3"/>
    <w:rsid w:val="0AC37FDD"/>
    <w:rsid w:val="0AFD2C6A"/>
    <w:rsid w:val="0BDB3F7A"/>
    <w:rsid w:val="0C3A0AD9"/>
    <w:rsid w:val="0D4F642A"/>
    <w:rsid w:val="0E3A777E"/>
    <w:rsid w:val="0E4B4EE1"/>
    <w:rsid w:val="0E96765D"/>
    <w:rsid w:val="0EA0228A"/>
    <w:rsid w:val="0F8751F8"/>
    <w:rsid w:val="10F62635"/>
    <w:rsid w:val="12386C7D"/>
    <w:rsid w:val="14703421"/>
    <w:rsid w:val="14904B4F"/>
    <w:rsid w:val="14AD5701"/>
    <w:rsid w:val="14B22D17"/>
    <w:rsid w:val="156F6E5A"/>
    <w:rsid w:val="15CE1DD3"/>
    <w:rsid w:val="15DD5B72"/>
    <w:rsid w:val="180970F2"/>
    <w:rsid w:val="184C6FDF"/>
    <w:rsid w:val="19923117"/>
    <w:rsid w:val="19FB1E10"/>
    <w:rsid w:val="19FF0C91"/>
    <w:rsid w:val="1A444411"/>
    <w:rsid w:val="1A4843E1"/>
    <w:rsid w:val="1A4E6E19"/>
    <w:rsid w:val="1AC47300"/>
    <w:rsid w:val="1B171B26"/>
    <w:rsid w:val="1B1D158C"/>
    <w:rsid w:val="1B7E3953"/>
    <w:rsid w:val="1C135B98"/>
    <w:rsid w:val="1D0E0309"/>
    <w:rsid w:val="1D6F31E1"/>
    <w:rsid w:val="1DDA201F"/>
    <w:rsid w:val="1DDE65DB"/>
    <w:rsid w:val="1E4F7829"/>
    <w:rsid w:val="1E9F255E"/>
    <w:rsid w:val="1EA11B6B"/>
    <w:rsid w:val="1F5C044F"/>
    <w:rsid w:val="1FB060A5"/>
    <w:rsid w:val="1FD2426D"/>
    <w:rsid w:val="205B0F4F"/>
    <w:rsid w:val="20C861CE"/>
    <w:rsid w:val="210466A8"/>
    <w:rsid w:val="21562C7C"/>
    <w:rsid w:val="21627873"/>
    <w:rsid w:val="218D7274"/>
    <w:rsid w:val="21983295"/>
    <w:rsid w:val="227A6E70"/>
    <w:rsid w:val="22B42350"/>
    <w:rsid w:val="22F32E79"/>
    <w:rsid w:val="232A43C0"/>
    <w:rsid w:val="232E02C0"/>
    <w:rsid w:val="235002CB"/>
    <w:rsid w:val="237C4C1C"/>
    <w:rsid w:val="239D2DE4"/>
    <w:rsid w:val="23D5257E"/>
    <w:rsid w:val="248024EA"/>
    <w:rsid w:val="24A361D8"/>
    <w:rsid w:val="25D3699D"/>
    <w:rsid w:val="260E1D77"/>
    <w:rsid w:val="265711D5"/>
    <w:rsid w:val="26591245"/>
    <w:rsid w:val="266874F1"/>
    <w:rsid w:val="26D431B4"/>
    <w:rsid w:val="270F21FB"/>
    <w:rsid w:val="27313F6F"/>
    <w:rsid w:val="278247CB"/>
    <w:rsid w:val="27B121E5"/>
    <w:rsid w:val="27C812FC"/>
    <w:rsid w:val="27D71813"/>
    <w:rsid w:val="28156745"/>
    <w:rsid w:val="284D6B87"/>
    <w:rsid w:val="28572B79"/>
    <w:rsid w:val="28BA7F95"/>
    <w:rsid w:val="28D23530"/>
    <w:rsid w:val="28DF2487"/>
    <w:rsid w:val="2925080C"/>
    <w:rsid w:val="294F4C60"/>
    <w:rsid w:val="296E3259"/>
    <w:rsid w:val="2AA93EE8"/>
    <w:rsid w:val="2AF11A1E"/>
    <w:rsid w:val="2B6A3EF4"/>
    <w:rsid w:val="2B975AE8"/>
    <w:rsid w:val="2BAA42F0"/>
    <w:rsid w:val="2E024D8D"/>
    <w:rsid w:val="2E045F3A"/>
    <w:rsid w:val="2E870919"/>
    <w:rsid w:val="2F0F103A"/>
    <w:rsid w:val="2F6715EC"/>
    <w:rsid w:val="30A9741F"/>
    <w:rsid w:val="310A7BC5"/>
    <w:rsid w:val="3200549D"/>
    <w:rsid w:val="325154C6"/>
    <w:rsid w:val="32675F6F"/>
    <w:rsid w:val="32981658"/>
    <w:rsid w:val="32B262D6"/>
    <w:rsid w:val="33771C13"/>
    <w:rsid w:val="3411315F"/>
    <w:rsid w:val="341F5D8A"/>
    <w:rsid w:val="349B6ECC"/>
    <w:rsid w:val="34BF2BBB"/>
    <w:rsid w:val="34CE2DFE"/>
    <w:rsid w:val="34D16D92"/>
    <w:rsid w:val="35221FAC"/>
    <w:rsid w:val="35A84A83"/>
    <w:rsid w:val="35AD335B"/>
    <w:rsid w:val="35B069A7"/>
    <w:rsid w:val="35D4672D"/>
    <w:rsid w:val="36C721FA"/>
    <w:rsid w:val="370E1BD7"/>
    <w:rsid w:val="371014A6"/>
    <w:rsid w:val="37BE20D7"/>
    <w:rsid w:val="37D17213"/>
    <w:rsid w:val="387B408F"/>
    <w:rsid w:val="38AF2F46"/>
    <w:rsid w:val="393022D9"/>
    <w:rsid w:val="3AB91F04"/>
    <w:rsid w:val="3ABC496A"/>
    <w:rsid w:val="3AEC20EF"/>
    <w:rsid w:val="3B146264"/>
    <w:rsid w:val="3B1672AC"/>
    <w:rsid w:val="3B4262F3"/>
    <w:rsid w:val="3B9E2148"/>
    <w:rsid w:val="3D22018A"/>
    <w:rsid w:val="3D3E0D3C"/>
    <w:rsid w:val="3D78401A"/>
    <w:rsid w:val="3DDA0A65"/>
    <w:rsid w:val="3E2269D2"/>
    <w:rsid w:val="3E3548A8"/>
    <w:rsid w:val="3E777901"/>
    <w:rsid w:val="3EB4755D"/>
    <w:rsid w:val="3EF63F99"/>
    <w:rsid w:val="3F150352"/>
    <w:rsid w:val="3F3E4717"/>
    <w:rsid w:val="3F5C7395"/>
    <w:rsid w:val="408D1DBF"/>
    <w:rsid w:val="40D53845"/>
    <w:rsid w:val="41202C33"/>
    <w:rsid w:val="41642B4B"/>
    <w:rsid w:val="420E6F2F"/>
    <w:rsid w:val="428D5A86"/>
    <w:rsid w:val="436D237B"/>
    <w:rsid w:val="43B92ECB"/>
    <w:rsid w:val="43C540A6"/>
    <w:rsid w:val="443D3AFC"/>
    <w:rsid w:val="44427364"/>
    <w:rsid w:val="446B3494"/>
    <w:rsid w:val="44BE2E8F"/>
    <w:rsid w:val="44F33AD7"/>
    <w:rsid w:val="45B72F88"/>
    <w:rsid w:val="47061AF5"/>
    <w:rsid w:val="47F92430"/>
    <w:rsid w:val="481728B6"/>
    <w:rsid w:val="483B659E"/>
    <w:rsid w:val="489B5295"/>
    <w:rsid w:val="48A50238"/>
    <w:rsid w:val="48C52312"/>
    <w:rsid w:val="48E00EFA"/>
    <w:rsid w:val="49725FF6"/>
    <w:rsid w:val="499A554C"/>
    <w:rsid w:val="49C47FDD"/>
    <w:rsid w:val="49FC5EB9"/>
    <w:rsid w:val="4AA743C5"/>
    <w:rsid w:val="4B296B88"/>
    <w:rsid w:val="4B7324F9"/>
    <w:rsid w:val="4B7A2D8E"/>
    <w:rsid w:val="4C370B2C"/>
    <w:rsid w:val="4C561BFF"/>
    <w:rsid w:val="4C7B3698"/>
    <w:rsid w:val="4CC13F48"/>
    <w:rsid w:val="4CD34FFD"/>
    <w:rsid w:val="4CE11EF4"/>
    <w:rsid w:val="4CE216E4"/>
    <w:rsid w:val="4D6245D3"/>
    <w:rsid w:val="4D6A3C3C"/>
    <w:rsid w:val="4D926C66"/>
    <w:rsid w:val="4DA846DC"/>
    <w:rsid w:val="4DBF37D4"/>
    <w:rsid w:val="4DFF1E22"/>
    <w:rsid w:val="4E192EE4"/>
    <w:rsid w:val="4E30647F"/>
    <w:rsid w:val="4EE259AB"/>
    <w:rsid w:val="4F622668"/>
    <w:rsid w:val="504001BF"/>
    <w:rsid w:val="50416722"/>
    <w:rsid w:val="50585DB8"/>
    <w:rsid w:val="506D5769"/>
    <w:rsid w:val="50B739DE"/>
    <w:rsid w:val="50E05F3B"/>
    <w:rsid w:val="5131125D"/>
    <w:rsid w:val="52461383"/>
    <w:rsid w:val="524E3378"/>
    <w:rsid w:val="526D1A50"/>
    <w:rsid w:val="52DD5A6A"/>
    <w:rsid w:val="530E6A67"/>
    <w:rsid w:val="532C3CAB"/>
    <w:rsid w:val="536846E4"/>
    <w:rsid w:val="53852DC9"/>
    <w:rsid w:val="541A5C08"/>
    <w:rsid w:val="544F3B03"/>
    <w:rsid w:val="54B03E76"/>
    <w:rsid w:val="54C65EB4"/>
    <w:rsid w:val="55264138"/>
    <w:rsid w:val="55472A2C"/>
    <w:rsid w:val="555711BF"/>
    <w:rsid w:val="5709697B"/>
    <w:rsid w:val="575651A9"/>
    <w:rsid w:val="575E1973"/>
    <w:rsid w:val="5786188F"/>
    <w:rsid w:val="58FF717A"/>
    <w:rsid w:val="59A70DA5"/>
    <w:rsid w:val="59C81C62"/>
    <w:rsid w:val="5A533C21"/>
    <w:rsid w:val="5A56101C"/>
    <w:rsid w:val="5A901AFF"/>
    <w:rsid w:val="5A987886"/>
    <w:rsid w:val="5AA00CFF"/>
    <w:rsid w:val="5AAB49F5"/>
    <w:rsid w:val="5AEC590E"/>
    <w:rsid w:val="5B264E92"/>
    <w:rsid w:val="5B3752F1"/>
    <w:rsid w:val="5BB26726"/>
    <w:rsid w:val="5C553C81"/>
    <w:rsid w:val="5CFD1C22"/>
    <w:rsid w:val="5D050565"/>
    <w:rsid w:val="5D253D88"/>
    <w:rsid w:val="5E020D51"/>
    <w:rsid w:val="5E0314BA"/>
    <w:rsid w:val="5E493963"/>
    <w:rsid w:val="5E551910"/>
    <w:rsid w:val="5E7F246E"/>
    <w:rsid w:val="5E8061E8"/>
    <w:rsid w:val="5E914D18"/>
    <w:rsid w:val="5F092B01"/>
    <w:rsid w:val="5FBA334D"/>
    <w:rsid w:val="607565D4"/>
    <w:rsid w:val="60DD2497"/>
    <w:rsid w:val="61665BAD"/>
    <w:rsid w:val="61B256D1"/>
    <w:rsid w:val="61DE16DB"/>
    <w:rsid w:val="62090747"/>
    <w:rsid w:val="62265778"/>
    <w:rsid w:val="623460E6"/>
    <w:rsid w:val="62B72874"/>
    <w:rsid w:val="63402869"/>
    <w:rsid w:val="636F130E"/>
    <w:rsid w:val="64AE0E8A"/>
    <w:rsid w:val="64B26B19"/>
    <w:rsid w:val="657F58CB"/>
    <w:rsid w:val="65F362B8"/>
    <w:rsid w:val="66247A59"/>
    <w:rsid w:val="664A095E"/>
    <w:rsid w:val="66807985"/>
    <w:rsid w:val="678817C2"/>
    <w:rsid w:val="6793565D"/>
    <w:rsid w:val="680E1188"/>
    <w:rsid w:val="68997A96"/>
    <w:rsid w:val="68D423D1"/>
    <w:rsid w:val="69856F6D"/>
    <w:rsid w:val="69C77840"/>
    <w:rsid w:val="69DD3507"/>
    <w:rsid w:val="6A1D563F"/>
    <w:rsid w:val="6A933BC6"/>
    <w:rsid w:val="6AA31129"/>
    <w:rsid w:val="6ABC4ECB"/>
    <w:rsid w:val="6B1765A5"/>
    <w:rsid w:val="6B575955"/>
    <w:rsid w:val="6C992804"/>
    <w:rsid w:val="6CF03552"/>
    <w:rsid w:val="6D2A6A64"/>
    <w:rsid w:val="6D401DE3"/>
    <w:rsid w:val="6D967C55"/>
    <w:rsid w:val="6DD61F86"/>
    <w:rsid w:val="6E3556C0"/>
    <w:rsid w:val="6E6D3DF8"/>
    <w:rsid w:val="6EB505AF"/>
    <w:rsid w:val="6EC6456A"/>
    <w:rsid w:val="6EF74724"/>
    <w:rsid w:val="6FFE75C4"/>
    <w:rsid w:val="700A66D9"/>
    <w:rsid w:val="700F1F41"/>
    <w:rsid w:val="71201EE5"/>
    <w:rsid w:val="71A861A9"/>
    <w:rsid w:val="71B938BC"/>
    <w:rsid w:val="71D76CAF"/>
    <w:rsid w:val="71EA7365"/>
    <w:rsid w:val="725400DF"/>
    <w:rsid w:val="73133AF6"/>
    <w:rsid w:val="73337CF4"/>
    <w:rsid w:val="74237D69"/>
    <w:rsid w:val="74317167"/>
    <w:rsid w:val="747607E0"/>
    <w:rsid w:val="748578CC"/>
    <w:rsid w:val="74AF3F63"/>
    <w:rsid w:val="75517DA3"/>
    <w:rsid w:val="75BC66C7"/>
    <w:rsid w:val="764010A6"/>
    <w:rsid w:val="767C01A1"/>
    <w:rsid w:val="76C45833"/>
    <w:rsid w:val="770E4D00"/>
    <w:rsid w:val="77381D7D"/>
    <w:rsid w:val="777A7098"/>
    <w:rsid w:val="77BD6EB5"/>
    <w:rsid w:val="77D3595D"/>
    <w:rsid w:val="77F47F90"/>
    <w:rsid w:val="785C3A78"/>
    <w:rsid w:val="785D3987"/>
    <w:rsid w:val="78952C76"/>
    <w:rsid w:val="789A3183"/>
    <w:rsid w:val="78C935D5"/>
    <w:rsid w:val="78D57BD9"/>
    <w:rsid w:val="78F63FFA"/>
    <w:rsid w:val="79BA2F1D"/>
    <w:rsid w:val="7C1A4147"/>
    <w:rsid w:val="7D8465FE"/>
    <w:rsid w:val="7DFF3FE9"/>
    <w:rsid w:val="7E0B1F99"/>
    <w:rsid w:val="7E6C6192"/>
    <w:rsid w:val="7ED20EFA"/>
    <w:rsid w:val="7F427C3D"/>
    <w:rsid w:val="7F717C41"/>
    <w:rsid w:val="7F98799B"/>
    <w:rsid w:val="7FDB68F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qFormat="1" w:unhideWhenUsed="0" w:uiPriority="0" w:semiHidden="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iPriority="99" w:semiHidden="0" w:name="header"/>
    <w:lsdException w:qFormat="1" w:uiPriority="99" w:semiHidden="0" w:name="footer"/>
    <w:lsdException w:qFormat="1" w:unhideWhenUsed="0" w:uiPriority="0" w:semiHidden="0" w:name="index heading"/>
    <w:lsdException w:qFormat="1" w:uiPriority="35"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nhideWhenUsed="0" w:uiPriority="0" w:semiHidden="0" w:name="Date"/>
    <w:lsdException w:uiPriority="0" w:name="Body Text First Indent"/>
    <w:lsdException w:qFormat="1" w:unhideWhenUsed="0" w:uiPriority="0" w:semiHidden="0" w:name="Body Text First Indent 2"/>
    <w:lsdException w:uiPriority="0" w:name="Note Heading"/>
    <w:lsdException w:qFormat="1" w:unhideWhenUsed="0" w:uiPriority="0" w:semiHidden="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97"/>
    <w:qFormat/>
    <w:uiPriority w:val="0"/>
    <w:pPr>
      <w:keepNext/>
      <w:keepLines/>
      <w:spacing w:before="340" w:after="330" w:line="576" w:lineRule="auto"/>
      <w:outlineLvl w:val="0"/>
    </w:pPr>
    <w:rPr>
      <w:rFonts w:ascii="Calibri" w:hAnsi="Calibri" w:eastAsia="黑体"/>
      <w:b/>
      <w:bCs/>
      <w:kern w:val="44"/>
      <w:sz w:val="32"/>
      <w:szCs w:val="44"/>
    </w:rPr>
  </w:style>
  <w:style w:type="paragraph" w:styleId="3">
    <w:name w:val="heading 2"/>
    <w:basedOn w:val="1"/>
    <w:next w:val="1"/>
    <w:link w:val="142"/>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link w:val="99"/>
    <w:qFormat/>
    <w:uiPriority w:val="0"/>
    <w:pPr>
      <w:keepNext/>
      <w:keepLines/>
      <w:spacing w:before="260" w:after="260" w:line="413" w:lineRule="auto"/>
      <w:outlineLvl w:val="2"/>
    </w:pPr>
    <w:rPr>
      <w:rFonts w:ascii="Calibri" w:hAnsi="Calibri" w:eastAsia="黑体"/>
      <w:b/>
      <w:bCs/>
      <w:sz w:val="28"/>
      <w:szCs w:val="32"/>
    </w:rPr>
  </w:style>
  <w:style w:type="paragraph" w:styleId="5">
    <w:name w:val="heading 4"/>
    <w:basedOn w:val="1"/>
    <w:next w:val="1"/>
    <w:link w:val="100"/>
    <w:qFormat/>
    <w:uiPriority w:val="0"/>
    <w:pPr>
      <w:keepNext/>
      <w:keepLines/>
      <w:spacing w:before="280" w:after="290" w:line="372" w:lineRule="auto"/>
      <w:outlineLvl w:val="3"/>
    </w:pPr>
    <w:rPr>
      <w:rFonts w:ascii="Arial" w:hAnsi="Arial"/>
      <w:b/>
      <w:bCs/>
      <w:sz w:val="28"/>
      <w:szCs w:val="28"/>
    </w:rPr>
  </w:style>
  <w:style w:type="paragraph" w:styleId="6">
    <w:name w:val="heading 5"/>
    <w:basedOn w:val="1"/>
    <w:next w:val="1"/>
    <w:link w:val="101"/>
    <w:qFormat/>
    <w:uiPriority w:val="0"/>
    <w:pPr>
      <w:keepNext/>
      <w:jc w:val="center"/>
      <w:outlineLvl w:val="4"/>
    </w:pPr>
    <w:rPr>
      <w:rFonts w:ascii="Arial" w:hAnsi="Arial"/>
      <w:sz w:val="28"/>
      <w:szCs w:val="24"/>
    </w:rPr>
  </w:style>
  <w:style w:type="paragraph" w:styleId="7">
    <w:name w:val="heading 6"/>
    <w:basedOn w:val="1"/>
    <w:next w:val="1"/>
    <w:link w:val="102"/>
    <w:qFormat/>
    <w:uiPriority w:val="0"/>
    <w:pPr>
      <w:keepNext/>
      <w:spacing w:line="360" w:lineRule="auto"/>
      <w:outlineLvl w:val="5"/>
    </w:pPr>
    <w:rPr>
      <w:rFonts w:ascii="_GB2312" w:hAnsi="_GB2312"/>
      <w:b/>
      <w:bCs/>
      <w:color w:val="000000"/>
      <w:szCs w:val="24"/>
    </w:rPr>
  </w:style>
  <w:style w:type="paragraph" w:styleId="8">
    <w:name w:val="heading 7"/>
    <w:basedOn w:val="1"/>
    <w:next w:val="9"/>
    <w:link w:val="103"/>
    <w:qFormat/>
    <w:uiPriority w:val="0"/>
    <w:pPr>
      <w:keepNext/>
      <w:keepLines/>
      <w:spacing w:before="240" w:after="64" w:line="317" w:lineRule="auto"/>
      <w:outlineLvl w:val="6"/>
    </w:pPr>
    <w:rPr>
      <w:rFonts w:ascii="Calibri" w:hAnsi="Calibri"/>
      <w:b/>
      <w:sz w:val="24"/>
      <w:szCs w:val="24"/>
    </w:rPr>
  </w:style>
  <w:style w:type="paragraph" w:styleId="10">
    <w:name w:val="heading 8"/>
    <w:basedOn w:val="1"/>
    <w:next w:val="9"/>
    <w:link w:val="105"/>
    <w:qFormat/>
    <w:uiPriority w:val="0"/>
    <w:pPr>
      <w:keepNext/>
      <w:keepLines/>
      <w:spacing w:before="240" w:after="64" w:line="317" w:lineRule="auto"/>
      <w:outlineLvl w:val="7"/>
    </w:pPr>
    <w:rPr>
      <w:rFonts w:ascii="Arial" w:hAnsi="Arial" w:eastAsia="黑体"/>
      <w:sz w:val="24"/>
      <w:szCs w:val="24"/>
    </w:rPr>
  </w:style>
  <w:style w:type="paragraph" w:styleId="11">
    <w:name w:val="heading 9"/>
    <w:basedOn w:val="1"/>
    <w:next w:val="9"/>
    <w:link w:val="106"/>
    <w:qFormat/>
    <w:uiPriority w:val="0"/>
    <w:pPr>
      <w:keepNext/>
      <w:keepLines/>
      <w:spacing w:before="240" w:after="64" w:line="317" w:lineRule="auto"/>
      <w:outlineLvl w:val="8"/>
    </w:pPr>
    <w:rPr>
      <w:rFonts w:ascii="Arial" w:hAnsi="Arial" w:eastAsia="黑体"/>
      <w:szCs w:val="24"/>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9">
    <w:name w:val="Normal Indent"/>
    <w:basedOn w:val="1"/>
    <w:link w:val="104"/>
    <w:qFormat/>
    <w:uiPriority w:val="0"/>
    <w:pPr>
      <w:ind w:firstLine="420"/>
    </w:pPr>
    <w:rPr>
      <w:kern w:val="0"/>
      <w:sz w:val="20"/>
      <w:szCs w:val="24"/>
    </w:rPr>
  </w:style>
  <w:style w:type="paragraph" w:styleId="12">
    <w:name w:val="toc 7"/>
    <w:basedOn w:val="1"/>
    <w:next w:val="1"/>
    <w:qFormat/>
    <w:uiPriority w:val="0"/>
    <w:pPr>
      <w:ind w:left="1260"/>
      <w:jc w:val="left"/>
    </w:pPr>
    <w:rPr>
      <w:rFonts w:ascii="Calibri" w:hAnsi="Calibri"/>
      <w:sz w:val="18"/>
      <w:szCs w:val="18"/>
    </w:rPr>
  </w:style>
  <w:style w:type="paragraph" w:styleId="13">
    <w:name w:val="Document Map"/>
    <w:basedOn w:val="1"/>
    <w:next w:val="1"/>
    <w:link w:val="107"/>
    <w:qFormat/>
    <w:uiPriority w:val="0"/>
    <w:pPr>
      <w:shd w:val="clear" w:color="auto" w:fill="000080"/>
    </w:pPr>
    <w:rPr>
      <w:rFonts w:ascii="Calibri" w:hAnsi="Calibri"/>
      <w:szCs w:val="24"/>
    </w:rPr>
  </w:style>
  <w:style w:type="paragraph" w:styleId="14">
    <w:name w:val="annotation text"/>
    <w:basedOn w:val="1"/>
    <w:link w:val="108"/>
    <w:unhideWhenUsed/>
    <w:qFormat/>
    <w:uiPriority w:val="0"/>
    <w:pPr>
      <w:jc w:val="left"/>
    </w:pPr>
  </w:style>
  <w:style w:type="paragraph" w:styleId="15">
    <w:name w:val="Body Text"/>
    <w:basedOn w:val="1"/>
    <w:next w:val="1"/>
    <w:link w:val="109"/>
    <w:qFormat/>
    <w:uiPriority w:val="0"/>
    <w:rPr>
      <w:color w:val="FF0000"/>
      <w:kern w:val="0"/>
      <w:sz w:val="20"/>
      <w:szCs w:val="24"/>
    </w:rPr>
  </w:style>
  <w:style w:type="paragraph" w:styleId="16">
    <w:name w:val="Body Text Indent"/>
    <w:basedOn w:val="1"/>
    <w:next w:val="1"/>
    <w:link w:val="110"/>
    <w:unhideWhenUsed/>
    <w:qFormat/>
    <w:uiPriority w:val="0"/>
    <w:pPr>
      <w:spacing w:after="120"/>
      <w:ind w:left="420" w:leftChars="200"/>
    </w:pPr>
  </w:style>
  <w:style w:type="paragraph" w:styleId="17">
    <w:name w:val="toc 5"/>
    <w:basedOn w:val="1"/>
    <w:next w:val="1"/>
    <w:qFormat/>
    <w:uiPriority w:val="0"/>
    <w:pPr>
      <w:ind w:left="840"/>
      <w:jc w:val="left"/>
    </w:pPr>
    <w:rPr>
      <w:rFonts w:ascii="Calibri" w:hAnsi="Calibri"/>
      <w:sz w:val="18"/>
      <w:szCs w:val="18"/>
    </w:rPr>
  </w:style>
  <w:style w:type="paragraph" w:styleId="18">
    <w:name w:val="toc 3"/>
    <w:basedOn w:val="1"/>
    <w:next w:val="1"/>
    <w:qFormat/>
    <w:uiPriority w:val="39"/>
    <w:pPr>
      <w:tabs>
        <w:tab w:val="left" w:pos="845"/>
        <w:tab w:val="right" w:leader="dot" w:pos="9060"/>
      </w:tabs>
      <w:ind w:left="420"/>
      <w:jc w:val="left"/>
    </w:pPr>
    <w:rPr>
      <w:rFonts w:ascii="Calibri" w:hAnsi="Calibri"/>
      <w:i/>
      <w:iCs/>
      <w:sz w:val="20"/>
    </w:rPr>
  </w:style>
  <w:style w:type="paragraph" w:styleId="19">
    <w:name w:val="Plain Text"/>
    <w:basedOn w:val="1"/>
    <w:link w:val="111"/>
    <w:qFormat/>
    <w:uiPriority w:val="0"/>
    <w:rPr>
      <w:rFonts w:ascii="宋体" w:hAnsi="Courier New"/>
      <w:kern w:val="0"/>
      <w:sz w:val="20"/>
      <w:szCs w:val="21"/>
    </w:rPr>
  </w:style>
  <w:style w:type="paragraph" w:styleId="20">
    <w:name w:val="toc 8"/>
    <w:basedOn w:val="1"/>
    <w:next w:val="1"/>
    <w:qFormat/>
    <w:uiPriority w:val="0"/>
    <w:pPr>
      <w:ind w:left="1470"/>
      <w:jc w:val="left"/>
    </w:pPr>
    <w:rPr>
      <w:rFonts w:ascii="Calibri" w:hAnsi="Calibri"/>
      <w:sz w:val="18"/>
      <w:szCs w:val="18"/>
    </w:rPr>
  </w:style>
  <w:style w:type="paragraph" w:styleId="21">
    <w:name w:val="index 3"/>
    <w:basedOn w:val="1"/>
    <w:next w:val="1"/>
    <w:qFormat/>
    <w:uiPriority w:val="0"/>
    <w:pPr>
      <w:numPr>
        <w:ilvl w:val="0"/>
        <w:numId w:val="1"/>
      </w:numPr>
      <w:tabs>
        <w:tab w:val="left" w:pos="1756"/>
      </w:tabs>
    </w:pPr>
    <w:rPr>
      <w:rFonts w:ascii="Calibri" w:hAnsi="Calibri"/>
      <w:sz w:val="24"/>
      <w:szCs w:val="24"/>
    </w:rPr>
  </w:style>
  <w:style w:type="paragraph" w:styleId="22">
    <w:name w:val="Date"/>
    <w:basedOn w:val="1"/>
    <w:next w:val="1"/>
    <w:link w:val="112"/>
    <w:qFormat/>
    <w:uiPriority w:val="0"/>
    <w:rPr>
      <w:kern w:val="0"/>
      <w:sz w:val="28"/>
    </w:rPr>
  </w:style>
  <w:style w:type="paragraph" w:styleId="23">
    <w:name w:val="Body Text Indent 2"/>
    <w:basedOn w:val="1"/>
    <w:link w:val="113"/>
    <w:qFormat/>
    <w:uiPriority w:val="0"/>
    <w:pPr>
      <w:tabs>
        <w:tab w:val="left" w:pos="1140"/>
      </w:tabs>
      <w:ind w:firstLine="560" w:firstLineChars="200"/>
    </w:pPr>
    <w:rPr>
      <w:rFonts w:ascii="Arial" w:hAnsi="Arial"/>
      <w:color w:val="000000"/>
      <w:kern w:val="0"/>
      <w:sz w:val="28"/>
      <w:szCs w:val="24"/>
    </w:rPr>
  </w:style>
  <w:style w:type="paragraph" w:styleId="24">
    <w:name w:val="Balloon Text"/>
    <w:basedOn w:val="1"/>
    <w:link w:val="114"/>
    <w:qFormat/>
    <w:uiPriority w:val="0"/>
    <w:rPr>
      <w:rFonts w:ascii="Calibri" w:hAnsi="Calibri"/>
      <w:sz w:val="18"/>
      <w:szCs w:val="18"/>
    </w:rPr>
  </w:style>
  <w:style w:type="paragraph" w:styleId="25">
    <w:name w:val="footer"/>
    <w:basedOn w:val="1"/>
    <w:link w:val="115"/>
    <w:unhideWhenUsed/>
    <w:qFormat/>
    <w:uiPriority w:val="99"/>
    <w:pPr>
      <w:tabs>
        <w:tab w:val="center" w:pos="4153"/>
        <w:tab w:val="right" w:pos="8306"/>
      </w:tabs>
      <w:snapToGrid w:val="0"/>
      <w:jc w:val="left"/>
    </w:pPr>
    <w:rPr>
      <w:sz w:val="18"/>
      <w:szCs w:val="18"/>
    </w:rPr>
  </w:style>
  <w:style w:type="paragraph" w:styleId="26">
    <w:name w:val="header"/>
    <w:basedOn w:val="1"/>
    <w:link w:val="116"/>
    <w:unhideWhenUsed/>
    <w:qFormat/>
    <w:uiPriority w:val="99"/>
    <w:pPr>
      <w:pBdr>
        <w:bottom w:val="single" w:color="auto" w:sz="6" w:space="1"/>
      </w:pBdr>
      <w:tabs>
        <w:tab w:val="center" w:pos="4153"/>
        <w:tab w:val="right" w:pos="8306"/>
      </w:tabs>
      <w:snapToGrid w:val="0"/>
      <w:jc w:val="center"/>
    </w:pPr>
    <w:rPr>
      <w:sz w:val="18"/>
      <w:szCs w:val="18"/>
    </w:rPr>
  </w:style>
  <w:style w:type="paragraph" w:styleId="27">
    <w:name w:val="toc 1"/>
    <w:basedOn w:val="1"/>
    <w:next w:val="1"/>
    <w:qFormat/>
    <w:uiPriority w:val="39"/>
    <w:pPr>
      <w:spacing w:before="120" w:after="120"/>
      <w:jc w:val="left"/>
    </w:pPr>
    <w:rPr>
      <w:rFonts w:ascii="Calibri" w:hAnsi="Calibri"/>
      <w:b/>
      <w:bCs/>
      <w:caps/>
      <w:sz w:val="20"/>
    </w:rPr>
  </w:style>
  <w:style w:type="paragraph" w:styleId="28">
    <w:name w:val="toc 4"/>
    <w:basedOn w:val="1"/>
    <w:next w:val="1"/>
    <w:qFormat/>
    <w:uiPriority w:val="0"/>
    <w:pPr>
      <w:ind w:left="630"/>
      <w:jc w:val="left"/>
    </w:pPr>
    <w:rPr>
      <w:rFonts w:ascii="Calibri" w:hAnsi="Calibri"/>
      <w:sz w:val="18"/>
      <w:szCs w:val="18"/>
    </w:rPr>
  </w:style>
  <w:style w:type="paragraph" w:styleId="29">
    <w:name w:val="index heading"/>
    <w:basedOn w:val="1"/>
    <w:next w:val="30"/>
    <w:qFormat/>
    <w:uiPriority w:val="0"/>
    <w:rPr>
      <w:rFonts w:hint="eastAsia" w:ascii="Arial" w:hAnsi="Arial"/>
      <w:b/>
    </w:rPr>
  </w:style>
  <w:style w:type="paragraph" w:styleId="30">
    <w:name w:val="index 1"/>
    <w:basedOn w:val="1"/>
    <w:next w:val="1"/>
    <w:qFormat/>
    <w:uiPriority w:val="0"/>
    <w:rPr>
      <w:rFonts w:ascii="Calibri" w:hAnsi="Calibri"/>
      <w:sz w:val="24"/>
      <w:szCs w:val="24"/>
    </w:rPr>
  </w:style>
  <w:style w:type="paragraph" w:styleId="31">
    <w:name w:val="Subtitle"/>
    <w:basedOn w:val="1"/>
    <w:next w:val="1"/>
    <w:link w:val="150"/>
    <w:qFormat/>
    <w:uiPriority w:val="11"/>
    <w:pPr>
      <w:spacing w:before="240" w:after="60" w:line="312" w:lineRule="auto"/>
      <w:jc w:val="center"/>
      <w:outlineLvl w:val="1"/>
    </w:pPr>
    <w:rPr>
      <w:rFonts w:ascii="Calibri Light" w:hAnsi="Calibri Light" w:cs="Times New Roman"/>
      <w:b/>
      <w:bCs/>
      <w:kern w:val="28"/>
      <w:sz w:val="32"/>
      <w:szCs w:val="32"/>
    </w:rPr>
  </w:style>
  <w:style w:type="paragraph" w:styleId="32">
    <w:name w:val="footnote text"/>
    <w:basedOn w:val="1"/>
    <w:link w:val="117"/>
    <w:qFormat/>
    <w:uiPriority w:val="0"/>
    <w:pPr>
      <w:snapToGrid w:val="0"/>
      <w:jc w:val="left"/>
    </w:pPr>
    <w:rPr>
      <w:rFonts w:ascii="Calibri" w:hAnsi="Calibri"/>
      <w:sz w:val="18"/>
      <w:szCs w:val="18"/>
    </w:rPr>
  </w:style>
  <w:style w:type="paragraph" w:styleId="33">
    <w:name w:val="toc 6"/>
    <w:basedOn w:val="1"/>
    <w:next w:val="1"/>
    <w:qFormat/>
    <w:uiPriority w:val="0"/>
    <w:pPr>
      <w:ind w:left="1050"/>
      <w:jc w:val="left"/>
    </w:pPr>
    <w:rPr>
      <w:rFonts w:ascii="Calibri" w:hAnsi="Calibri"/>
      <w:sz w:val="18"/>
      <w:szCs w:val="18"/>
    </w:rPr>
  </w:style>
  <w:style w:type="paragraph" w:styleId="34">
    <w:name w:val="Body Text Indent 3"/>
    <w:basedOn w:val="1"/>
    <w:link w:val="118"/>
    <w:qFormat/>
    <w:uiPriority w:val="0"/>
    <w:pPr>
      <w:ind w:left="360" w:firstLine="480"/>
    </w:pPr>
    <w:rPr>
      <w:rFonts w:ascii="Calibri" w:hAnsi="Calibri"/>
      <w:sz w:val="24"/>
    </w:rPr>
  </w:style>
  <w:style w:type="paragraph" w:styleId="35">
    <w:name w:val="toc 2"/>
    <w:basedOn w:val="1"/>
    <w:next w:val="1"/>
    <w:qFormat/>
    <w:uiPriority w:val="39"/>
    <w:pPr>
      <w:ind w:left="210"/>
      <w:jc w:val="left"/>
    </w:pPr>
    <w:rPr>
      <w:rFonts w:ascii="Calibri" w:hAnsi="Calibri"/>
      <w:smallCaps/>
      <w:sz w:val="20"/>
    </w:rPr>
  </w:style>
  <w:style w:type="paragraph" w:styleId="36">
    <w:name w:val="toc 9"/>
    <w:basedOn w:val="1"/>
    <w:next w:val="1"/>
    <w:qFormat/>
    <w:uiPriority w:val="0"/>
    <w:pPr>
      <w:ind w:left="1680"/>
      <w:jc w:val="left"/>
    </w:pPr>
    <w:rPr>
      <w:rFonts w:ascii="Calibri" w:hAnsi="Calibri"/>
      <w:sz w:val="18"/>
      <w:szCs w:val="18"/>
    </w:rPr>
  </w:style>
  <w:style w:type="paragraph" w:styleId="37">
    <w:name w:val="Body Text 2"/>
    <w:basedOn w:val="1"/>
    <w:link w:val="119"/>
    <w:qFormat/>
    <w:uiPriority w:val="0"/>
    <w:rPr>
      <w:rFonts w:ascii="Arial" w:hAnsi="Arial"/>
      <w:b/>
      <w:bCs/>
      <w:kern w:val="0"/>
      <w:sz w:val="28"/>
      <w:szCs w:val="24"/>
    </w:rPr>
  </w:style>
  <w:style w:type="paragraph" w:styleId="38">
    <w:name w:val="Normal (Web)"/>
    <w:basedOn w:val="1"/>
    <w:qFormat/>
    <w:uiPriority w:val="0"/>
    <w:pPr>
      <w:spacing w:line="300" w:lineRule="auto"/>
    </w:pPr>
    <w:rPr>
      <w:rFonts w:ascii="Calibri" w:hAnsi="Calibri"/>
      <w:sz w:val="24"/>
      <w:szCs w:val="24"/>
    </w:rPr>
  </w:style>
  <w:style w:type="paragraph" w:styleId="39">
    <w:name w:val="Title"/>
    <w:basedOn w:val="1"/>
    <w:next w:val="1"/>
    <w:link w:val="149"/>
    <w:qFormat/>
    <w:uiPriority w:val="10"/>
    <w:pPr>
      <w:spacing w:before="60" w:after="60"/>
      <w:jc w:val="center"/>
      <w:outlineLvl w:val="0"/>
    </w:pPr>
    <w:rPr>
      <w:rFonts w:ascii="Cambria" w:hAnsi="Cambria" w:cs="Times New Roman"/>
      <w:b/>
      <w:bCs/>
      <w:szCs w:val="32"/>
    </w:rPr>
  </w:style>
  <w:style w:type="paragraph" w:styleId="40">
    <w:name w:val="annotation subject"/>
    <w:basedOn w:val="14"/>
    <w:next w:val="14"/>
    <w:link w:val="120"/>
    <w:qFormat/>
    <w:uiPriority w:val="0"/>
    <w:rPr>
      <w:rFonts w:ascii="Calibri" w:hAnsi="Calibri"/>
      <w:b/>
      <w:bCs/>
      <w:szCs w:val="24"/>
    </w:rPr>
  </w:style>
  <w:style w:type="paragraph" w:styleId="41">
    <w:name w:val="Body Text First Indent 2"/>
    <w:basedOn w:val="16"/>
    <w:next w:val="1"/>
    <w:link w:val="121"/>
    <w:qFormat/>
    <w:uiPriority w:val="0"/>
    <w:pPr>
      <w:ind w:firstLine="420" w:firstLineChars="200"/>
    </w:pPr>
    <w:rPr>
      <w:rFonts w:hAnsi="Calibri"/>
      <w:szCs w:val="24"/>
    </w:rPr>
  </w:style>
  <w:style w:type="table" w:styleId="43">
    <w:name w:val="Table Grid"/>
    <w:basedOn w:val="4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5">
    <w:name w:val="Strong"/>
    <w:qFormat/>
    <w:uiPriority w:val="0"/>
    <w:rPr>
      <w:b/>
      <w:bCs/>
    </w:rPr>
  </w:style>
  <w:style w:type="character" w:styleId="46">
    <w:name w:val="page number"/>
    <w:basedOn w:val="44"/>
    <w:qFormat/>
    <w:uiPriority w:val="0"/>
  </w:style>
  <w:style w:type="character" w:styleId="47">
    <w:name w:val="FollowedHyperlink"/>
    <w:qFormat/>
    <w:uiPriority w:val="0"/>
    <w:rPr>
      <w:color w:val="800080"/>
      <w:u w:val="single"/>
    </w:rPr>
  </w:style>
  <w:style w:type="character" w:styleId="48">
    <w:name w:val="Hyperlink"/>
    <w:qFormat/>
    <w:uiPriority w:val="99"/>
    <w:rPr>
      <w:color w:val="0000FF"/>
      <w:u w:val="single"/>
    </w:rPr>
  </w:style>
  <w:style w:type="character" w:styleId="49">
    <w:name w:val="annotation reference"/>
    <w:qFormat/>
    <w:uiPriority w:val="99"/>
    <w:rPr>
      <w:sz w:val="21"/>
      <w:szCs w:val="21"/>
    </w:rPr>
  </w:style>
  <w:style w:type="character" w:styleId="50">
    <w:name w:val="footnote reference"/>
    <w:qFormat/>
    <w:uiPriority w:val="0"/>
    <w:rPr>
      <w:vertAlign w:val="superscript"/>
    </w:rPr>
  </w:style>
  <w:style w:type="paragraph" w:customStyle="1" w:styleId="51">
    <w:name w:val="一级条标题"/>
    <w:basedOn w:val="52"/>
    <w:next w:val="53"/>
    <w:qFormat/>
    <w:uiPriority w:val="0"/>
    <w:pPr>
      <w:spacing w:line="240" w:lineRule="auto"/>
      <w:ind w:left="420"/>
      <w:outlineLvl w:val="2"/>
    </w:pPr>
  </w:style>
  <w:style w:type="paragraph" w:customStyle="1" w:styleId="52">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53">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54">
    <w:name w:val="NavPane"/>
    <w:basedOn w:val="1"/>
    <w:next w:val="1"/>
    <w:qFormat/>
    <w:uiPriority w:val="0"/>
    <w:pPr>
      <w:shd w:val="clear" w:color="auto" w:fill="000080"/>
      <w:textAlignment w:val="baseline"/>
    </w:pPr>
    <w:rPr>
      <w:rFonts w:ascii="Calibri" w:hAnsi="Calibri"/>
      <w:szCs w:val="24"/>
    </w:rPr>
  </w:style>
  <w:style w:type="paragraph" w:customStyle="1" w:styleId="55">
    <w:name w:val="_Style 80"/>
    <w:basedOn w:val="1"/>
    <w:next w:val="1"/>
    <w:link w:val="124"/>
    <w:qFormat/>
    <w:uiPriority w:val="0"/>
    <w:pPr>
      <w:widowControl/>
      <w:pBdr>
        <w:top w:val="single" w:color="auto" w:sz="6" w:space="1"/>
      </w:pBdr>
      <w:jc w:val="center"/>
    </w:pPr>
    <w:rPr>
      <w:rFonts w:ascii="Arial" w:hAnsi="Arial" w:cs="Arial"/>
      <w:vanish/>
      <w:kern w:val="0"/>
      <w:sz w:val="16"/>
      <w:szCs w:val="16"/>
    </w:rPr>
  </w:style>
  <w:style w:type="paragraph" w:customStyle="1" w:styleId="56">
    <w:name w:val="_Style 87"/>
    <w:basedOn w:val="1"/>
    <w:next w:val="1"/>
    <w:link w:val="130"/>
    <w:qFormat/>
    <w:uiPriority w:val="0"/>
    <w:pPr>
      <w:widowControl/>
      <w:pBdr>
        <w:bottom w:val="single" w:color="auto" w:sz="6" w:space="1"/>
      </w:pBdr>
      <w:jc w:val="center"/>
    </w:pPr>
    <w:rPr>
      <w:rFonts w:ascii="Arial" w:hAnsi="Arial" w:cs="Arial"/>
      <w:vanish/>
      <w:kern w:val="0"/>
      <w:sz w:val="16"/>
      <w:szCs w:val="16"/>
    </w:rPr>
  </w:style>
  <w:style w:type="paragraph" w:customStyle="1" w:styleId="57">
    <w:name w:val="ptdl"/>
    <w:basedOn w:val="1"/>
    <w:link w:val="134"/>
    <w:qFormat/>
    <w:uiPriority w:val="0"/>
    <w:pPr>
      <w:spacing w:after="156"/>
      <w:ind w:firstLine="480"/>
    </w:pPr>
    <w:rPr>
      <w:kern w:val="0"/>
      <w:sz w:val="24"/>
    </w:rPr>
  </w:style>
  <w:style w:type="paragraph" w:customStyle="1" w:styleId="58">
    <w:name w:val="小标题"/>
    <w:basedOn w:val="1"/>
    <w:next w:val="9"/>
    <w:qFormat/>
    <w:uiPriority w:val="0"/>
    <w:pPr>
      <w:numPr>
        <w:ilvl w:val="0"/>
        <w:numId w:val="2"/>
      </w:numPr>
      <w:tabs>
        <w:tab w:val="left" w:pos="420"/>
      </w:tabs>
      <w:spacing w:beforeLines="50" w:afterLines="50" w:line="360" w:lineRule="auto"/>
      <w:ind w:hanging="200" w:hangingChars="200"/>
    </w:pPr>
    <w:rPr>
      <w:rFonts w:ascii="Arial" w:hAnsi="Arial" w:eastAsia="黑体"/>
      <w:b/>
      <w:sz w:val="28"/>
      <w:szCs w:val="24"/>
    </w:rPr>
  </w:style>
  <w:style w:type="paragraph" w:customStyle="1" w:styleId="59">
    <w:name w:val="Char2"/>
    <w:basedOn w:val="1"/>
    <w:qFormat/>
    <w:uiPriority w:val="0"/>
    <w:rPr>
      <w:rFonts w:ascii="Calibri" w:hAnsi="Calibri"/>
      <w:szCs w:val="24"/>
    </w:rPr>
  </w:style>
  <w:style w:type="paragraph" w:customStyle="1" w:styleId="60">
    <w:name w:val="Char1"/>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61">
    <w:name w:val="项目排列"/>
    <w:basedOn w:val="1"/>
    <w:qFormat/>
    <w:uiPriority w:val="0"/>
    <w:pPr>
      <w:numPr>
        <w:ilvl w:val="0"/>
        <w:numId w:val="3"/>
      </w:numPr>
      <w:tabs>
        <w:tab w:val="left" w:pos="780"/>
      </w:tabs>
      <w:spacing w:beforeLines="50" w:afterLines="50" w:line="300" w:lineRule="auto"/>
    </w:pPr>
    <w:rPr>
      <w:rFonts w:ascii="Calibri" w:hAnsi="Calibri"/>
      <w:sz w:val="24"/>
      <w:szCs w:val="24"/>
    </w:rPr>
  </w:style>
  <w:style w:type="paragraph" w:customStyle="1" w:styleId="62">
    <w:name w:val="3"/>
    <w:basedOn w:val="1"/>
    <w:next w:val="19"/>
    <w:qFormat/>
    <w:uiPriority w:val="0"/>
    <w:rPr>
      <w:rFonts w:ascii="宋体" w:hAnsi="Courier New" w:cs="Courier New"/>
      <w:szCs w:val="21"/>
    </w:rPr>
  </w:style>
  <w:style w:type="paragraph" w:customStyle="1" w:styleId="63">
    <w:name w:val="Default Paragraph Font Para Char"/>
    <w:basedOn w:val="1"/>
    <w:qFormat/>
    <w:uiPriority w:val="0"/>
    <w:pPr>
      <w:widowControl/>
      <w:spacing w:after="160" w:line="240" w:lineRule="exact"/>
      <w:jc w:val="left"/>
    </w:pPr>
    <w:rPr>
      <w:rFonts w:ascii="Verdana" w:hAnsi="Verdana"/>
      <w:kern w:val="0"/>
      <w:sz w:val="20"/>
      <w:lang w:eastAsia="en-US"/>
    </w:rPr>
  </w:style>
  <w:style w:type="paragraph" w:customStyle="1" w:styleId="64">
    <w:name w:val="一级小标题"/>
    <w:basedOn w:val="2"/>
    <w:qFormat/>
    <w:uiPriority w:val="0"/>
    <w:pPr>
      <w:pageBreakBefore/>
      <w:numPr>
        <w:ilvl w:val="0"/>
        <w:numId w:val="4"/>
      </w:numPr>
      <w:tabs>
        <w:tab w:val="center" w:pos="480"/>
      </w:tabs>
      <w:spacing w:beforeLines="50" w:afterLines="50" w:line="500" w:lineRule="exact"/>
      <w:ind w:left="200" w:leftChars="200" w:firstLine="0"/>
      <w:jc w:val="left"/>
    </w:pPr>
    <w:rPr>
      <w:rFonts w:eastAsia="宋体" w:cs="宋体"/>
      <w:sz w:val="28"/>
      <w:szCs w:val="20"/>
    </w:rPr>
  </w:style>
  <w:style w:type="paragraph" w:customStyle="1" w:styleId="65">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66">
    <w:name w:val="Char Char4"/>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67">
    <w:name w:val="WPSOffice手动目录 1"/>
    <w:qFormat/>
    <w:uiPriority w:val="0"/>
    <w:rPr>
      <w:rFonts w:ascii="Times New Roman" w:hAnsi="Times New Roman" w:eastAsia="宋体" w:cs="Times New Roman"/>
      <w:lang w:val="en-US" w:eastAsia="zh-CN" w:bidi="ar-SA"/>
    </w:rPr>
  </w:style>
  <w:style w:type="paragraph" w:customStyle="1" w:styleId="68">
    <w:name w:val="标3"/>
    <w:basedOn w:val="1"/>
    <w:qFormat/>
    <w:uiPriority w:val="0"/>
    <w:pPr>
      <w:numPr>
        <w:ilvl w:val="2"/>
        <w:numId w:val="5"/>
      </w:numPr>
      <w:tabs>
        <w:tab w:val="left" w:pos="720"/>
        <w:tab w:val="left" w:pos="1740"/>
        <w:tab w:val="clear" w:pos="1260"/>
      </w:tabs>
      <w:adjustRightInd w:val="0"/>
      <w:snapToGrid w:val="0"/>
      <w:spacing w:before="50"/>
      <w:ind w:left="1740"/>
      <w:outlineLvl w:val="2"/>
    </w:pPr>
    <w:rPr>
      <w:rFonts w:ascii="Arial Narrow" w:hAnsi="Arial Narrow" w:eastAsia="仿宋_GB2312"/>
    </w:rPr>
  </w:style>
  <w:style w:type="paragraph" w:customStyle="1" w:styleId="69">
    <w:name w:val="排列"/>
    <w:basedOn w:val="1"/>
    <w:qFormat/>
    <w:uiPriority w:val="0"/>
    <w:pPr>
      <w:numPr>
        <w:ilvl w:val="0"/>
        <w:numId w:val="6"/>
      </w:numPr>
      <w:tabs>
        <w:tab w:val="left" w:pos="1320"/>
      </w:tabs>
      <w:spacing w:line="360" w:lineRule="auto"/>
    </w:pPr>
    <w:rPr>
      <w:rFonts w:ascii="Calibri" w:hAnsi="Calibri"/>
      <w:sz w:val="24"/>
      <w:szCs w:val="24"/>
    </w:rPr>
  </w:style>
  <w:style w:type="paragraph" w:customStyle="1" w:styleId="70">
    <w:name w:val="标题 21"/>
    <w:basedOn w:val="1"/>
    <w:qFormat/>
    <w:uiPriority w:val="0"/>
    <w:rPr>
      <w:rFonts w:ascii="Calibri" w:hAnsi="Calibri"/>
      <w:szCs w:val="24"/>
    </w:rPr>
  </w:style>
  <w:style w:type="paragraph" w:customStyle="1" w:styleId="71">
    <w:name w:val="默认段落字体 Para Char"/>
    <w:basedOn w:val="1"/>
    <w:qFormat/>
    <w:uiPriority w:val="0"/>
    <w:pPr>
      <w:spacing w:line="360" w:lineRule="auto"/>
      <w:jc w:val="left"/>
    </w:pPr>
    <w:rPr>
      <w:rFonts w:ascii="Calibri" w:hAnsi="Calibri" w:eastAsia="仿宋_GB2312"/>
      <w:b/>
      <w:sz w:val="32"/>
      <w:szCs w:val="24"/>
    </w:rPr>
  </w:style>
  <w:style w:type="paragraph" w:customStyle="1" w:styleId="72">
    <w:name w:val="小节标题"/>
    <w:basedOn w:val="1"/>
    <w:next w:val="1"/>
    <w:qFormat/>
    <w:uiPriority w:val="0"/>
    <w:pPr>
      <w:widowControl/>
      <w:spacing w:before="120" w:after="120" w:line="0" w:lineRule="atLeast"/>
      <w:jc w:val="left"/>
      <w:textAlignment w:val="baseline"/>
    </w:pPr>
    <w:rPr>
      <w:rFonts w:ascii="方正大黑简体" w:hAnsi="Arial" w:eastAsia="方正大黑简体"/>
      <w:color w:val="000000"/>
      <w:kern w:val="0"/>
      <w:sz w:val="18"/>
      <w:szCs w:val="18"/>
    </w:rPr>
  </w:style>
  <w:style w:type="paragraph" w:customStyle="1" w:styleId="73">
    <w:name w:val="表头文本"/>
    <w:basedOn w:val="1"/>
    <w:qFormat/>
    <w:uiPriority w:val="0"/>
    <w:pPr>
      <w:autoSpaceDE w:val="0"/>
      <w:autoSpaceDN w:val="0"/>
      <w:adjustRightInd w:val="0"/>
      <w:jc w:val="center"/>
    </w:pPr>
    <w:rPr>
      <w:rFonts w:ascii="Calibri" w:hAnsi="Calibri"/>
      <w:b/>
      <w:kern w:val="0"/>
      <w:sz w:val="24"/>
    </w:rPr>
  </w:style>
  <w:style w:type="paragraph" w:customStyle="1" w:styleId="74">
    <w:name w:val="标题 31"/>
    <w:basedOn w:val="1"/>
    <w:qFormat/>
    <w:uiPriority w:val="0"/>
    <w:rPr>
      <w:rFonts w:ascii="Calibri" w:hAnsi="Calibri"/>
      <w:szCs w:val="24"/>
    </w:rPr>
  </w:style>
  <w:style w:type="paragraph" w:customStyle="1" w:styleId="75">
    <w:name w:val="Char"/>
    <w:basedOn w:val="1"/>
    <w:qFormat/>
    <w:uiPriority w:val="0"/>
    <w:pPr>
      <w:widowControl/>
      <w:spacing w:after="160" w:line="240" w:lineRule="exact"/>
      <w:jc w:val="left"/>
    </w:pPr>
    <w:rPr>
      <w:rFonts w:ascii="Verdana" w:hAnsi="Verdana"/>
      <w:kern w:val="0"/>
      <w:sz w:val="20"/>
      <w:lang w:eastAsia="en-US"/>
    </w:rPr>
  </w:style>
  <w:style w:type="paragraph" w:customStyle="1" w:styleId="76">
    <w:name w:val="样式 标题 3Heading 3 - oldlevel_3PIM 3H3Level 3 Headl3CTprop..."/>
    <w:basedOn w:val="4"/>
    <w:qFormat/>
    <w:uiPriority w:val="0"/>
    <w:pPr>
      <w:numPr>
        <w:ilvl w:val="2"/>
        <w:numId w:val="7"/>
      </w:numPr>
      <w:tabs>
        <w:tab w:val="left" w:pos="425"/>
        <w:tab w:val="left" w:pos="2291"/>
      </w:tabs>
    </w:pPr>
    <w:rPr>
      <w:rFonts w:ascii="宋体" w:hAnsi="宋体" w:eastAsia="宋体"/>
      <w:sz w:val="24"/>
    </w:rPr>
  </w:style>
  <w:style w:type="paragraph" w:customStyle="1" w:styleId="77">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szCs w:val="24"/>
    </w:rPr>
  </w:style>
  <w:style w:type="paragraph" w:customStyle="1" w:styleId="78">
    <w:name w:val="4"/>
    <w:basedOn w:val="1"/>
    <w:next w:val="19"/>
    <w:qFormat/>
    <w:uiPriority w:val="0"/>
    <w:rPr>
      <w:rFonts w:ascii="宋体" w:hAnsi="Courier New" w:cs="Courier New"/>
      <w:szCs w:val="21"/>
    </w:rPr>
  </w:style>
  <w:style w:type="paragraph" w:customStyle="1" w:styleId="79">
    <w:name w:val="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80">
    <w:name w:val="Char Char Char Char Char Char Char Char Char Char"/>
    <w:basedOn w:val="13"/>
    <w:qFormat/>
    <w:uiPriority w:val="0"/>
    <w:rPr>
      <w:rFonts w:ascii="Tahoma" w:hAnsi="Tahoma" w:eastAsia="楷体_GB2312"/>
      <w:sz w:val="24"/>
    </w:rPr>
  </w:style>
  <w:style w:type="paragraph" w:customStyle="1" w:styleId="81">
    <w:name w:val="Char Char Char"/>
    <w:basedOn w:val="1"/>
    <w:qFormat/>
    <w:uiPriority w:val="0"/>
    <w:pPr>
      <w:widowControl/>
      <w:spacing w:line="400" w:lineRule="exact"/>
      <w:jc w:val="center"/>
    </w:pPr>
    <w:rPr>
      <w:rFonts w:ascii="Verdana" w:hAnsi="Verdana"/>
      <w:kern w:val="0"/>
      <w:lang w:eastAsia="en-US"/>
    </w:rPr>
  </w:style>
  <w:style w:type="paragraph" w:customStyle="1" w:styleId="82">
    <w:name w:val="无间隔1"/>
    <w:basedOn w:val="1"/>
    <w:qFormat/>
    <w:uiPriority w:val="1"/>
    <w:pPr>
      <w:widowControl/>
      <w:jc w:val="left"/>
    </w:pPr>
    <w:rPr>
      <w:rFonts w:ascii="Franklin Gothic Book" w:hAnsi="Franklin Gothic Book" w:eastAsia="黑体"/>
      <w:iCs/>
      <w:kern w:val="0"/>
      <w:sz w:val="20"/>
      <w:lang w:eastAsia="en-US" w:bidi="en-US"/>
    </w:rPr>
  </w:style>
  <w:style w:type="paragraph" w:customStyle="1" w:styleId="83">
    <w:name w:val="样式1"/>
    <w:qFormat/>
    <w:uiPriority w:val="0"/>
    <w:rPr>
      <w:rFonts w:ascii="Times New Roman" w:hAnsi="Times New Roman" w:eastAsia="宋体" w:cs="Times New Roman"/>
      <w:sz w:val="21"/>
      <w:szCs w:val="22"/>
      <w:lang w:val="en-US" w:eastAsia="zh-CN" w:bidi="ar-SA"/>
    </w:rPr>
  </w:style>
  <w:style w:type="paragraph" w:customStyle="1" w:styleId="84">
    <w:name w:val="样式3"/>
    <w:basedOn w:val="19"/>
    <w:qFormat/>
    <w:uiPriority w:val="0"/>
    <w:pPr>
      <w:spacing w:line="0" w:lineRule="atLeast"/>
      <w:outlineLvl w:val="0"/>
    </w:pPr>
    <w:rPr>
      <w:sz w:val="28"/>
      <w:szCs w:val="20"/>
    </w:rPr>
  </w:style>
  <w:style w:type="paragraph" w:customStyle="1" w:styleId="85">
    <w:name w:val="表格文字"/>
    <w:basedOn w:val="1"/>
    <w:qFormat/>
    <w:uiPriority w:val="0"/>
    <w:rPr>
      <w:rFonts w:ascii="Calibri" w:hAnsi="Calibri"/>
      <w:szCs w:val="24"/>
    </w:rPr>
  </w:style>
  <w:style w:type="paragraph" w:customStyle="1" w:styleId="86">
    <w:name w:val="Char Char Char Char Char Char Char Char Char Char Char Char Char Char Char Char Char Char Char Char Char Char Char Char1 Char"/>
    <w:basedOn w:val="1"/>
    <w:qFormat/>
    <w:uiPriority w:val="0"/>
    <w:pPr>
      <w:widowControl/>
      <w:overflowPunct w:val="0"/>
      <w:autoSpaceDE w:val="0"/>
      <w:autoSpaceDN w:val="0"/>
      <w:adjustRightInd w:val="0"/>
      <w:jc w:val="left"/>
      <w:textAlignment w:val="baseline"/>
    </w:pPr>
    <w:rPr>
      <w:rFonts w:ascii="Book Antiqua" w:hAnsi="Book Antiqua"/>
      <w:kern w:val="0"/>
      <w:sz w:val="20"/>
    </w:rPr>
  </w:style>
  <w:style w:type="paragraph" w:customStyle="1" w:styleId="87">
    <w:name w:val="_Style 127"/>
    <w:semiHidden/>
    <w:qFormat/>
    <w:uiPriority w:val="99"/>
    <w:rPr>
      <w:rFonts w:ascii="Times New Roman" w:hAnsi="Times New Roman" w:eastAsia="宋体" w:cs="Times New Roman"/>
      <w:kern w:val="2"/>
      <w:sz w:val="21"/>
      <w:szCs w:val="24"/>
      <w:lang w:val="en-US" w:eastAsia="zh-CN" w:bidi="ar-SA"/>
    </w:rPr>
  </w:style>
  <w:style w:type="paragraph" w:customStyle="1" w:styleId="88">
    <w:name w:val="Char Char Char1"/>
    <w:basedOn w:val="1"/>
    <w:qFormat/>
    <w:uiPriority w:val="0"/>
    <w:rPr>
      <w:rFonts w:ascii="Tahoma" w:hAnsi="Tahoma"/>
      <w:sz w:val="24"/>
    </w:rPr>
  </w:style>
  <w:style w:type="paragraph" w:customStyle="1" w:styleId="89">
    <w:name w:val="列出段落1"/>
    <w:basedOn w:val="1"/>
    <w:qFormat/>
    <w:uiPriority w:val="0"/>
    <w:pPr>
      <w:ind w:firstLine="420" w:firstLineChars="200"/>
    </w:pPr>
    <w:rPr>
      <w:rFonts w:ascii="Calibri" w:hAnsi="Calibri"/>
      <w:szCs w:val="22"/>
    </w:rPr>
  </w:style>
  <w:style w:type="paragraph" w:customStyle="1" w:styleId="90">
    <w:name w:val="List Paragraph"/>
    <w:basedOn w:val="1"/>
    <w:qFormat/>
    <w:uiPriority w:val="34"/>
    <w:pPr>
      <w:ind w:firstLine="420" w:firstLineChars="200"/>
    </w:pPr>
  </w:style>
  <w:style w:type="paragraph" w:customStyle="1" w:styleId="91">
    <w:name w:val="Table Paragraph"/>
    <w:basedOn w:val="1"/>
    <w:qFormat/>
    <w:uiPriority w:val="1"/>
  </w:style>
  <w:style w:type="paragraph" w:customStyle="1" w:styleId="92">
    <w:name w:val="Other|1"/>
    <w:basedOn w:val="1"/>
    <w:qFormat/>
    <w:uiPriority w:val="0"/>
    <w:pPr>
      <w:jc w:val="center"/>
    </w:pPr>
    <w:rPr>
      <w:rFonts w:ascii="宋体" w:hAnsi="宋体" w:cs="宋体"/>
      <w:color w:val="000000"/>
      <w:lang w:val="zh-TW" w:eastAsia="zh-TW" w:bidi="zh-TW"/>
    </w:rPr>
  </w:style>
  <w:style w:type="paragraph" w:customStyle="1" w:styleId="93">
    <w:name w:val="Body text|1"/>
    <w:basedOn w:val="1"/>
    <w:qFormat/>
    <w:uiPriority w:val="0"/>
    <w:pPr>
      <w:spacing w:line="389" w:lineRule="auto"/>
    </w:pPr>
    <w:rPr>
      <w:rFonts w:ascii="宋体" w:hAnsi="宋体" w:cs="宋体"/>
      <w:color w:val="000000"/>
      <w:lang w:val="zh-TW" w:eastAsia="zh-TW" w:bidi="zh-TW"/>
    </w:rPr>
  </w:style>
  <w:style w:type="paragraph" w:customStyle="1" w:styleId="94">
    <w:name w:val="null3"/>
    <w:hidden/>
    <w:qFormat/>
    <w:uiPriority w:val="0"/>
    <w:rPr>
      <w:rFonts w:hint="eastAsia" w:ascii="Calibri" w:hAnsi="Calibri" w:eastAsia="宋体" w:cs="黑体"/>
      <w:lang w:val="en-US" w:eastAsia="zh-CN" w:bidi="ar-SA"/>
    </w:rPr>
  </w:style>
  <w:style w:type="paragraph" w:customStyle="1" w:styleId="95">
    <w:name w:val="Table Text"/>
    <w:basedOn w:val="1"/>
    <w:semiHidden/>
    <w:qFormat/>
    <w:uiPriority w:val="0"/>
    <w:rPr>
      <w:rFonts w:ascii="宋体" w:hAnsi="宋体" w:cs="宋体"/>
      <w:sz w:val="24"/>
      <w:szCs w:val="24"/>
      <w:lang w:eastAsia="en-US"/>
    </w:rPr>
  </w:style>
  <w:style w:type="character" w:customStyle="1" w:styleId="96">
    <w:name w:val="NormalCharacter"/>
    <w:qFormat/>
    <w:uiPriority w:val="0"/>
    <w:rPr>
      <w:rFonts w:ascii="Times New Roman" w:hAnsi="Times New Roman" w:eastAsia="宋体" w:cs="Times New Roman"/>
      <w:kern w:val="2"/>
      <w:sz w:val="21"/>
      <w:lang w:val="en-US" w:eastAsia="zh-CN" w:bidi="ar-SA"/>
    </w:rPr>
  </w:style>
  <w:style w:type="character" w:customStyle="1" w:styleId="97">
    <w:name w:val="标题 1 Char"/>
    <w:link w:val="2"/>
    <w:qFormat/>
    <w:uiPriority w:val="0"/>
    <w:rPr>
      <w:rFonts w:ascii="Calibri" w:hAnsi="Calibri" w:eastAsia="黑体" w:cs="Times New Roman"/>
      <w:b/>
      <w:bCs/>
      <w:kern w:val="44"/>
      <w:sz w:val="32"/>
      <w:szCs w:val="44"/>
    </w:rPr>
  </w:style>
  <w:style w:type="character" w:customStyle="1" w:styleId="98">
    <w:name w:val="标题 2 字符"/>
    <w:qFormat/>
    <w:uiPriority w:val="0"/>
    <w:rPr>
      <w:rFonts w:ascii="Cambria" w:hAnsi="Cambria" w:eastAsia="宋体" w:cs="Times New Roman"/>
      <w:b/>
      <w:bCs/>
      <w:sz w:val="32"/>
      <w:szCs w:val="32"/>
    </w:rPr>
  </w:style>
  <w:style w:type="character" w:customStyle="1" w:styleId="99">
    <w:name w:val="标题 3 Char"/>
    <w:link w:val="4"/>
    <w:qFormat/>
    <w:uiPriority w:val="0"/>
    <w:rPr>
      <w:rFonts w:ascii="Calibri" w:hAnsi="Calibri" w:eastAsia="黑体" w:cs="Times New Roman"/>
      <w:b/>
      <w:bCs/>
      <w:sz w:val="28"/>
      <w:szCs w:val="32"/>
    </w:rPr>
  </w:style>
  <w:style w:type="character" w:customStyle="1" w:styleId="100">
    <w:name w:val="标题 4 Char"/>
    <w:link w:val="5"/>
    <w:qFormat/>
    <w:uiPriority w:val="0"/>
    <w:rPr>
      <w:rFonts w:ascii="Arial" w:hAnsi="Arial" w:eastAsia="宋体" w:cs="Times New Roman"/>
      <w:b/>
      <w:bCs/>
      <w:sz w:val="28"/>
      <w:szCs w:val="28"/>
    </w:rPr>
  </w:style>
  <w:style w:type="character" w:customStyle="1" w:styleId="101">
    <w:name w:val="标题 5 Char"/>
    <w:link w:val="6"/>
    <w:qFormat/>
    <w:uiPriority w:val="0"/>
    <w:rPr>
      <w:rFonts w:ascii="Arial" w:hAnsi="Arial" w:eastAsia="宋体" w:cs="Times New Roman"/>
      <w:sz w:val="28"/>
      <w:szCs w:val="24"/>
    </w:rPr>
  </w:style>
  <w:style w:type="character" w:customStyle="1" w:styleId="102">
    <w:name w:val="标题 6 Char"/>
    <w:link w:val="7"/>
    <w:qFormat/>
    <w:uiPriority w:val="0"/>
    <w:rPr>
      <w:rFonts w:ascii="_GB2312" w:hAnsi="_GB2312" w:eastAsia="宋体" w:cs="Times New Roman"/>
      <w:b/>
      <w:bCs/>
      <w:color w:val="000000"/>
      <w:szCs w:val="24"/>
    </w:rPr>
  </w:style>
  <w:style w:type="character" w:customStyle="1" w:styleId="103">
    <w:name w:val="标题 7 Char"/>
    <w:link w:val="8"/>
    <w:qFormat/>
    <w:uiPriority w:val="0"/>
    <w:rPr>
      <w:rFonts w:ascii="Calibri" w:hAnsi="Calibri" w:eastAsia="宋体" w:cs="Times New Roman"/>
      <w:b/>
      <w:sz w:val="24"/>
      <w:szCs w:val="24"/>
    </w:rPr>
  </w:style>
  <w:style w:type="character" w:customStyle="1" w:styleId="104">
    <w:name w:val="正文缩进 Char"/>
    <w:link w:val="9"/>
    <w:qFormat/>
    <w:uiPriority w:val="0"/>
    <w:rPr>
      <w:szCs w:val="24"/>
    </w:rPr>
  </w:style>
  <w:style w:type="character" w:customStyle="1" w:styleId="105">
    <w:name w:val="标题 8 Char"/>
    <w:link w:val="10"/>
    <w:qFormat/>
    <w:uiPriority w:val="0"/>
    <w:rPr>
      <w:rFonts w:ascii="Arial" w:hAnsi="Arial" w:eastAsia="黑体" w:cs="Times New Roman"/>
      <w:sz w:val="24"/>
      <w:szCs w:val="24"/>
    </w:rPr>
  </w:style>
  <w:style w:type="character" w:customStyle="1" w:styleId="106">
    <w:name w:val="标题 9 Char"/>
    <w:link w:val="11"/>
    <w:qFormat/>
    <w:uiPriority w:val="0"/>
    <w:rPr>
      <w:rFonts w:ascii="Arial" w:hAnsi="Arial" w:eastAsia="黑体" w:cs="Times New Roman"/>
      <w:szCs w:val="24"/>
    </w:rPr>
  </w:style>
  <w:style w:type="character" w:customStyle="1" w:styleId="107">
    <w:name w:val="文档结构图 Char"/>
    <w:link w:val="13"/>
    <w:qFormat/>
    <w:uiPriority w:val="0"/>
    <w:rPr>
      <w:rFonts w:ascii="Calibri" w:hAnsi="Calibri" w:eastAsia="宋体" w:cs="Times New Roman"/>
      <w:szCs w:val="24"/>
      <w:shd w:val="clear" w:color="auto" w:fill="000080"/>
    </w:rPr>
  </w:style>
  <w:style w:type="character" w:customStyle="1" w:styleId="108">
    <w:name w:val="批注文字 Char1"/>
    <w:link w:val="14"/>
    <w:semiHidden/>
    <w:qFormat/>
    <w:uiPriority w:val="99"/>
    <w:rPr>
      <w:rFonts w:ascii="Times New Roman" w:hAnsi="Times New Roman" w:eastAsia="宋体" w:cs="Times New Roman"/>
      <w:szCs w:val="20"/>
    </w:rPr>
  </w:style>
  <w:style w:type="character" w:customStyle="1" w:styleId="109">
    <w:name w:val="正文文本 Char"/>
    <w:link w:val="15"/>
    <w:qFormat/>
    <w:uiPriority w:val="0"/>
    <w:rPr>
      <w:color w:val="FF0000"/>
      <w:szCs w:val="24"/>
    </w:rPr>
  </w:style>
  <w:style w:type="character" w:customStyle="1" w:styleId="110">
    <w:name w:val="正文文本缩进 Char1"/>
    <w:link w:val="16"/>
    <w:semiHidden/>
    <w:qFormat/>
    <w:uiPriority w:val="99"/>
    <w:rPr>
      <w:rFonts w:ascii="Times New Roman" w:hAnsi="Times New Roman" w:eastAsia="宋体" w:cs="Times New Roman"/>
      <w:szCs w:val="20"/>
    </w:rPr>
  </w:style>
  <w:style w:type="character" w:customStyle="1" w:styleId="111">
    <w:name w:val="纯文本 Char"/>
    <w:link w:val="19"/>
    <w:qFormat/>
    <w:uiPriority w:val="0"/>
    <w:rPr>
      <w:rFonts w:ascii="宋体" w:hAnsi="Courier New" w:eastAsia="宋体"/>
      <w:szCs w:val="21"/>
    </w:rPr>
  </w:style>
  <w:style w:type="character" w:customStyle="1" w:styleId="112">
    <w:name w:val="日期 Char"/>
    <w:link w:val="22"/>
    <w:qFormat/>
    <w:uiPriority w:val="0"/>
    <w:rPr>
      <w:sz w:val="28"/>
    </w:rPr>
  </w:style>
  <w:style w:type="character" w:customStyle="1" w:styleId="113">
    <w:name w:val="正文文本缩进 2 Char"/>
    <w:link w:val="23"/>
    <w:qFormat/>
    <w:uiPriority w:val="0"/>
    <w:rPr>
      <w:rFonts w:ascii="Arial" w:hAnsi="Arial"/>
      <w:color w:val="000000"/>
      <w:sz w:val="28"/>
      <w:szCs w:val="24"/>
    </w:rPr>
  </w:style>
  <w:style w:type="character" w:customStyle="1" w:styleId="114">
    <w:name w:val="批注框文本 Char"/>
    <w:link w:val="24"/>
    <w:qFormat/>
    <w:uiPriority w:val="0"/>
    <w:rPr>
      <w:rFonts w:ascii="Calibri" w:hAnsi="Calibri" w:eastAsia="宋体" w:cs="Times New Roman"/>
      <w:sz w:val="18"/>
      <w:szCs w:val="18"/>
    </w:rPr>
  </w:style>
  <w:style w:type="character" w:customStyle="1" w:styleId="115">
    <w:name w:val="页脚 Char"/>
    <w:link w:val="25"/>
    <w:qFormat/>
    <w:uiPriority w:val="99"/>
    <w:rPr>
      <w:sz w:val="18"/>
      <w:szCs w:val="18"/>
    </w:rPr>
  </w:style>
  <w:style w:type="character" w:customStyle="1" w:styleId="116">
    <w:name w:val="页眉 Char"/>
    <w:link w:val="26"/>
    <w:qFormat/>
    <w:uiPriority w:val="99"/>
    <w:rPr>
      <w:sz w:val="18"/>
      <w:szCs w:val="18"/>
    </w:rPr>
  </w:style>
  <w:style w:type="character" w:customStyle="1" w:styleId="117">
    <w:name w:val="脚注文本 Char"/>
    <w:link w:val="32"/>
    <w:qFormat/>
    <w:uiPriority w:val="0"/>
    <w:rPr>
      <w:rFonts w:ascii="Calibri" w:hAnsi="Calibri" w:eastAsia="宋体" w:cs="Times New Roman"/>
      <w:sz w:val="18"/>
      <w:szCs w:val="18"/>
    </w:rPr>
  </w:style>
  <w:style w:type="character" w:customStyle="1" w:styleId="118">
    <w:name w:val="正文文本缩进 3 Char"/>
    <w:link w:val="34"/>
    <w:qFormat/>
    <w:uiPriority w:val="0"/>
    <w:rPr>
      <w:rFonts w:ascii="Calibri" w:hAnsi="Calibri" w:eastAsia="宋体" w:cs="Times New Roman"/>
      <w:sz w:val="24"/>
      <w:szCs w:val="20"/>
    </w:rPr>
  </w:style>
  <w:style w:type="character" w:customStyle="1" w:styleId="119">
    <w:name w:val="正文文本 2 Char"/>
    <w:link w:val="37"/>
    <w:qFormat/>
    <w:uiPriority w:val="0"/>
    <w:rPr>
      <w:rFonts w:ascii="Arial" w:hAnsi="Arial"/>
      <w:b/>
      <w:bCs/>
      <w:sz w:val="28"/>
      <w:szCs w:val="24"/>
    </w:rPr>
  </w:style>
  <w:style w:type="character" w:customStyle="1" w:styleId="120">
    <w:name w:val="批注主题 Char"/>
    <w:link w:val="40"/>
    <w:qFormat/>
    <w:uiPriority w:val="0"/>
    <w:rPr>
      <w:rFonts w:ascii="Calibri" w:hAnsi="Calibri" w:eastAsia="宋体" w:cs="Times New Roman"/>
      <w:b/>
      <w:bCs/>
      <w:szCs w:val="24"/>
    </w:rPr>
  </w:style>
  <w:style w:type="character" w:customStyle="1" w:styleId="121">
    <w:name w:val="正文首行缩进 2 Char"/>
    <w:link w:val="41"/>
    <w:qFormat/>
    <w:uiPriority w:val="0"/>
    <w:rPr>
      <w:rFonts w:ascii="Times New Roman" w:hAnsi="Calibri" w:eastAsia="宋体" w:cs="Times New Roman"/>
      <w:szCs w:val="24"/>
    </w:rPr>
  </w:style>
  <w:style w:type="character" w:customStyle="1" w:styleId="122">
    <w:name w:val="批注文字 Char"/>
    <w:qFormat/>
    <w:uiPriority w:val="0"/>
    <w:rPr>
      <w:kern w:val="2"/>
      <w:sz w:val="21"/>
      <w:szCs w:val="24"/>
    </w:rPr>
  </w:style>
  <w:style w:type="character" w:customStyle="1" w:styleId="123">
    <w:name w:val="yqlink"/>
    <w:basedOn w:val="44"/>
    <w:qFormat/>
    <w:uiPriority w:val="0"/>
  </w:style>
  <w:style w:type="character" w:customStyle="1" w:styleId="124">
    <w:name w:val="z-窗体底端 字符"/>
    <w:link w:val="55"/>
    <w:qFormat/>
    <w:uiPriority w:val="0"/>
    <w:rPr>
      <w:rFonts w:ascii="Arial" w:hAnsi="Arial" w:eastAsia="宋体" w:cs="Arial"/>
      <w:vanish/>
      <w:kern w:val="0"/>
      <w:sz w:val="16"/>
      <w:szCs w:val="16"/>
    </w:rPr>
  </w:style>
  <w:style w:type="character" w:customStyle="1" w:styleId="125">
    <w:name w:val="Texte Char Char"/>
    <w:qFormat/>
    <w:uiPriority w:val="0"/>
    <w:rPr>
      <w:rFonts w:ascii="宋体" w:hAnsi="Courier New" w:eastAsia="宋体" w:cs="Courier New"/>
      <w:szCs w:val="21"/>
    </w:rPr>
  </w:style>
  <w:style w:type="character" w:customStyle="1" w:styleId="126">
    <w:name w:val="正文文本 Char1"/>
    <w:semiHidden/>
    <w:qFormat/>
    <w:uiPriority w:val="99"/>
    <w:rPr>
      <w:rFonts w:ascii="Times New Roman" w:hAnsi="Times New Roman" w:eastAsia="宋体" w:cs="Times New Roman"/>
      <w:szCs w:val="20"/>
    </w:rPr>
  </w:style>
  <w:style w:type="character" w:customStyle="1" w:styleId="127">
    <w:name w:val="正文文本 2 Char1"/>
    <w:semiHidden/>
    <w:qFormat/>
    <w:uiPriority w:val="99"/>
    <w:rPr>
      <w:rFonts w:ascii="Times New Roman" w:hAnsi="Times New Roman" w:eastAsia="宋体" w:cs="Times New Roman"/>
      <w:szCs w:val="20"/>
    </w:rPr>
  </w:style>
  <w:style w:type="character" w:customStyle="1" w:styleId="128">
    <w:name w:val="纯文本 Char2"/>
    <w:semiHidden/>
    <w:qFormat/>
    <w:uiPriority w:val="99"/>
    <w:rPr>
      <w:rFonts w:ascii="宋体" w:hAnsi="Courier New" w:eastAsia="宋体" w:cs="Courier New"/>
      <w:szCs w:val="21"/>
    </w:rPr>
  </w:style>
  <w:style w:type="character" w:customStyle="1" w:styleId="129">
    <w:name w:val="content1"/>
    <w:qFormat/>
    <w:uiPriority w:val="0"/>
    <w:rPr>
      <w:spacing w:val="360"/>
      <w:sz w:val="18"/>
      <w:szCs w:val="18"/>
    </w:rPr>
  </w:style>
  <w:style w:type="character" w:customStyle="1" w:styleId="130">
    <w:name w:val="z-窗体顶端 字符"/>
    <w:link w:val="56"/>
    <w:qFormat/>
    <w:uiPriority w:val="0"/>
    <w:rPr>
      <w:rFonts w:ascii="Arial" w:hAnsi="Arial" w:eastAsia="宋体" w:cs="Arial"/>
      <w:vanish/>
      <w:kern w:val="0"/>
      <w:sz w:val="16"/>
      <w:szCs w:val="16"/>
    </w:rPr>
  </w:style>
  <w:style w:type="character" w:customStyle="1" w:styleId="131">
    <w:name w:val="txt"/>
    <w:basedOn w:val="44"/>
    <w:qFormat/>
    <w:uiPriority w:val="0"/>
  </w:style>
  <w:style w:type="character" w:customStyle="1" w:styleId="132">
    <w:name w:val="正文文本缩进 2 Char1"/>
    <w:semiHidden/>
    <w:qFormat/>
    <w:uiPriority w:val="99"/>
    <w:rPr>
      <w:rFonts w:ascii="Times New Roman" w:hAnsi="Times New Roman" w:eastAsia="宋体" w:cs="Times New Roman"/>
      <w:szCs w:val="20"/>
    </w:rPr>
  </w:style>
  <w:style w:type="character" w:customStyle="1" w:styleId="133">
    <w:name w:val="title21"/>
    <w:qFormat/>
    <w:uiPriority w:val="0"/>
    <w:rPr>
      <w:b/>
      <w:bCs/>
      <w:color w:val="000000"/>
      <w:sz w:val="20"/>
      <w:szCs w:val="20"/>
      <w:u w:val="none"/>
    </w:rPr>
  </w:style>
  <w:style w:type="character" w:customStyle="1" w:styleId="134">
    <w:name w:val="ptdl Char"/>
    <w:link w:val="57"/>
    <w:qFormat/>
    <w:uiPriority w:val="0"/>
    <w:rPr>
      <w:sz w:val="24"/>
    </w:rPr>
  </w:style>
  <w:style w:type="character" w:customStyle="1" w:styleId="135">
    <w:name w:val="apple-converted-space"/>
    <w:qFormat/>
    <w:uiPriority w:val="0"/>
    <w:rPr>
      <w:rFonts w:cs="Times New Roman"/>
    </w:rPr>
  </w:style>
  <w:style w:type="character" w:customStyle="1" w:styleId="136">
    <w:name w:val="日期 Char1"/>
    <w:semiHidden/>
    <w:qFormat/>
    <w:uiPriority w:val="99"/>
    <w:rPr>
      <w:rFonts w:ascii="Times New Roman" w:hAnsi="Times New Roman" w:eastAsia="宋体" w:cs="Times New Roman"/>
      <w:szCs w:val="20"/>
    </w:rPr>
  </w:style>
  <w:style w:type="character" w:customStyle="1" w:styleId="137">
    <w:name w:val="纯文本 Char1"/>
    <w:qFormat/>
    <w:uiPriority w:val="0"/>
    <w:rPr>
      <w:rFonts w:ascii="宋体" w:hAnsi="Courier New" w:eastAsia="宋体"/>
      <w:kern w:val="2"/>
      <w:sz w:val="21"/>
      <w:szCs w:val="21"/>
      <w:lang w:val="en-US" w:eastAsia="zh-CN" w:bidi="ar-SA"/>
    </w:rPr>
  </w:style>
  <w:style w:type="character" w:customStyle="1" w:styleId="138">
    <w:name w:val="16"/>
    <w:qFormat/>
    <w:uiPriority w:val="0"/>
    <w:rPr>
      <w:rFonts w:hint="default" w:ascii="Verdana" w:hAnsi="Verdana" w:cs="Verdana"/>
      <w:color w:val="0000FF"/>
      <w:sz w:val="20"/>
      <w:szCs w:val="20"/>
      <w:u w:val="single"/>
    </w:rPr>
  </w:style>
  <w:style w:type="character" w:customStyle="1" w:styleId="139">
    <w:name w:val="正文文本缩进 Char"/>
    <w:qFormat/>
    <w:uiPriority w:val="0"/>
    <w:rPr>
      <w:rFonts w:ascii="宋体"/>
      <w:kern w:val="2"/>
      <w:sz w:val="28"/>
      <w:szCs w:val="24"/>
    </w:rPr>
  </w:style>
  <w:style w:type="character" w:customStyle="1" w:styleId="140">
    <w:name w:val="font71"/>
    <w:basedOn w:val="44"/>
    <w:qFormat/>
    <w:uiPriority w:val="0"/>
    <w:rPr>
      <w:rFonts w:hint="eastAsia" w:ascii="微软雅黑" w:hAnsi="微软雅黑" w:eastAsia="微软雅黑" w:cs="微软雅黑"/>
      <w:color w:val="000000"/>
      <w:sz w:val="16"/>
      <w:szCs w:val="16"/>
      <w:u w:val="none"/>
    </w:rPr>
  </w:style>
  <w:style w:type="character" w:customStyle="1" w:styleId="141">
    <w:name w:val="font81"/>
    <w:basedOn w:val="44"/>
    <w:qFormat/>
    <w:uiPriority w:val="0"/>
    <w:rPr>
      <w:rFonts w:hint="eastAsia" w:ascii="微软雅黑" w:hAnsi="微软雅黑" w:eastAsia="微软雅黑" w:cs="微软雅黑"/>
      <w:b/>
      <w:bCs/>
      <w:color w:val="000000"/>
      <w:sz w:val="16"/>
      <w:szCs w:val="16"/>
      <w:u w:val="none"/>
    </w:rPr>
  </w:style>
  <w:style w:type="character" w:customStyle="1" w:styleId="142">
    <w:name w:val="标题 2 Char"/>
    <w:link w:val="3"/>
    <w:qFormat/>
    <w:uiPriority w:val="0"/>
    <w:rPr>
      <w:rFonts w:ascii="Arial" w:hAnsi="Arial" w:eastAsia="黑体"/>
      <w:b/>
      <w:bCs/>
      <w:kern w:val="2"/>
      <w:sz w:val="30"/>
      <w:szCs w:val="32"/>
      <w:lang w:val="en-US" w:eastAsia="zh-CN" w:bidi="ar-SA"/>
    </w:rPr>
  </w:style>
  <w:style w:type="character" w:customStyle="1" w:styleId="143">
    <w:name w:val="Placeholder Text"/>
    <w:basedOn w:val="44"/>
    <w:semiHidden/>
    <w:qFormat/>
    <w:uiPriority w:val="99"/>
    <w:rPr>
      <w:color w:val="808080"/>
    </w:rPr>
  </w:style>
  <w:style w:type="paragraph" w:customStyle="1" w:styleId="144">
    <w:name w:val="1.正文"/>
    <w:basedOn w:val="1"/>
    <w:next w:val="1"/>
    <w:qFormat/>
    <w:uiPriority w:val="99"/>
    <w:rPr>
      <w:rFonts w:hAnsi="Times New Roman"/>
    </w:rPr>
  </w:style>
  <w:style w:type="character" w:customStyle="1" w:styleId="145">
    <w:name w:val="font41"/>
    <w:basedOn w:val="44"/>
    <w:qFormat/>
    <w:uiPriority w:val="0"/>
    <w:rPr>
      <w:rFonts w:hint="default" w:ascii="仿宋_GB2312" w:eastAsia="仿宋_GB2312" w:cs="仿宋_GB2312"/>
      <w:color w:val="000000"/>
      <w:sz w:val="18"/>
      <w:szCs w:val="18"/>
      <w:u w:val="none"/>
    </w:rPr>
  </w:style>
  <w:style w:type="character" w:customStyle="1" w:styleId="146">
    <w:name w:val="font61"/>
    <w:basedOn w:val="44"/>
    <w:qFormat/>
    <w:uiPriority w:val="0"/>
    <w:rPr>
      <w:rFonts w:hint="default" w:ascii="仿宋_GB2312" w:eastAsia="仿宋_GB2312" w:cs="仿宋_GB2312"/>
      <w:color w:val="FF0000"/>
      <w:sz w:val="18"/>
      <w:szCs w:val="18"/>
      <w:u w:val="none"/>
    </w:rPr>
  </w:style>
  <w:style w:type="character" w:customStyle="1" w:styleId="147">
    <w:name w:val="font11"/>
    <w:basedOn w:val="44"/>
    <w:qFormat/>
    <w:uiPriority w:val="0"/>
    <w:rPr>
      <w:rFonts w:hint="eastAsia" w:ascii="宋体" w:hAnsi="宋体" w:eastAsia="宋体" w:cs="宋体"/>
      <w:color w:val="000000"/>
      <w:sz w:val="18"/>
      <w:szCs w:val="18"/>
      <w:u w:val="none"/>
    </w:rPr>
  </w:style>
  <w:style w:type="paragraph" w:customStyle="1" w:styleId="148">
    <w:name w:val="p0"/>
    <w:basedOn w:val="1"/>
    <w:qFormat/>
    <w:uiPriority w:val="0"/>
    <w:pPr>
      <w:jc w:val="both"/>
    </w:pPr>
    <w:rPr>
      <w:rFonts w:ascii="Times New Roman" w:hAnsi="Times New Roman" w:cs="Times New Roman"/>
      <w:sz w:val="21"/>
      <w:szCs w:val="21"/>
    </w:rPr>
  </w:style>
  <w:style w:type="character" w:customStyle="1" w:styleId="149">
    <w:name w:val="标题 Char"/>
    <w:link w:val="39"/>
    <w:qFormat/>
    <w:uiPriority w:val="10"/>
    <w:rPr>
      <w:rFonts w:ascii="Cambria" w:hAnsi="Cambria" w:cs="Times New Roman"/>
      <w:b/>
      <w:bCs/>
      <w:szCs w:val="32"/>
    </w:rPr>
  </w:style>
  <w:style w:type="character" w:customStyle="1" w:styleId="150">
    <w:name w:val="副标题 Char"/>
    <w:link w:val="31"/>
    <w:qFormat/>
    <w:uiPriority w:val="11"/>
    <w:rPr>
      <w:rFonts w:ascii="Calibri Light" w:hAnsi="Calibri Light" w:cs="Times New Roman"/>
      <w:b/>
      <w:bCs/>
      <w:kern w:val="28"/>
      <w:sz w:val="32"/>
      <w:szCs w:val="32"/>
    </w:rPr>
  </w:style>
  <w:style w:type="paragraph" w:customStyle="1" w:styleId="151">
    <w:name w:val="列出段落2"/>
    <w:basedOn w:val="1"/>
    <w:qFormat/>
    <w:uiPriority w:val="34"/>
    <w:pPr>
      <w:ind w:firstLine="420" w:firstLineChars="200"/>
    </w:pPr>
  </w:style>
  <w:style w:type="paragraph" w:customStyle="1" w:styleId="152">
    <w:name w:val="reader-word-layer"/>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60</Pages>
  <Words>20640</Words>
  <Characters>21179</Characters>
  <Lines>274</Lines>
  <Paragraphs>77</Paragraphs>
  <TotalTime>1</TotalTime>
  <ScaleCrop>false</ScaleCrop>
  <LinksUpToDate>false</LinksUpToDate>
  <CharactersWithSpaces>21757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2022-12-21T03:08:00Z</dcterms:created>
  <dc:creator>FAN</dc:creator>
  <cp:lastModifiedBy>秦岳</cp:lastModifiedBy>
  <cp:lastPrinted>2025-12-25T08:03:00Z</cp:lastPrinted>
  <dcterms:modified xsi:type="dcterms:W3CDTF">2025-12-25T09:02:43Z</dcterms:modified>
  <dc:title>询 价 文 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C04FC7626FB24DC3BF8C3C198716660D_13</vt:lpwstr>
  </property>
  <property fmtid="{D5CDD505-2E9C-101B-9397-08002B2CF9AE}" pid="4" name="KSOTemplateDocerSaveRecord">
    <vt:lpwstr>eyJoZGlkIjoiY2I4ZTE5ODk4OTk3ZmVlYjE4ZWI4MDA2OTY3OTZkMjQiLCJ1c2VySWQiOiIyMjkyNDk5MjAifQ==</vt:lpwstr>
  </property>
</Properties>
</file>