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25.xml" ContentType="application/vnd.openxmlformats-officedocument.wordprocessingml.footer+xml"/>
  <Override PartName="/word/footer26.xml" ContentType="application/vnd.openxmlformats-officedocument.wordprocessingml.footer+xml"/>
  <Override PartName="/word/footer27.xml" ContentType="application/vnd.openxmlformats-officedocument.wordprocessingml.footer+xml"/>
  <Override PartName="/word/footer28.xml" ContentType="application/vnd.openxmlformats-officedocument.wordprocessingml.footer+xml"/>
  <Override PartName="/word/footer29.xml" ContentType="application/vnd.openxmlformats-officedocument.wordprocessingml.footer+xml"/>
  <Override PartName="/word/footer3.xml" ContentType="application/vnd.openxmlformats-officedocument.wordprocessingml.footer+xml"/>
  <Override PartName="/word/footer30.xml" ContentType="application/vnd.openxmlformats-officedocument.wordprocessingml.footer+xml"/>
  <Override PartName="/word/footer31.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Override PartName="/word/header26.xml" ContentType="application/vnd.openxmlformats-officedocument.wordprocessingml.header+xml"/>
  <Override PartName="/word/header27.xml" ContentType="application/vnd.openxmlformats-officedocument.wordprocessingml.header+xml"/>
  <Override PartName="/word/header28.xml" ContentType="application/vnd.openxmlformats-officedocument.wordprocessingml.header+xml"/>
  <Override PartName="/word/header29.xml" ContentType="application/vnd.openxmlformats-officedocument.wordprocessingml.header+xml"/>
  <Override PartName="/word/header3.xml" ContentType="application/vnd.openxmlformats-officedocument.wordprocessingml.header+xml"/>
  <Override PartName="/word/header30.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51A52AD">
      <w:pPr>
        <w:ind w:right="-136"/>
        <w:rPr>
          <w:rFonts w:ascii="宋体" w:hAnsi="宋体" w:cs="宋体"/>
          <w:b/>
          <w:color w:val="auto"/>
          <w:spacing w:val="20"/>
          <w:sz w:val="72"/>
          <w:szCs w:val="22"/>
          <w:highlight w:val="none"/>
        </w:rPr>
      </w:pPr>
    </w:p>
    <w:p w14:paraId="6AEC19A0">
      <w:pPr>
        <w:ind w:right="-136"/>
        <w:jc w:val="center"/>
        <w:rPr>
          <w:rFonts w:ascii="宋体" w:hAnsi="宋体" w:cs="宋体"/>
          <w:b/>
          <w:color w:val="auto"/>
          <w:spacing w:val="20"/>
          <w:sz w:val="72"/>
          <w:szCs w:val="22"/>
          <w:highlight w:val="none"/>
        </w:rPr>
      </w:pPr>
      <w:r>
        <w:rPr>
          <w:rFonts w:hint="eastAsia" w:ascii="宋体" w:hAnsi="宋体" w:cs="宋体"/>
          <w:b/>
          <w:color w:val="auto"/>
          <w:spacing w:val="20"/>
          <w:sz w:val="72"/>
          <w:szCs w:val="22"/>
          <w:highlight w:val="none"/>
        </w:rPr>
        <w:t>询 价 文 件</w:t>
      </w:r>
    </w:p>
    <w:p w14:paraId="74D043C4">
      <w:pPr>
        <w:jc w:val="center"/>
        <w:rPr>
          <w:rFonts w:hint="default" w:ascii="宋体" w:hAnsi="宋体" w:cs="宋体"/>
          <w:color w:val="auto"/>
          <w:sz w:val="24"/>
          <w:szCs w:val="24"/>
          <w:highlight w:val="none"/>
          <w:lang w:val="en-US"/>
        </w:rPr>
      </w:pPr>
      <w:r>
        <w:rPr>
          <w:rFonts w:hint="eastAsia" w:ascii="宋体" w:hAnsi="宋体" w:cs="宋体"/>
          <w:color w:val="auto"/>
          <w:sz w:val="24"/>
          <w:szCs w:val="24"/>
          <w:highlight w:val="none"/>
          <w:lang w:eastAsia="zh-CN"/>
        </w:rPr>
        <w:t>项目编号</w:t>
      </w:r>
      <w:r>
        <w:rPr>
          <w:rFonts w:hint="eastAsia" w:ascii="宋体" w:hAnsi="宋体" w:cs="宋体"/>
          <w:color w:val="auto"/>
          <w:sz w:val="24"/>
          <w:szCs w:val="24"/>
          <w:highlight w:val="none"/>
        </w:rPr>
        <w:t>：</w:t>
      </w:r>
      <w:r>
        <w:rPr>
          <w:rFonts w:hint="eastAsia" w:ascii="宋体" w:hAnsi="宋体" w:cs="宋体"/>
          <w:color w:val="auto"/>
          <w:sz w:val="24"/>
          <w:szCs w:val="24"/>
          <w:highlight w:val="none"/>
          <w:lang w:eastAsia="zh-CN"/>
        </w:rPr>
        <w:t xml:space="preserve"> </w:t>
      </w:r>
      <w:r>
        <w:rPr>
          <w:rFonts w:hint="eastAsia" w:ascii="宋体" w:hAnsi="宋体" w:cs="宋体"/>
          <w:color w:val="auto"/>
          <w:sz w:val="24"/>
          <w:szCs w:val="24"/>
          <w:highlight w:val="none"/>
          <w:lang w:val="en-US" w:eastAsia="zh-CN"/>
        </w:rPr>
        <w:t>GTWY2025-011</w:t>
      </w:r>
    </w:p>
    <w:p w14:paraId="51868C8F">
      <w:pPr>
        <w:rPr>
          <w:rFonts w:ascii="宋体" w:hAnsi="宋体" w:cs="宋体"/>
          <w:color w:val="auto"/>
          <w:highlight w:val="none"/>
        </w:rPr>
      </w:pPr>
    </w:p>
    <w:p w14:paraId="3E92A319">
      <w:pPr>
        <w:rPr>
          <w:rFonts w:ascii="宋体" w:hAnsi="宋体" w:cs="宋体"/>
          <w:color w:val="auto"/>
          <w:highlight w:val="none"/>
        </w:rPr>
      </w:pPr>
    </w:p>
    <w:p w14:paraId="5F141E5C">
      <w:pPr>
        <w:rPr>
          <w:rFonts w:ascii="宋体" w:hAnsi="宋体" w:cs="宋体"/>
          <w:color w:val="auto"/>
          <w:highlight w:val="none"/>
        </w:rPr>
      </w:pPr>
    </w:p>
    <w:p w14:paraId="3DD4E747">
      <w:pPr>
        <w:rPr>
          <w:rFonts w:ascii="宋体" w:hAnsi="宋体" w:cs="宋体"/>
          <w:color w:val="auto"/>
          <w:highlight w:val="none"/>
        </w:rPr>
      </w:pPr>
    </w:p>
    <w:p w14:paraId="0C3989D0">
      <w:pPr>
        <w:rPr>
          <w:rFonts w:ascii="宋体" w:hAnsi="宋体" w:cs="宋体"/>
          <w:color w:val="auto"/>
          <w:sz w:val="30"/>
          <w:szCs w:val="30"/>
          <w:highlight w:val="none"/>
        </w:rPr>
      </w:pPr>
    </w:p>
    <w:p w14:paraId="46AB8503">
      <w:pPr>
        <w:rPr>
          <w:rFonts w:ascii="宋体" w:hAnsi="宋体" w:cs="宋体"/>
          <w:color w:val="auto"/>
          <w:sz w:val="30"/>
          <w:szCs w:val="30"/>
          <w:highlight w:val="none"/>
        </w:rPr>
      </w:pPr>
    </w:p>
    <w:p w14:paraId="561698C3">
      <w:pPr>
        <w:rPr>
          <w:rFonts w:ascii="宋体" w:hAnsi="宋体" w:cs="宋体"/>
          <w:color w:val="auto"/>
          <w:sz w:val="30"/>
          <w:szCs w:val="30"/>
          <w:highlight w:val="none"/>
        </w:rPr>
      </w:pPr>
    </w:p>
    <w:p w14:paraId="58C1FEBC">
      <w:pPr>
        <w:jc w:val="center"/>
        <w:rPr>
          <w:rFonts w:ascii="宋体" w:hAnsi="宋体" w:cs="宋体"/>
          <w:color w:val="auto"/>
          <w:sz w:val="30"/>
          <w:szCs w:val="30"/>
          <w:highlight w:val="none"/>
        </w:rPr>
      </w:pPr>
    </w:p>
    <w:p w14:paraId="0B18629C">
      <w:pPr>
        <w:ind w:firstLine="0" w:firstLineChars="0"/>
        <w:jc w:val="center"/>
        <w:rPr>
          <w:rFonts w:hint="eastAsia" w:ascii="宋体" w:hAnsi="宋体" w:eastAsia="宋体" w:cs="宋体"/>
          <w:b w:val="0"/>
          <w:bCs w:val="0"/>
          <w:color w:val="auto"/>
          <w:spacing w:val="-10"/>
          <w:sz w:val="22"/>
          <w:szCs w:val="18"/>
          <w:highlight w:val="none"/>
          <w:u w:val="single"/>
          <w:lang w:eastAsia="zh-CN"/>
        </w:rPr>
      </w:pPr>
      <w:r>
        <w:rPr>
          <w:rFonts w:hint="eastAsia" w:ascii="宋体" w:hAnsi="宋体" w:cs="宋体"/>
          <w:b w:val="0"/>
          <w:bCs w:val="0"/>
          <w:color w:val="auto"/>
          <w:sz w:val="30"/>
          <w:szCs w:val="30"/>
          <w:highlight w:val="none"/>
        </w:rPr>
        <w:t>项目名称：</w:t>
      </w:r>
      <w:r>
        <w:rPr>
          <w:rFonts w:hint="eastAsia" w:ascii="宋体" w:hAnsi="宋体" w:cs="宋体"/>
          <w:b w:val="0"/>
          <w:bCs w:val="0"/>
          <w:color w:val="auto"/>
          <w:sz w:val="28"/>
          <w:szCs w:val="28"/>
          <w:highlight w:val="none"/>
          <w:u w:val="single"/>
          <w:lang w:eastAsia="zh-CN"/>
        </w:rPr>
        <w:t>源昌国际城维序服务</w:t>
      </w:r>
    </w:p>
    <w:p w14:paraId="49330780">
      <w:pPr>
        <w:ind w:firstLine="150" w:firstLineChars="50"/>
        <w:jc w:val="left"/>
        <w:rPr>
          <w:rFonts w:ascii="宋体" w:hAnsi="宋体" w:cs="宋体"/>
          <w:color w:val="auto"/>
          <w:sz w:val="30"/>
          <w:szCs w:val="30"/>
          <w:highlight w:val="none"/>
        </w:rPr>
      </w:pPr>
    </w:p>
    <w:p w14:paraId="4CEE2370">
      <w:pPr>
        <w:spacing w:line="600" w:lineRule="exact"/>
        <w:ind w:firstLine="900" w:firstLineChars="300"/>
        <w:jc w:val="left"/>
        <w:rPr>
          <w:rFonts w:hint="eastAsia" w:ascii="宋体" w:hAnsi="宋体" w:cs="宋体"/>
          <w:color w:val="auto"/>
          <w:sz w:val="30"/>
          <w:szCs w:val="30"/>
          <w:highlight w:val="none"/>
        </w:rPr>
      </w:pPr>
    </w:p>
    <w:p w14:paraId="10E4C786">
      <w:pPr>
        <w:spacing w:line="600" w:lineRule="exact"/>
        <w:ind w:firstLine="900" w:firstLineChars="300"/>
        <w:jc w:val="left"/>
        <w:rPr>
          <w:rFonts w:hint="eastAsia" w:ascii="宋体" w:hAnsi="宋体" w:cs="宋体"/>
          <w:color w:val="auto"/>
          <w:sz w:val="30"/>
          <w:szCs w:val="30"/>
          <w:highlight w:val="none"/>
        </w:rPr>
      </w:pPr>
    </w:p>
    <w:p w14:paraId="76368049">
      <w:pPr>
        <w:spacing w:line="600" w:lineRule="exact"/>
        <w:ind w:firstLine="900" w:firstLineChars="300"/>
        <w:jc w:val="left"/>
        <w:rPr>
          <w:rFonts w:hint="eastAsia" w:ascii="宋体" w:hAnsi="宋体" w:cs="宋体"/>
          <w:color w:val="auto"/>
          <w:sz w:val="30"/>
          <w:szCs w:val="30"/>
          <w:highlight w:val="none"/>
        </w:rPr>
      </w:pPr>
    </w:p>
    <w:p w14:paraId="1CB27C96">
      <w:pPr>
        <w:spacing w:line="600" w:lineRule="exact"/>
        <w:ind w:firstLine="900" w:firstLineChars="300"/>
        <w:jc w:val="left"/>
        <w:rPr>
          <w:rFonts w:hint="eastAsia" w:ascii="宋体" w:hAnsi="宋体" w:cs="宋体"/>
          <w:color w:val="auto"/>
          <w:sz w:val="30"/>
          <w:szCs w:val="30"/>
          <w:highlight w:val="none"/>
          <w:u w:val="single"/>
        </w:rPr>
      </w:pPr>
      <w:r>
        <w:rPr>
          <w:rFonts w:hint="eastAsia" w:ascii="宋体" w:hAnsi="宋体" w:cs="宋体"/>
          <w:color w:val="auto"/>
          <w:sz w:val="30"/>
          <w:szCs w:val="30"/>
          <w:highlight w:val="none"/>
        </w:rPr>
        <w:t>采购</w:t>
      </w:r>
      <w:r>
        <w:rPr>
          <w:rFonts w:hint="eastAsia" w:ascii="宋体" w:hAnsi="宋体" w:cs="宋体"/>
          <w:color w:val="auto"/>
          <w:sz w:val="30"/>
          <w:szCs w:val="30"/>
          <w:highlight w:val="none"/>
          <w:lang w:val="en-US" w:eastAsia="zh-CN"/>
        </w:rPr>
        <w:t>人</w:t>
      </w:r>
      <w:r>
        <w:rPr>
          <w:rFonts w:hint="eastAsia" w:ascii="宋体" w:hAnsi="宋体" w:cs="宋体"/>
          <w:color w:val="auto"/>
          <w:sz w:val="30"/>
          <w:szCs w:val="30"/>
          <w:highlight w:val="none"/>
        </w:rPr>
        <w:t>：</w:t>
      </w:r>
      <w:r>
        <w:rPr>
          <w:rFonts w:hint="eastAsia" w:ascii="宋体" w:hAnsi="宋体" w:cs="宋体"/>
          <w:color w:val="auto"/>
          <w:sz w:val="30"/>
          <w:szCs w:val="30"/>
          <w:highlight w:val="none"/>
          <w:u w:val="single"/>
        </w:rPr>
        <w:t xml:space="preserve">  </w:t>
      </w:r>
      <w:r>
        <w:rPr>
          <w:rFonts w:hint="eastAsia" w:ascii="宋体" w:hAnsi="宋体" w:cs="宋体"/>
          <w:b w:val="0"/>
          <w:bCs w:val="0"/>
          <w:color w:val="auto"/>
          <w:kern w:val="2"/>
          <w:sz w:val="30"/>
          <w:szCs w:val="30"/>
          <w:highlight w:val="none"/>
          <w:u w:val="single"/>
        </w:rPr>
        <w:t>厦门湖里国投物业服务有限公司</w:t>
      </w:r>
    </w:p>
    <w:p w14:paraId="0717EB0A">
      <w:pPr>
        <w:spacing w:line="600" w:lineRule="exact"/>
        <w:ind w:firstLine="900" w:firstLineChars="300"/>
        <w:jc w:val="left"/>
        <w:rPr>
          <w:rFonts w:ascii="宋体" w:hAnsi="宋体" w:cs="宋体"/>
          <w:color w:val="auto"/>
          <w:sz w:val="30"/>
          <w:szCs w:val="30"/>
          <w:highlight w:val="none"/>
        </w:rPr>
      </w:pPr>
      <w:r>
        <w:rPr>
          <w:rFonts w:hint="eastAsia" w:ascii="宋体" w:hAnsi="宋体" w:cs="宋体"/>
          <w:color w:val="auto"/>
          <w:sz w:val="30"/>
          <w:szCs w:val="30"/>
          <w:highlight w:val="none"/>
        </w:rPr>
        <w:t>代理单位：</w:t>
      </w:r>
      <w:r>
        <w:rPr>
          <w:rFonts w:hint="eastAsia" w:ascii="宋体" w:hAnsi="宋体" w:cs="宋体"/>
          <w:color w:val="auto"/>
          <w:sz w:val="30"/>
          <w:szCs w:val="30"/>
          <w:highlight w:val="none"/>
          <w:u w:val="single"/>
        </w:rPr>
        <w:t xml:space="preserve">  </w:t>
      </w:r>
      <w:r>
        <w:rPr>
          <w:rFonts w:hint="eastAsia" w:ascii="宋体" w:hAnsi="宋体" w:cs="宋体"/>
          <w:color w:val="auto"/>
          <w:sz w:val="30"/>
          <w:szCs w:val="30"/>
          <w:highlight w:val="none"/>
          <w:u w:val="single"/>
          <w:lang w:eastAsia="zh-CN"/>
        </w:rPr>
        <w:t>厦门</w:t>
      </w:r>
      <w:r>
        <w:rPr>
          <w:rFonts w:hint="eastAsia" w:ascii="宋体" w:hAnsi="宋体" w:cs="宋体"/>
          <w:color w:val="auto"/>
          <w:sz w:val="30"/>
          <w:szCs w:val="30"/>
          <w:highlight w:val="none"/>
          <w:u w:val="single"/>
          <w:lang w:val="en-US" w:eastAsia="zh-CN"/>
        </w:rPr>
        <w:t xml:space="preserve">湖里国投工程建设有限公司    </w:t>
      </w:r>
      <w:r>
        <w:rPr>
          <w:rFonts w:hint="eastAsia" w:ascii="宋体" w:hAnsi="宋体" w:cs="宋体"/>
          <w:color w:val="auto"/>
          <w:sz w:val="30"/>
          <w:szCs w:val="30"/>
          <w:highlight w:val="none"/>
          <w:u w:val="single"/>
        </w:rPr>
        <w:t>（盖章）</w:t>
      </w:r>
    </w:p>
    <w:p w14:paraId="494E6145">
      <w:pPr>
        <w:spacing w:line="600" w:lineRule="exact"/>
        <w:jc w:val="left"/>
        <w:rPr>
          <w:rFonts w:ascii="宋体" w:hAnsi="宋体" w:cs="宋体"/>
          <w:color w:val="auto"/>
          <w:sz w:val="30"/>
          <w:szCs w:val="30"/>
          <w:highlight w:val="none"/>
        </w:rPr>
      </w:pPr>
    </w:p>
    <w:p w14:paraId="269C63A9">
      <w:pPr>
        <w:spacing w:line="600" w:lineRule="exact"/>
        <w:ind w:firstLine="900" w:firstLineChars="300"/>
        <w:jc w:val="left"/>
        <w:rPr>
          <w:rFonts w:ascii="宋体" w:hAnsi="宋体" w:cs="宋体"/>
          <w:b/>
          <w:color w:val="auto"/>
          <w:sz w:val="30"/>
          <w:szCs w:val="30"/>
          <w:highlight w:val="none"/>
        </w:rPr>
      </w:pPr>
      <w:r>
        <w:rPr>
          <w:rFonts w:hint="eastAsia" w:ascii="宋体" w:hAnsi="宋体" w:cs="宋体"/>
          <w:color w:val="auto"/>
          <w:sz w:val="30"/>
          <w:szCs w:val="30"/>
          <w:highlight w:val="none"/>
        </w:rPr>
        <w:t>编 制  日 期：</w:t>
      </w:r>
      <w:r>
        <w:rPr>
          <w:rFonts w:hint="eastAsia" w:ascii="宋体" w:hAnsi="宋体" w:cs="宋体"/>
          <w:color w:val="auto"/>
          <w:sz w:val="30"/>
          <w:szCs w:val="30"/>
          <w:highlight w:val="none"/>
          <w:u w:val="single"/>
        </w:rPr>
        <w:t xml:space="preserve">     2025年</w:t>
      </w:r>
      <w:r>
        <w:rPr>
          <w:rFonts w:hint="eastAsia" w:ascii="宋体" w:hAnsi="宋体" w:cs="宋体"/>
          <w:color w:val="auto"/>
          <w:sz w:val="30"/>
          <w:szCs w:val="30"/>
          <w:highlight w:val="none"/>
          <w:u w:val="single"/>
          <w:lang w:val="en-US" w:eastAsia="zh-CN"/>
        </w:rPr>
        <w:t>12</w:t>
      </w:r>
      <w:r>
        <w:rPr>
          <w:rFonts w:hint="eastAsia" w:ascii="宋体" w:hAnsi="宋体" w:cs="宋体"/>
          <w:color w:val="auto"/>
          <w:sz w:val="30"/>
          <w:szCs w:val="30"/>
          <w:highlight w:val="none"/>
          <w:u w:val="single"/>
        </w:rPr>
        <w:t xml:space="preserve">月             </w:t>
      </w:r>
    </w:p>
    <w:p w14:paraId="7BF3D2B0">
      <w:pPr>
        <w:pageBreakBefore/>
        <w:spacing w:line="480" w:lineRule="exact"/>
        <w:jc w:val="left"/>
        <w:rPr>
          <w:rFonts w:ascii="宋体" w:hAnsi="宋体" w:cs="宋体"/>
          <w:color w:val="auto"/>
          <w:sz w:val="32"/>
          <w:szCs w:val="32"/>
          <w:highlight w:val="none"/>
        </w:rPr>
        <w:sectPr>
          <w:headerReference r:id="rId4" w:type="first"/>
          <w:footerReference r:id="rId6" w:type="first"/>
          <w:headerReference r:id="rId3" w:type="default"/>
          <w:footerReference r:id="rId5" w:type="default"/>
          <w:pgSz w:w="11906" w:h="16838"/>
          <w:pgMar w:top="1418" w:right="1418" w:bottom="1418" w:left="1418" w:header="851" w:footer="992" w:gutter="0"/>
          <w:pgNumType w:fmt="decimal"/>
          <w:cols w:space="720" w:num="1"/>
          <w:titlePg/>
          <w:docGrid w:type="lines" w:linePitch="303" w:charSpace="0"/>
        </w:sectPr>
      </w:pPr>
    </w:p>
    <w:p w14:paraId="342A46F9">
      <w:pPr>
        <w:jc w:val="center"/>
        <w:rPr>
          <w:rFonts w:ascii="宋体" w:hAnsi="宋体" w:cs="宋体"/>
          <w:color w:val="auto"/>
          <w:kern w:val="0"/>
          <w:sz w:val="32"/>
          <w:szCs w:val="32"/>
          <w:highlight w:val="none"/>
        </w:rPr>
      </w:pPr>
      <w:r>
        <w:rPr>
          <w:rFonts w:hint="eastAsia" w:ascii="宋体" w:hAnsi="宋体" w:cs="宋体"/>
          <w:color w:val="auto"/>
          <w:kern w:val="0"/>
          <w:sz w:val="32"/>
          <w:szCs w:val="32"/>
          <w:highlight w:val="none"/>
        </w:rPr>
        <w:t>目录</w:t>
      </w:r>
    </w:p>
    <w:p w14:paraId="06316333">
      <w:pPr>
        <w:pStyle w:val="27"/>
        <w:tabs>
          <w:tab w:val="right" w:leader="dot" w:pos="9070"/>
        </w:tabs>
        <w:rPr>
          <w:rFonts w:ascii="宋体" w:hAnsi="宋体" w:cs="宋体"/>
          <w:b w:val="0"/>
          <w:bCs w:val="0"/>
          <w:color w:val="auto"/>
          <w:sz w:val="28"/>
          <w:szCs w:val="28"/>
          <w:highlight w:val="none"/>
        </w:rPr>
      </w:pPr>
      <w:r>
        <w:rPr>
          <w:rFonts w:hint="eastAsia" w:ascii="宋体" w:hAnsi="宋体" w:cs="宋体"/>
          <w:color w:val="auto"/>
          <w:sz w:val="32"/>
          <w:szCs w:val="32"/>
          <w:highlight w:val="none"/>
        </w:rPr>
        <w:fldChar w:fldCharType="begin"/>
      </w:r>
      <w:r>
        <w:rPr>
          <w:rFonts w:hint="eastAsia" w:ascii="宋体" w:hAnsi="宋体" w:cs="宋体"/>
          <w:color w:val="auto"/>
          <w:sz w:val="32"/>
          <w:szCs w:val="32"/>
          <w:highlight w:val="none"/>
        </w:rPr>
        <w:instrText xml:space="preserve">TOC \o "1-1" \h \u </w:instrText>
      </w:r>
      <w:r>
        <w:rPr>
          <w:rFonts w:hint="eastAsia" w:ascii="宋体" w:hAnsi="宋体" w:cs="宋体"/>
          <w:color w:val="auto"/>
          <w:sz w:val="32"/>
          <w:szCs w:val="32"/>
          <w:highlight w:val="none"/>
        </w:rPr>
        <w:fldChar w:fldCharType="separate"/>
      </w:r>
      <w:r>
        <w:rPr>
          <w:color w:val="auto"/>
          <w:highlight w:val="none"/>
        </w:rPr>
        <w:fldChar w:fldCharType="begin"/>
      </w:r>
      <w:r>
        <w:rPr>
          <w:color w:val="auto"/>
          <w:highlight w:val="none"/>
        </w:rPr>
        <w:instrText xml:space="preserve">HYPERLINK  \l "_Toc21272" </w:instrText>
      </w:r>
      <w:r>
        <w:rPr>
          <w:color w:val="auto"/>
          <w:highlight w:val="none"/>
        </w:rPr>
        <w:fldChar w:fldCharType="separate"/>
      </w:r>
      <w:r>
        <w:rPr>
          <w:rFonts w:hint="eastAsia" w:ascii="宋体" w:hAnsi="宋体" w:cs="宋体"/>
          <w:b w:val="0"/>
          <w:bCs w:val="0"/>
          <w:color w:val="auto"/>
          <w:sz w:val="28"/>
          <w:szCs w:val="28"/>
          <w:highlight w:val="none"/>
        </w:rPr>
        <w:t xml:space="preserve">第一章  询 价 </w:t>
      </w:r>
      <w:r>
        <w:rPr>
          <w:rFonts w:hint="eastAsia" w:ascii="宋体" w:hAnsi="宋体" w:cs="宋体"/>
          <w:b w:val="0"/>
          <w:bCs w:val="0"/>
          <w:color w:val="auto"/>
          <w:sz w:val="28"/>
          <w:szCs w:val="28"/>
          <w:highlight w:val="none"/>
          <w:lang w:eastAsia="zh-CN"/>
        </w:rPr>
        <w:t>邀</w:t>
      </w:r>
      <w:r>
        <w:rPr>
          <w:rFonts w:hint="eastAsia" w:ascii="宋体" w:hAnsi="宋体" w:cs="宋体"/>
          <w:b w:val="0"/>
          <w:bCs w:val="0"/>
          <w:color w:val="auto"/>
          <w:sz w:val="28"/>
          <w:szCs w:val="28"/>
          <w:highlight w:val="none"/>
          <w:lang w:val="en-US" w:eastAsia="zh-CN"/>
        </w:rPr>
        <w:t xml:space="preserve"> </w:t>
      </w:r>
      <w:r>
        <w:rPr>
          <w:rFonts w:hint="eastAsia" w:ascii="宋体" w:hAnsi="宋体" w:cs="宋体"/>
          <w:b w:val="0"/>
          <w:bCs w:val="0"/>
          <w:color w:val="auto"/>
          <w:sz w:val="28"/>
          <w:szCs w:val="28"/>
          <w:highlight w:val="none"/>
          <w:lang w:eastAsia="zh-CN"/>
        </w:rPr>
        <w:t>请</w:t>
      </w:r>
      <w:r>
        <w:rPr>
          <w:rFonts w:hint="eastAsia" w:ascii="宋体" w:hAnsi="宋体" w:cs="宋体"/>
          <w:b w:val="0"/>
          <w:bCs w:val="0"/>
          <w:color w:val="auto"/>
          <w:sz w:val="28"/>
          <w:szCs w:val="28"/>
          <w:highlight w:val="none"/>
        </w:rPr>
        <w:tab/>
      </w:r>
      <w:r>
        <w:rPr>
          <w:rFonts w:hint="eastAsia" w:ascii="宋体" w:hAnsi="宋体" w:cs="宋体"/>
          <w:b w:val="0"/>
          <w:bCs w:val="0"/>
          <w:color w:val="auto"/>
          <w:sz w:val="28"/>
          <w:szCs w:val="28"/>
          <w:highlight w:val="none"/>
        </w:rPr>
        <w:fldChar w:fldCharType="begin"/>
      </w:r>
      <w:r>
        <w:rPr>
          <w:rFonts w:hint="eastAsia" w:ascii="宋体" w:hAnsi="宋体" w:cs="宋体"/>
          <w:b w:val="0"/>
          <w:bCs w:val="0"/>
          <w:color w:val="auto"/>
          <w:sz w:val="28"/>
          <w:szCs w:val="28"/>
          <w:highlight w:val="none"/>
        </w:rPr>
        <w:instrText xml:space="preserve"> PAGEREF _Toc21272 \h </w:instrText>
      </w:r>
      <w:r>
        <w:rPr>
          <w:rFonts w:hint="eastAsia" w:ascii="宋体" w:hAnsi="宋体" w:cs="宋体"/>
          <w:b w:val="0"/>
          <w:bCs w:val="0"/>
          <w:color w:val="auto"/>
          <w:sz w:val="28"/>
          <w:szCs w:val="28"/>
          <w:highlight w:val="none"/>
        </w:rPr>
        <w:fldChar w:fldCharType="separate"/>
      </w:r>
      <w:r>
        <w:rPr>
          <w:rFonts w:hint="eastAsia" w:ascii="宋体" w:hAnsi="宋体" w:cs="宋体"/>
          <w:b w:val="0"/>
          <w:bCs w:val="0"/>
          <w:color w:val="auto"/>
          <w:sz w:val="28"/>
          <w:szCs w:val="28"/>
          <w:highlight w:val="none"/>
        </w:rPr>
        <w:t>3</w:t>
      </w:r>
      <w:r>
        <w:rPr>
          <w:rFonts w:hint="eastAsia" w:ascii="宋体" w:hAnsi="宋体" w:cs="宋体"/>
          <w:b w:val="0"/>
          <w:bCs w:val="0"/>
          <w:color w:val="auto"/>
          <w:sz w:val="28"/>
          <w:szCs w:val="28"/>
          <w:highlight w:val="none"/>
        </w:rPr>
        <w:fldChar w:fldCharType="end"/>
      </w:r>
      <w:r>
        <w:rPr>
          <w:color w:val="auto"/>
          <w:highlight w:val="none"/>
        </w:rPr>
        <w:fldChar w:fldCharType="end"/>
      </w:r>
    </w:p>
    <w:p w14:paraId="5CB35BBF">
      <w:pPr>
        <w:pStyle w:val="27"/>
        <w:tabs>
          <w:tab w:val="right" w:leader="dot" w:pos="9070"/>
        </w:tabs>
        <w:rPr>
          <w:rFonts w:hint="eastAsia" w:ascii="宋体" w:hAnsi="宋体" w:eastAsia="宋体" w:cs="宋体"/>
          <w:b w:val="0"/>
          <w:bCs w:val="0"/>
          <w:color w:val="auto"/>
          <w:sz w:val="28"/>
          <w:szCs w:val="28"/>
          <w:highlight w:val="none"/>
          <w:lang w:eastAsia="zh-CN"/>
        </w:rPr>
      </w:pPr>
      <w:r>
        <w:rPr>
          <w:color w:val="auto"/>
          <w:highlight w:val="none"/>
        </w:rPr>
        <w:fldChar w:fldCharType="begin"/>
      </w:r>
      <w:r>
        <w:rPr>
          <w:color w:val="auto"/>
          <w:highlight w:val="none"/>
        </w:rPr>
        <w:instrText xml:space="preserve">HYPERLINK  \l "_Toc23539" </w:instrText>
      </w:r>
      <w:r>
        <w:rPr>
          <w:color w:val="auto"/>
          <w:highlight w:val="none"/>
        </w:rPr>
        <w:fldChar w:fldCharType="separate"/>
      </w:r>
      <w:r>
        <w:rPr>
          <w:rFonts w:hint="eastAsia" w:ascii="宋体" w:hAnsi="宋体" w:cs="宋体"/>
          <w:b w:val="0"/>
          <w:bCs w:val="0"/>
          <w:color w:val="auto"/>
          <w:sz w:val="28"/>
          <w:szCs w:val="28"/>
          <w:highlight w:val="none"/>
        </w:rPr>
        <w:t>第二章  供应商须知</w:t>
      </w:r>
      <w:r>
        <w:rPr>
          <w:rFonts w:hint="eastAsia" w:ascii="宋体" w:hAnsi="宋体" w:cs="宋体"/>
          <w:b w:val="0"/>
          <w:bCs w:val="0"/>
          <w:color w:val="auto"/>
          <w:sz w:val="28"/>
          <w:szCs w:val="28"/>
          <w:highlight w:val="none"/>
        </w:rPr>
        <w:tab/>
      </w:r>
      <w:r>
        <w:rPr>
          <w:color w:val="auto"/>
          <w:highlight w:val="none"/>
        </w:rPr>
        <w:fldChar w:fldCharType="end"/>
      </w:r>
      <w:r>
        <w:rPr>
          <w:rFonts w:hint="eastAsia" w:ascii="宋体" w:hAnsi="宋体" w:cs="宋体"/>
          <w:b w:val="0"/>
          <w:bCs w:val="0"/>
          <w:color w:val="auto"/>
          <w:sz w:val="28"/>
          <w:szCs w:val="28"/>
          <w:highlight w:val="none"/>
          <w:lang w:val="en-US" w:eastAsia="zh-CN"/>
        </w:rPr>
        <w:t>6</w:t>
      </w:r>
    </w:p>
    <w:p w14:paraId="441B421D">
      <w:pPr>
        <w:pStyle w:val="27"/>
        <w:tabs>
          <w:tab w:val="right" w:leader="dot" w:pos="9070"/>
        </w:tabs>
        <w:rPr>
          <w:rFonts w:hint="default" w:ascii="宋体" w:hAnsi="宋体" w:eastAsia="宋体" w:cs="宋体"/>
          <w:b w:val="0"/>
          <w:bCs w:val="0"/>
          <w:color w:val="auto"/>
          <w:sz w:val="28"/>
          <w:szCs w:val="28"/>
          <w:highlight w:val="none"/>
          <w:lang w:val="en-US" w:eastAsia="zh-CN"/>
        </w:rPr>
      </w:pPr>
      <w:r>
        <w:rPr>
          <w:color w:val="auto"/>
          <w:highlight w:val="none"/>
        </w:rPr>
        <w:fldChar w:fldCharType="begin"/>
      </w:r>
      <w:r>
        <w:rPr>
          <w:color w:val="auto"/>
          <w:highlight w:val="none"/>
        </w:rPr>
        <w:instrText xml:space="preserve">HYPERLINK  \l "_Toc32184" </w:instrText>
      </w:r>
      <w:r>
        <w:rPr>
          <w:color w:val="auto"/>
          <w:highlight w:val="none"/>
        </w:rPr>
        <w:fldChar w:fldCharType="separate"/>
      </w:r>
      <w:r>
        <w:rPr>
          <w:rFonts w:hint="eastAsia" w:ascii="宋体" w:hAnsi="宋体" w:cs="宋体"/>
          <w:b w:val="0"/>
          <w:bCs w:val="0"/>
          <w:color w:val="auto"/>
          <w:sz w:val="28"/>
          <w:szCs w:val="28"/>
          <w:highlight w:val="none"/>
        </w:rPr>
        <w:t>第三章  项目内容及要求</w:t>
      </w:r>
      <w:r>
        <w:rPr>
          <w:rFonts w:hint="eastAsia" w:ascii="宋体" w:hAnsi="宋体" w:cs="宋体"/>
          <w:b w:val="0"/>
          <w:bCs w:val="0"/>
          <w:color w:val="auto"/>
          <w:sz w:val="28"/>
          <w:szCs w:val="28"/>
          <w:highlight w:val="none"/>
        </w:rPr>
        <w:tab/>
      </w:r>
      <w:r>
        <w:rPr>
          <w:color w:val="auto"/>
          <w:highlight w:val="none"/>
        </w:rPr>
        <w:fldChar w:fldCharType="end"/>
      </w:r>
      <w:r>
        <w:rPr>
          <w:rFonts w:hint="eastAsia" w:ascii="宋体" w:hAnsi="宋体" w:cs="宋体"/>
          <w:b w:val="0"/>
          <w:bCs w:val="0"/>
          <w:color w:val="auto"/>
          <w:sz w:val="28"/>
          <w:szCs w:val="28"/>
          <w:highlight w:val="none"/>
          <w:lang w:val="en-US" w:eastAsia="zh-CN"/>
        </w:rPr>
        <w:t>18</w:t>
      </w:r>
    </w:p>
    <w:p w14:paraId="3172A497">
      <w:pPr>
        <w:pStyle w:val="27"/>
        <w:tabs>
          <w:tab w:val="right" w:leader="dot" w:pos="9070"/>
        </w:tabs>
        <w:rPr>
          <w:rFonts w:hint="eastAsia" w:ascii="宋体" w:hAnsi="宋体" w:eastAsia="宋体" w:cs="宋体"/>
          <w:b w:val="0"/>
          <w:bCs w:val="0"/>
          <w:color w:val="auto"/>
          <w:sz w:val="28"/>
          <w:szCs w:val="28"/>
          <w:highlight w:val="none"/>
          <w:lang w:eastAsia="zh-CN"/>
        </w:rPr>
      </w:pPr>
      <w:r>
        <w:rPr>
          <w:color w:val="auto"/>
          <w:highlight w:val="none"/>
        </w:rPr>
        <w:fldChar w:fldCharType="begin"/>
      </w:r>
      <w:r>
        <w:rPr>
          <w:color w:val="auto"/>
          <w:highlight w:val="none"/>
        </w:rPr>
        <w:instrText xml:space="preserve">HYPERLINK  \l "_Toc1174" </w:instrText>
      </w:r>
      <w:r>
        <w:rPr>
          <w:color w:val="auto"/>
          <w:highlight w:val="none"/>
        </w:rPr>
        <w:fldChar w:fldCharType="separate"/>
      </w:r>
      <w:r>
        <w:rPr>
          <w:rFonts w:hint="eastAsia" w:ascii="宋体" w:hAnsi="宋体" w:cs="宋体"/>
          <w:b w:val="0"/>
          <w:bCs w:val="0"/>
          <w:color w:val="auto"/>
          <w:sz w:val="28"/>
          <w:szCs w:val="28"/>
          <w:highlight w:val="none"/>
        </w:rPr>
        <w:t>第四章  合同（参考文本）</w:t>
      </w:r>
      <w:r>
        <w:rPr>
          <w:rFonts w:hint="eastAsia" w:ascii="宋体" w:hAnsi="宋体" w:cs="宋体"/>
          <w:b w:val="0"/>
          <w:bCs w:val="0"/>
          <w:color w:val="auto"/>
          <w:sz w:val="28"/>
          <w:szCs w:val="28"/>
          <w:highlight w:val="none"/>
        </w:rPr>
        <w:tab/>
      </w:r>
      <w:r>
        <w:rPr>
          <w:rFonts w:hint="eastAsia" w:ascii="宋体" w:hAnsi="宋体" w:cs="宋体"/>
          <w:b w:val="0"/>
          <w:bCs w:val="0"/>
          <w:color w:val="auto"/>
          <w:sz w:val="28"/>
          <w:szCs w:val="28"/>
          <w:highlight w:val="none"/>
        </w:rPr>
        <w:t>2</w:t>
      </w:r>
      <w:r>
        <w:rPr>
          <w:color w:val="auto"/>
          <w:highlight w:val="none"/>
        </w:rPr>
        <w:fldChar w:fldCharType="end"/>
      </w:r>
      <w:r>
        <w:rPr>
          <w:rFonts w:hint="eastAsia" w:ascii="宋体" w:hAnsi="宋体" w:cs="宋体"/>
          <w:b w:val="0"/>
          <w:bCs w:val="0"/>
          <w:color w:val="auto"/>
          <w:sz w:val="28"/>
          <w:szCs w:val="28"/>
          <w:highlight w:val="none"/>
          <w:lang w:val="en-US" w:eastAsia="zh-CN"/>
        </w:rPr>
        <w:t>3</w:t>
      </w:r>
    </w:p>
    <w:p w14:paraId="1D357946">
      <w:pPr>
        <w:pStyle w:val="27"/>
        <w:tabs>
          <w:tab w:val="right" w:leader="dot" w:pos="9070"/>
        </w:tabs>
        <w:rPr>
          <w:rFonts w:hint="default" w:ascii="宋体" w:hAnsi="宋体" w:eastAsia="宋体" w:cs="宋体"/>
          <w:b w:val="0"/>
          <w:bCs w:val="0"/>
          <w:color w:val="auto"/>
          <w:sz w:val="28"/>
          <w:szCs w:val="28"/>
          <w:highlight w:val="none"/>
          <w:lang w:val="en-US" w:eastAsia="zh-CN"/>
        </w:rPr>
      </w:pPr>
      <w:r>
        <w:rPr>
          <w:color w:val="auto"/>
          <w:highlight w:val="none"/>
        </w:rPr>
        <w:fldChar w:fldCharType="begin"/>
      </w:r>
      <w:r>
        <w:rPr>
          <w:color w:val="auto"/>
          <w:highlight w:val="none"/>
        </w:rPr>
        <w:instrText xml:space="preserve">HYPERLINK  \l "_Toc2025" </w:instrText>
      </w:r>
      <w:r>
        <w:rPr>
          <w:color w:val="auto"/>
          <w:highlight w:val="none"/>
        </w:rPr>
        <w:fldChar w:fldCharType="separate"/>
      </w:r>
      <w:r>
        <w:rPr>
          <w:rFonts w:hint="eastAsia" w:ascii="宋体" w:hAnsi="宋体" w:cs="宋体"/>
          <w:b w:val="0"/>
          <w:bCs w:val="0"/>
          <w:color w:val="auto"/>
          <w:sz w:val="28"/>
          <w:szCs w:val="28"/>
          <w:highlight w:val="none"/>
        </w:rPr>
        <w:t>第五章  响应文件格式</w:t>
      </w:r>
      <w:r>
        <w:rPr>
          <w:rFonts w:hint="eastAsia" w:ascii="宋体" w:hAnsi="宋体" w:cs="宋体"/>
          <w:b w:val="0"/>
          <w:bCs w:val="0"/>
          <w:color w:val="auto"/>
          <w:sz w:val="28"/>
          <w:szCs w:val="28"/>
          <w:highlight w:val="none"/>
        </w:rPr>
        <w:tab/>
      </w:r>
      <w:r>
        <w:rPr>
          <w:color w:val="auto"/>
          <w:highlight w:val="none"/>
        </w:rPr>
        <w:fldChar w:fldCharType="end"/>
      </w:r>
      <w:r>
        <w:rPr>
          <w:rFonts w:hint="eastAsia" w:ascii="宋体" w:hAnsi="宋体" w:cs="宋体"/>
          <w:b w:val="0"/>
          <w:bCs w:val="0"/>
          <w:color w:val="auto"/>
          <w:sz w:val="28"/>
          <w:szCs w:val="28"/>
          <w:highlight w:val="none"/>
          <w:lang w:val="en-US" w:eastAsia="zh-CN"/>
        </w:rPr>
        <w:t>55</w:t>
      </w:r>
    </w:p>
    <w:p w14:paraId="06B1C10B">
      <w:pPr>
        <w:pStyle w:val="27"/>
        <w:tabs>
          <w:tab w:val="right" w:leader="dot" w:pos="9070"/>
        </w:tabs>
        <w:rPr>
          <w:rFonts w:ascii="宋体" w:hAnsi="宋体" w:cs="宋体"/>
          <w:color w:val="auto"/>
          <w:highlight w:val="none"/>
        </w:rPr>
      </w:pPr>
    </w:p>
    <w:p w14:paraId="47009D36">
      <w:pPr>
        <w:rPr>
          <w:rFonts w:ascii="宋体" w:hAnsi="宋体" w:cs="宋体"/>
          <w:color w:val="auto"/>
          <w:szCs w:val="32"/>
          <w:highlight w:val="none"/>
        </w:rPr>
      </w:pPr>
      <w:r>
        <w:rPr>
          <w:rFonts w:hint="eastAsia" w:ascii="宋体" w:hAnsi="宋体" w:cs="宋体"/>
          <w:color w:val="auto"/>
          <w:szCs w:val="32"/>
          <w:highlight w:val="none"/>
        </w:rPr>
        <w:fldChar w:fldCharType="end"/>
      </w:r>
    </w:p>
    <w:p w14:paraId="31AD2E80">
      <w:pPr>
        <w:widowControl/>
        <w:jc w:val="left"/>
        <w:rPr>
          <w:rFonts w:ascii="宋体" w:hAnsi="宋体" w:cs="宋体"/>
          <w:b/>
          <w:bCs/>
          <w:color w:val="auto"/>
          <w:sz w:val="32"/>
          <w:szCs w:val="32"/>
          <w:highlight w:val="none"/>
        </w:rPr>
      </w:pPr>
      <w:bookmarkStart w:id="0" w:name="_Toc21272"/>
    </w:p>
    <w:p w14:paraId="5B384BCC">
      <w:pPr>
        <w:widowControl/>
        <w:jc w:val="left"/>
        <w:rPr>
          <w:rFonts w:ascii="宋体" w:hAnsi="宋体" w:cs="宋体"/>
          <w:b/>
          <w:bCs/>
          <w:color w:val="auto"/>
          <w:sz w:val="32"/>
          <w:szCs w:val="32"/>
          <w:highlight w:val="none"/>
        </w:rPr>
      </w:pPr>
    </w:p>
    <w:p w14:paraId="0DDDC61A">
      <w:pPr>
        <w:widowControl/>
        <w:jc w:val="left"/>
        <w:rPr>
          <w:rFonts w:ascii="宋体" w:hAnsi="宋体" w:cs="宋体"/>
          <w:b/>
          <w:bCs/>
          <w:color w:val="auto"/>
          <w:sz w:val="32"/>
          <w:szCs w:val="32"/>
          <w:highlight w:val="none"/>
        </w:rPr>
      </w:pPr>
    </w:p>
    <w:p w14:paraId="043D9186">
      <w:pPr>
        <w:widowControl/>
        <w:jc w:val="left"/>
        <w:rPr>
          <w:rFonts w:ascii="宋体" w:hAnsi="宋体" w:cs="宋体"/>
          <w:b/>
          <w:bCs/>
          <w:color w:val="auto"/>
          <w:sz w:val="32"/>
          <w:szCs w:val="32"/>
          <w:highlight w:val="none"/>
        </w:rPr>
      </w:pPr>
    </w:p>
    <w:p w14:paraId="665EB493">
      <w:pPr>
        <w:widowControl/>
        <w:jc w:val="left"/>
        <w:rPr>
          <w:rFonts w:ascii="宋体" w:hAnsi="宋体" w:cs="宋体"/>
          <w:b/>
          <w:bCs/>
          <w:color w:val="auto"/>
          <w:sz w:val="32"/>
          <w:szCs w:val="32"/>
          <w:highlight w:val="none"/>
        </w:rPr>
      </w:pPr>
    </w:p>
    <w:p w14:paraId="6BB957F8">
      <w:pPr>
        <w:widowControl/>
        <w:jc w:val="left"/>
        <w:rPr>
          <w:rFonts w:ascii="宋体" w:hAnsi="宋体" w:cs="宋体"/>
          <w:b/>
          <w:bCs/>
          <w:color w:val="auto"/>
          <w:sz w:val="32"/>
          <w:szCs w:val="32"/>
          <w:highlight w:val="none"/>
        </w:rPr>
      </w:pPr>
    </w:p>
    <w:p w14:paraId="6231371F">
      <w:pPr>
        <w:widowControl/>
        <w:jc w:val="left"/>
        <w:rPr>
          <w:rFonts w:ascii="宋体" w:hAnsi="宋体" w:cs="宋体"/>
          <w:b/>
          <w:bCs/>
          <w:color w:val="auto"/>
          <w:sz w:val="32"/>
          <w:szCs w:val="32"/>
          <w:highlight w:val="none"/>
        </w:rPr>
      </w:pPr>
    </w:p>
    <w:p w14:paraId="34D8984D">
      <w:pPr>
        <w:widowControl/>
        <w:jc w:val="left"/>
        <w:rPr>
          <w:rFonts w:ascii="宋体" w:hAnsi="宋体" w:cs="宋体"/>
          <w:b/>
          <w:bCs/>
          <w:color w:val="auto"/>
          <w:sz w:val="32"/>
          <w:szCs w:val="32"/>
          <w:highlight w:val="none"/>
        </w:rPr>
      </w:pPr>
    </w:p>
    <w:p w14:paraId="328EA5B3">
      <w:pPr>
        <w:widowControl/>
        <w:jc w:val="left"/>
        <w:rPr>
          <w:rFonts w:ascii="宋体" w:hAnsi="宋体" w:cs="宋体"/>
          <w:b/>
          <w:bCs/>
          <w:color w:val="auto"/>
          <w:sz w:val="32"/>
          <w:szCs w:val="32"/>
          <w:highlight w:val="none"/>
        </w:rPr>
      </w:pPr>
    </w:p>
    <w:p w14:paraId="33DE4E45">
      <w:pPr>
        <w:widowControl/>
        <w:jc w:val="left"/>
        <w:rPr>
          <w:rFonts w:ascii="宋体" w:hAnsi="宋体" w:cs="宋体"/>
          <w:b/>
          <w:bCs/>
          <w:color w:val="auto"/>
          <w:sz w:val="32"/>
          <w:szCs w:val="32"/>
          <w:highlight w:val="none"/>
        </w:rPr>
      </w:pPr>
    </w:p>
    <w:p w14:paraId="262DA227">
      <w:pPr>
        <w:widowControl/>
        <w:jc w:val="left"/>
        <w:rPr>
          <w:rFonts w:ascii="宋体" w:hAnsi="宋体" w:cs="宋体"/>
          <w:b/>
          <w:bCs/>
          <w:color w:val="auto"/>
          <w:sz w:val="32"/>
          <w:szCs w:val="32"/>
          <w:highlight w:val="none"/>
        </w:rPr>
      </w:pPr>
    </w:p>
    <w:p w14:paraId="665B31AC">
      <w:pPr>
        <w:widowControl/>
        <w:jc w:val="left"/>
        <w:rPr>
          <w:rFonts w:ascii="宋体" w:hAnsi="宋体" w:cs="宋体"/>
          <w:b/>
          <w:bCs/>
          <w:color w:val="auto"/>
          <w:sz w:val="32"/>
          <w:szCs w:val="32"/>
          <w:highlight w:val="none"/>
        </w:rPr>
      </w:pPr>
    </w:p>
    <w:p w14:paraId="12D142F3">
      <w:pPr>
        <w:widowControl/>
        <w:jc w:val="left"/>
        <w:rPr>
          <w:rFonts w:ascii="宋体" w:hAnsi="宋体" w:cs="宋体"/>
          <w:b/>
          <w:bCs/>
          <w:color w:val="auto"/>
          <w:sz w:val="32"/>
          <w:szCs w:val="32"/>
          <w:highlight w:val="none"/>
        </w:rPr>
      </w:pPr>
    </w:p>
    <w:p w14:paraId="0B83B393">
      <w:pPr>
        <w:widowControl/>
        <w:jc w:val="left"/>
        <w:rPr>
          <w:rFonts w:ascii="宋体" w:hAnsi="宋体" w:cs="宋体"/>
          <w:b/>
          <w:bCs/>
          <w:color w:val="auto"/>
          <w:sz w:val="32"/>
          <w:szCs w:val="32"/>
          <w:highlight w:val="none"/>
        </w:rPr>
      </w:pPr>
    </w:p>
    <w:p w14:paraId="330C233F">
      <w:pPr>
        <w:widowControl/>
        <w:jc w:val="left"/>
        <w:rPr>
          <w:rFonts w:ascii="宋体" w:hAnsi="宋体" w:cs="宋体"/>
          <w:b/>
          <w:bCs/>
          <w:color w:val="auto"/>
          <w:sz w:val="32"/>
          <w:szCs w:val="32"/>
          <w:highlight w:val="none"/>
        </w:rPr>
      </w:pPr>
    </w:p>
    <w:p w14:paraId="3B96B3F7">
      <w:pPr>
        <w:widowControl/>
        <w:jc w:val="left"/>
        <w:rPr>
          <w:rFonts w:ascii="宋体" w:hAnsi="宋体" w:cs="宋体"/>
          <w:b/>
          <w:bCs/>
          <w:color w:val="auto"/>
          <w:sz w:val="32"/>
          <w:szCs w:val="32"/>
          <w:highlight w:val="none"/>
        </w:rPr>
      </w:pPr>
    </w:p>
    <w:p w14:paraId="4E68B075">
      <w:pPr>
        <w:widowControl/>
        <w:jc w:val="left"/>
        <w:rPr>
          <w:rFonts w:ascii="宋体" w:hAnsi="宋体" w:cs="宋体"/>
          <w:b/>
          <w:bCs/>
          <w:color w:val="auto"/>
          <w:sz w:val="32"/>
          <w:szCs w:val="32"/>
          <w:highlight w:val="none"/>
        </w:rPr>
      </w:pPr>
    </w:p>
    <w:p w14:paraId="04759EF1">
      <w:pPr>
        <w:widowControl/>
        <w:jc w:val="left"/>
        <w:rPr>
          <w:rFonts w:ascii="宋体" w:hAnsi="宋体" w:cs="宋体"/>
          <w:b/>
          <w:bCs/>
          <w:color w:val="auto"/>
          <w:sz w:val="32"/>
          <w:szCs w:val="32"/>
          <w:highlight w:val="none"/>
        </w:rPr>
      </w:pPr>
    </w:p>
    <w:p w14:paraId="26B26CFD">
      <w:pPr>
        <w:widowControl/>
        <w:jc w:val="left"/>
        <w:rPr>
          <w:rFonts w:ascii="宋体" w:hAnsi="宋体" w:cs="宋体"/>
          <w:b/>
          <w:bCs/>
          <w:color w:val="auto"/>
          <w:sz w:val="32"/>
          <w:szCs w:val="32"/>
          <w:highlight w:val="none"/>
        </w:rPr>
      </w:pPr>
    </w:p>
    <w:p w14:paraId="185D922A">
      <w:pPr>
        <w:widowControl/>
        <w:jc w:val="left"/>
        <w:rPr>
          <w:rFonts w:ascii="宋体" w:hAnsi="宋体" w:cs="宋体"/>
          <w:b/>
          <w:bCs/>
          <w:color w:val="auto"/>
          <w:sz w:val="32"/>
          <w:szCs w:val="32"/>
          <w:highlight w:val="none"/>
        </w:rPr>
      </w:pPr>
    </w:p>
    <w:p w14:paraId="0FE92598">
      <w:pPr>
        <w:widowControl/>
        <w:jc w:val="left"/>
        <w:rPr>
          <w:rFonts w:ascii="宋体" w:hAnsi="宋体" w:cs="宋体"/>
          <w:b/>
          <w:bCs/>
          <w:color w:val="auto"/>
          <w:sz w:val="32"/>
          <w:szCs w:val="32"/>
          <w:highlight w:val="none"/>
        </w:rPr>
      </w:pPr>
    </w:p>
    <w:p w14:paraId="02BDF60A">
      <w:pPr>
        <w:widowControl/>
        <w:jc w:val="left"/>
        <w:rPr>
          <w:rFonts w:ascii="宋体" w:hAnsi="宋体" w:cs="宋体"/>
          <w:b/>
          <w:bCs/>
          <w:color w:val="auto"/>
          <w:sz w:val="32"/>
          <w:szCs w:val="32"/>
          <w:highlight w:val="none"/>
        </w:rPr>
      </w:pPr>
    </w:p>
    <w:p w14:paraId="53604B56">
      <w:pPr>
        <w:widowControl/>
        <w:jc w:val="left"/>
        <w:rPr>
          <w:rFonts w:ascii="宋体" w:hAnsi="宋体" w:cs="宋体"/>
          <w:b/>
          <w:bCs/>
          <w:color w:val="auto"/>
          <w:sz w:val="32"/>
          <w:szCs w:val="32"/>
          <w:highlight w:val="none"/>
        </w:rPr>
      </w:pPr>
    </w:p>
    <w:p w14:paraId="694C2D3F">
      <w:pPr>
        <w:widowControl/>
        <w:jc w:val="left"/>
        <w:rPr>
          <w:rFonts w:ascii="宋体" w:hAnsi="宋体" w:cs="宋体"/>
          <w:b/>
          <w:bCs/>
          <w:color w:val="auto"/>
          <w:sz w:val="32"/>
          <w:szCs w:val="32"/>
          <w:highlight w:val="none"/>
        </w:rPr>
      </w:pPr>
    </w:p>
    <w:p w14:paraId="786B6188">
      <w:pPr>
        <w:pStyle w:val="3"/>
        <w:spacing w:before="0" w:after="0" w:line="480" w:lineRule="exact"/>
        <w:jc w:val="center"/>
        <w:rPr>
          <w:rFonts w:hint="eastAsia" w:ascii="宋体" w:hAnsi="宋体" w:cs="宋体"/>
          <w:color w:val="auto"/>
          <w:highlight w:val="none"/>
        </w:rPr>
      </w:pPr>
    </w:p>
    <w:p w14:paraId="02A1A094">
      <w:pPr>
        <w:pStyle w:val="3"/>
        <w:spacing w:before="0" w:after="0" w:line="480" w:lineRule="exact"/>
        <w:jc w:val="center"/>
        <w:rPr>
          <w:rFonts w:hint="eastAsia" w:ascii="宋体" w:hAnsi="宋体" w:cs="宋体"/>
          <w:color w:val="auto"/>
          <w:highlight w:val="none"/>
        </w:rPr>
      </w:pPr>
    </w:p>
    <w:p w14:paraId="79DA619F">
      <w:pPr>
        <w:pStyle w:val="3"/>
        <w:spacing w:before="0" w:after="0" w:line="480" w:lineRule="exact"/>
        <w:jc w:val="center"/>
        <w:rPr>
          <w:rFonts w:hint="eastAsia" w:ascii="宋体" w:hAnsi="宋体" w:eastAsia="宋体" w:cs="宋体"/>
          <w:color w:val="auto"/>
          <w:highlight w:val="none"/>
          <w:lang w:eastAsia="zh-CN"/>
        </w:rPr>
      </w:pPr>
      <w:r>
        <w:rPr>
          <w:rFonts w:hint="eastAsia" w:ascii="宋体" w:hAnsi="宋体" w:cs="宋体"/>
          <w:color w:val="auto"/>
          <w:highlight w:val="none"/>
        </w:rPr>
        <w:t xml:space="preserve">第一章 </w:t>
      </w:r>
      <w:bookmarkEnd w:id="0"/>
      <w:bookmarkStart w:id="1" w:name="_Toc185762835"/>
      <w:bookmarkStart w:id="2" w:name="_Toc11845124"/>
      <w:r>
        <w:rPr>
          <w:rFonts w:hint="eastAsia" w:ascii="宋体" w:hAnsi="宋体" w:cs="宋体"/>
          <w:color w:val="auto"/>
          <w:highlight w:val="none"/>
        </w:rPr>
        <w:t>询价</w:t>
      </w:r>
      <w:bookmarkEnd w:id="1"/>
      <w:bookmarkEnd w:id="2"/>
      <w:r>
        <w:rPr>
          <w:rFonts w:hint="eastAsia" w:ascii="宋体" w:hAnsi="宋体" w:cs="宋体"/>
          <w:color w:val="auto"/>
          <w:highlight w:val="none"/>
          <w:lang w:eastAsia="zh-CN"/>
        </w:rPr>
        <w:t>邀请</w:t>
      </w:r>
    </w:p>
    <w:p w14:paraId="1A8A9A9A">
      <w:pPr>
        <w:spacing w:line="470" w:lineRule="exact"/>
        <w:ind w:firstLine="720" w:firstLineChars="300"/>
        <w:rPr>
          <w:rFonts w:ascii="宋体" w:hAnsi="宋体" w:cs="宋体"/>
          <w:color w:val="auto"/>
          <w:sz w:val="24"/>
          <w:highlight w:val="none"/>
        </w:rPr>
      </w:pPr>
      <w:bookmarkStart w:id="3" w:name="_Toc185762836"/>
      <w:bookmarkStart w:id="4" w:name="_Toc11845125"/>
      <w:bookmarkStart w:id="5" w:name="_Toc323555866"/>
      <w:r>
        <w:rPr>
          <w:rFonts w:hint="eastAsia" w:ascii="宋体" w:hAnsi="宋体" w:cs="宋体"/>
          <w:b w:val="0"/>
          <w:bCs w:val="0"/>
          <w:color w:val="auto"/>
          <w:kern w:val="0"/>
          <w:sz w:val="24"/>
          <w:szCs w:val="24"/>
          <w:highlight w:val="none"/>
          <w:u w:val="single"/>
        </w:rPr>
        <w:t xml:space="preserve">厦门湖里国投物业服务有限公司 </w:t>
      </w:r>
      <w:r>
        <w:rPr>
          <w:rFonts w:hint="eastAsia" w:ascii="宋体" w:hAnsi="宋体" w:cs="宋体"/>
          <w:color w:val="auto"/>
          <w:kern w:val="0"/>
          <w:sz w:val="24"/>
          <w:szCs w:val="24"/>
          <w:highlight w:val="none"/>
        </w:rPr>
        <w:t>确定采用</w:t>
      </w:r>
      <w:r>
        <w:rPr>
          <w:rFonts w:hint="eastAsia" w:ascii="宋体" w:hAnsi="宋体" w:cs="宋体"/>
          <w:color w:val="auto"/>
          <w:kern w:val="0"/>
          <w:sz w:val="24"/>
          <w:szCs w:val="24"/>
          <w:highlight w:val="none"/>
          <w:u w:val="single"/>
        </w:rPr>
        <w:t xml:space="preserve">  </w:t>
      </w:r>
      <w:r>
        <w:rPr>
          <w:rFonts w:hint="eastAsia" w:ascii="宋体" w:hAnsi="宋体" w:cs="宋体"/>
          <w:b w:val="0"/>
          <w:color w:val="auto"/>
          <w:kern w:val="0"/>
          <w:sz w:val="24"/>
          <w:szCs w:val="24"/>
          <w:highlight w:val="none"/>
          <w:u w:val="single"/>
        </w:rPr>
        <w:t>询价</w:t>
      </w:r>
      <w:r>
        <w:rPr>
          <w:rFonts w:hint="eastAsia" w:ascii="宋体" w:hAnsi="宋体" w:cs="宋体"/>
          <w:b w:val="0"/>
          <w:color w:val="auto"/>
          <w:kern w:val="0"/>
          <w:sz w:val="24"/>
          <w:szCs w:val="24"/>
          <w:highlight w:val="none"/>
          <w:u w:val="single"/>
          <w:lang w:val="en-US" w:eastAsia="zh-CN"/>
        </w:rPr>
        <w:t>采购</w:t>
      </w:r>
      <w:r>
        <w:rPr>
          <w:rFonts w:hint="eastAsia" w:ascii="宋体" w:hAnsi="宋体" w:cs="宋体"/>
          <w:color w:val="auto"/>
          <w:kern w:val="0"/>
          <w:sz w:val="24"/>
          <w:szCs w:val="24"/>
          <w:highlight w:val="none"/>
          <w:u w:val="single"/>
        </w:rPr>
        <w:t xml:space="preserve">  </w:t>
      </w:r>
      <w:r>
        <w:rPr>
          <w:rFonts w:hint="eastAsia" w:ascii="宋体" w:hAnsi="宋体" w:cs="宋体"/>
          <w:color w:val="auto"/>
          <w:kern w:val="0"/>
          <w:sz w:val="24"/>
          <w:szCs w:val="24"/>
          <w:highlight w:val="none"/>
        </w:rPr>
        <w:t>方式组织</w:t>
      </w:r>
      <w:r>
        <w:rPr>
          <w:rFonts w:hint="eastAsia" w:ascii="宋体" w:hAnsi="宋体" w:cs="宋体"/>
          <w:color w:val="auto"/>
          <w:kern w:val="0"/>
          <w:sz w:val="24"/>
          <w:szCs w:val="24"/>
          <w:highlight w:val="none"/>
          <w:u w:val="single"/>
        </w:rPr>
        <w:t xml:space="preserve"> </w:t>
      </w:r>
      <w:r>
        <w:rPr>
          <w:rFonts w:hint="eastAsia" w:ascii="宋体" w:hAnsi="宋体" w:cs="宋体"/>
          <w:color w:val="auto"/>
          <w:kern w:val="0"/>
          <w:sz w:val="24"/>
          <w:szCs w:val="24"/>
          <w:highlight w:val="none"/>
          <w:u w:val="single"/>
          <w:lang w:eastAsia="zh-CN"/>
        </w:rPr>
        <w:t>源昌国际城维序服务</w:t>
      </w:r>
      <w:r>
        <w:rPr>
          <w:rFonts w:hint="eastAsia" w:ascii="宋体" w:hAnsi="宋体" w:cs="宋体"/>
          <w:color w:val="auto"/>
          <w:kern w:val="0"/>
          <w:sz w:val="24"/>
          <w:szCs w:val="24"/>
          <w:highlight w:val="none"/>
          <w:u w:val="single"/>
        </w:rPr>
        <w:t xml:space="preserve"> </w:t>
      </w:r>
      <w:r>
        <w:rPr>
          <w:rFonts w:hint="eastAsia" w:ascii="宋体" w:hAnsi="宋体" w:cs="宋体"/>
          <w:b/>
          <w:bCs/>
          <w:color w:val="auto"/>
          <w:kern w:val="0"/>
          <w:sz w:val="24"/>
          <w:szCs w:val="24"/>
          <w:highlight w:val="none"/>
          <w:u w:val="single"/>
        </w:rPr>
        <w:t xml:space="preserve"> </w:t>
      </w:r>
      <w:r>
        <w:rPr>
          <w:rFonts w:hint="eastAsia" w:ascii="宋体" w:hAnsi="宋体" w:cs="宋体"/>
          <w:color w:val="auto"/>
          <w:kern w:val="0"/>
          <w:sz w:val="24"/>
          <w:szCs w:val="24"/>
          <w:highlight w:val="none"/>
        </w:rPr>
        <w:t>项目（以下简称：“本项目”）的采购活动，现欢迎</w:t>
      </w:r>
      <w:r>
        <w:rPr>
          <w:rFonts w:hint="eastAsia" w:ascii="宋体" w:hAnsi="宋体" w:cs="宋体"/>
          <w:color w:val="auto"/>
          <w:kern w:val="0"/>
          <w:sz w:val="24"/>
          <w:szCs w:val="24"/>
          <w:highlight w:val="none"/>
          <w:lang w:val="en-US" w:eastAsia="zh-CN"/>
        </w:rPr>
        <w:t>国内合格的供应商前来参加</w:t>
      </w:r>
      <w:r>
        <w:rPr>
          <w:rFonts w:hint="eastAsia" w:ascii="宋体" w:hAnsi="宋体" w:cs="宋体"/>
          <w:color w:val="auto"/>
          <w:kern w:val="0"/>
          <w:sz w:val="24"/>
          <w:szCs w:val="24"/>
          <w:highlight w:val="none"/>
        </w:rPr>
        <w:t>。资金来源为：</w:t>
      </w:r>
      <w:r>
        <w:rPr>
          <w:rFonts w:hint="eastAsia" w:ascii="宋体" w:hAnsi="宋体" w:cs="宋体"/>
          <w:color w:val="auto"/>
          <w:kern w:val="0"/>
          <w:sz w:val="24"/>
          <w:szCs w:val="24"/>
          <w:highlight w:val="none"/>
          <w:u w:val="single"/>
        </w:rPr>
        <w:t xml:space="preserve">  </w:t>
      </w:r>
      <w:r>
        <w:rPr>
          <w:rFonts w:hint="eastAsia" w:ascii="宋体" w:hAnsi="宋体" w:cs="宋体"/>
          <w:color w:val="auto"/>
          <w:kern w:val="0"/>
          <w:sz w:val="24"/>
          <w:szCs w:val="24"/>
          <w:highlight w:val="none"/>
          <w:u w:val="single"/>
          <w:lang w:val="en-US" w:eastAsia="zh-CN"/>
        </w:rPr>
        <w:t>国企</w:t>
      </w:r>
      <w:r>
        <w:rPr>
          <w:rFonts w:hint="eastAsia" w:ascii="宋体" w:hAnsi="宋体" w:cs="宋体"/>
          <w:color w:val="auto"/>
          <w:kern w:val="0"/>
          <w:sz w:val="24"/>
          <w:szCs w:val="24"/>
          <w:highlight w:val="none"/>
          <w:u w:val="single"/>
        </w:rPr>
        <w:t xml:space="preserve">资金 </w:t>
      </w:r>
      <w:r>
        <w:rPr>
          <w:rFonts w:hint="eastAsia" w:ascii="宋体" w:hAnsi="宋体" w:cs="宋体"/>
          <w:color w:val="auto"/>
          <w:kern w:val="0"/>
          <w:sz w:val="24"/>
          <w:szCs w:val="24"/>
          <w:highlight w:val="none"/>
        </w:rPr>
        <w:t>。本项目由采购人委托</w:t>
      </w:r>
      <w:r>
        <w:rPr>
          <w:rFonts w:hint="eastAsia" w:ascii="宋体" w:hAnsi="宋体" w:cs="宋体"/>
          <w:color w:val="auto"/>
          <w:kern w:val="0"/>
          <w:sz w:val="24"/>
          <w:szCs w:val="24"/>
          <w:highlight w:val="none"/>
          <w:u w:val="single"/>
        </w:rPr>
        <w:t xml:space="preserve"> </w:t>
      </w:r>
      <w:r>
        <w:rPr>
          <w:rFonts w:hint="eastAsia" w:ascii="宋体" w:hAnsi="宋体" w:cs="宋体"/>
          <w:color w:val="auto"/>
          <w:kern w:val="0"/>
          <w:sz w:val="24"/>
          <w:szCs w:val="24"/>
          <w:highlight w:val="none"/>
          <w:u w:val="single"/>
          <w:lang w:eastAsia="zh-CN"/>
        </w:rPr>
        <w:t>厦门</w:t>
      </w:r>
      <w:r>
        <w:rPr>
          <w:rFonts w:hint="eastAsia" w:ascii="宋体" w:hAnsi="宋体" w:cs="宋体"/>
          <w:color w:val="auto"/>
          <w:kern w:val="0"/>
          <w:sz w:val="24"/>
          <w:szCs w:val="24"/>
          <w:highlight w:val="none"/>
          <w:u w:val="single"/>
          <w:lang w:val="en-US" w:eastAsia="zh-CN"/>
        </w:rPr>
        <w:t>湖里国投工程建设有限公司</w:t>
      </w:r>
      <w:r>
        <w:rPr>
          <w:rFonts w:hint="eastAsia" w:ascii="宋体" w:hAnsi="宋体" w:cs="宋体"/>
          <w:b/>
          <w:bCs/>
          <w:color w:val="auto"/>
          <w:kern w:val="0"/>
          <w:sz w:val="24"/>
          <w:szCs w:val="24"/>
          <w:highlight w:val="none"/>
          <w:u w:val="single"/>
        </w:rPr>
        <w:t xml:space="preserve"> </w:t>
      </w:r>
      <w:r>
        <w:rPr>
          <w:rFonts w:hint="eastAsia" w:ascii="宋体" w:hAnsi="宋体" w:cs="宋体"/>
          <w:color w:val="auto"/>
          <w:kern w:val="0"/>
          <w:sz w:val="24"/>
          <w:szCs w:val="24"/>
          <w:highlight w:val="none"/>
        </w:rPr>
        <w:t>开展采购活动</w:t>
      </w:r>
      <w:r>
        <w:rPr>
          <w:rFonts w:hint="eastAsia" w:ascii="宋体" w:hAnsi="宋体" w:cs="宋体"/>
          <w:color w:val="auto"/>
          <w:sz w:val="24"/>
          <w:highlight w:val="none"/>
        </w:rPr>
        <w:t>。</w:t>
      </w:r>
    </w:p>
    <w:p w14:paraId="2F53DAC1">
      <w:pPr>
        <w:spacing w:line="240" w:lineRule="auto"/>
        <w:ind w:firstLine="241" w:firstLineChars="100"/>
        <w:rPr>
          <w:rFonts w:ascii="宋体" w:hAnsi="宋体" w:cs="宋体"/>
          <w:color w:val="auto"/>
          <w:sz w:val="24"/>
          <w:highlight w:val="none"/>
        </w:rPr>
      </w:pPr>
      <w:r>
        <w:rPr>
          <w:rFonts w:hint="eastAsia" w:ascii="宋体" w:hAnsi="宋体" w:cs="宋体"/>
          <w:b/>
          <w:bCs/>
          <w:color w:val="auto"/>
          <w:sz w:val="24"/>
          <w:highlight w:val="none"/>
        </w:rPr>
        <w:t>1.项目编号</w:t>
      </w:r>
      <w:r>
        <w:rPr>
          <w:rFonts w:hint="eastAsia" w:ascii="宋体" w:hAnsi="宋体" w:cs="宋体"/>
          <w:color w:val="auto"/>
          <w:sz w:val="24"/>
          <w:highlight w:val="none"/>
        </w:rPr>
        <w:t>：</w:t>
      </w:r>
      <w:r>
        <w:rPr>
          <w:rFonts w:hint="eastAsia" w:ascii="宋体" w:hAnsi="宋体" w:cs="宋体"/>
          <w:color w:val="auto"/>
          <w:sz w:val="24"/>
          <w:szCs w:val="24"/>
          <w:highlight w:val="none"/>
          <w:lang w:val="en-US" w:eastAsia="zh-CN"/>
        </w:rPr>
        <w:t>GTWY2025-011</w:t>
      </w:r>
    </w:p>
    <w:tbl>
      <w:tblPr>
        <w:tblStyle w:val="42"/>
        <w:tblpPr w:leftFromText="180" w:rightFromText="180" w:vertAnchor="text" w:horzAnchor="page" w:tblpX="1454" w:tblpY="853"/>
        <w:tblOverlap w:val="never"/>
        <w:tblW w:w="8999" w:type="dxa"/>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
      <w:tblGrid>
        <w:gridCol w:w="803"/>
        <w:gridCol w:w="2602"/>
        <w:gridCol w:w="1473"/>
        <w:gridCol w:w="1217"/>
        <w:gridCol w:w="1336"/>
        <w:gridCol w:w="1568"/>
      </w:tblGrid>
      <w:tr w14:paraId="72FD6A07">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538" w:hRule="atLeast"/>
          <w:tblHeader/>
        </w:trPr>
        <w:tc>
          <w:tcPr>
            <w:tcW w:w="803" w:type="dxa"/>
            <w:tcBorders>
              <w:top w:val="outset" w:color="auto" w:sz="6" w:space="0"/>
              <w:left w:val="outset" w:color="auto" w:sz="6" w:space="0"/>
              <w:bottom w:val="outset" w:color="auto" w:sz="6" w:space="0"/>
              <w:right w:val="outset" w:color="auto" w:sz="6" w:space="0"/>
            </w:tcBorders>
            <w:vAlign w:val="center"/>
          </w:tcPr>
          <w:p w14:paraId="615AC4E9">
            <w:pPr>
              <w:spacing w:line="470" w:lineRule="exact"/>
              <w:jc w:val="center"/>
              <w:rPr>
                <w:rFonts w:ascii="宋体" w:hAnsi="宋体" w:cs="宋体"/>
                <w:color w:val="auto"/>
                <w:sz w:val="24"/>
                <w:szCs w:val="24"/>
                <w:highlight w:val="none"/>
              </w:rPr>
            </w:pPr>
            <w:r>
              <w:rPr>
                <w:rFonts w:hint="eastAsia" w:ascii="宋体" w:hAnsi="宋体" w:cs="宋体"/>
                <w:color w:val="auto"/>
                <w:sz w:val="24"/>
                <w:szCs w:val="24"/>
                <w:highlight w:val="none"/>
                <w:lang w:val="en-US" w:eastAsia="zh-CN"/>
              </w:rPr>
              <w:t>序号</w:t>
            </w:r>
          </w:p>
        </w:tc>
        <w:tc>
          <w:tcPr>
            <w:tcW w:w="2602" w:type="dxa"/>
            <w:tcBorders>
              <w:top w:val="outset" w:color="auto" w:sz="6" w:space="0"/>
              <w:left w:val="outset" w:color="auto" w:sz="6" w:space="0"/>
              <w:bottom w:val="outset" w:color="auto" w:sz="6" w:space="0"/>
              <w:right w:val="outset" w:color="auto" w:sz="6" w:space="0"/>
            </w:tcBorders>
            <w:vAlign w:val="center"/>
          </w:tcPr>
          <w:p w14:paraId="5660BF14">
            <w:pPr>
              <w:spacing w:line="470" w:lineRule="exact"/>
              <w:jc w:val="center"/>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rPr>
              <w:t>标的</w:t>
            </w:r>
            <w:r>
              <w:rPr>
                <w:rFonts w:hint="eastAsia" w:ascii="宋体" w:hAnsi="宋体" w:cs="宋体"/>
                <w:color w:val="auto"/>
                <w:sz w:val="24"/>
                <w:szCs w:val="24"/>
                <w:highlight w:val="none"/>
                <w:lang w:val="en-US" w:eastAsia="zh-CN"/>
              </w:rPr>
              <w:t>名称</w:t>
            </w:r>
          </w:p>
        </w:tc>
        <w:tc>
          <w:tcPr>
            <w:tcW w:w="1473" w:type="dxa"/>
            <w:tcBorders>
              <w:top w:val="outset" w:color="auto" w:sz="6" w:space="0"/>
              <w:left w:val="outset" w:color="auto" w:sz="6" w:space="0"/>
              <w:bottom w:val="outset" w:color="auto" w:sz="6" w:space="0"/>
              <w:right w:val="outset" w:color="auto" w:sz="6" w:space="0"/>
            </w:tcBorders>
            <w:vAlign w:val="center"/>
          </w:tcPr>
          <w:p w14:paraId="510544E3">
            <w:pPr>
              <w:spacing w:line="470" w:lineRule="exact"/>
              <w:jc w:val="center"/>
              <w:rPr>
                <w:rFonts w:ascii="宋体" w:hAnsi="宋体" w:cs="宋体"/>
                <w:color w:val="auto"/>
                <w:sz w:val="24"/>
                <w:szCs w:val="24"/>
                <w:highlight w:val="none"/>
              </w:rPr>
            </w:pPr>
            <w:r>
              <w:rPr>
                <w:rFonts w:hint="eastAsia" w:ascii="宋体" w:hAnsi="宋体" w:cs="宋体"/>
                <w:color w:val="auto"/>
                <w:sz w:val="24"/>
                <w:szCs w:val="24"/>
                <w:highlight w:val="none"/>
                <w:lang w:val="en-US" w:eastAsia="zh-CN"/>
              </w:rPr>
              <w:t>采购预算</w:t>
            </w:r>
            <w:r>
              <w:rPr>
                <w:rFonts w:hint="eastAsia" w:ascii="宋体" w:hAnsi="宋体" w:cs="宋体"/>
                <w:color w:val="auto"/>
                <w:sz w:val="24"/>
                <w:szCs w:val="24"/>
                <w:highlight w:val="none"/>
              </w:rPr>
              <w:t>（元）</w:t>
            </w:r>
          </w:p>
        </w:tc>
        <w:tc>
          <w:tcPr>
            <w:tcW w:w="1217" w:type="dxa"/>
            <w:tcBorders>
              <w:top w:val="outset" w:color="auto" w:sz="6" w:space="0"/>
              <w:left w:val="outset" w:color="auto" w:sz="6" w:space="0"/>
              <w:bottom w:val="outset" w:color="auto" w:sz="6" w:space="0"/>
              <w:right w:val="outset" w:color="auto" w:sz="6" w:space="0"/>
            </w:tcBorders>
            <w:vAlign w:val="center"/>
          </w:tcPr>
          <w:p w14:paraId="180EE2E6">
            <w:pPr>
              <w:spacing w:line="470" w:lineRule="exact"/>
              <w:jc w:val="center"/>
              <w:rPr>
                <w:rFonts w:ascii="宋体" w:hAnsi="宋体" w:cs="宋体"/>
                <w:color w:val="auto"/>
                <w:sz w:val="24"/>
                <w:szCs w:val="24"/>
                <w:highlight w:val="none"/>
              </w:rPr>
            </w:pPr>
            <w:r>
              <w:rPr>
                <w:rFonts w:hint="eastAsia" w:ascii="宋体" w:hAnsi="宋体" w:cs="宋体"/>
                <w:color w:val="auto"/>
                <w:sz w:val="24"/>
                <w:szCs w:val="24"/>
                <w:highlight w:val="none"/>
              </w:rPr>
              <w:t>数量</w:t>
            </w:r>
          </w:p>
        </w:tc>
        <w:tc>
          <w:tcPr>
            <w:tcW w:w="1336" w:type="dxa"/>
            <w:tcBorders>
              <w:top w:val="outset" w:color="auto" w:sz="6" w:space="0"/>
              <w:left w:val="outset" w:color="auto" w:sz="6" w:space="0"/>
              <w:bottom w:val="outset" w:color="auto" w:sz="6" w:space="0"/>
              <w:right w:val="outset" w:color="auto" w:sz="6" w:space="0"/>
            </w:tcBorders>
            <w:vAlign w:val="center"/>
          </w:tcPr>
          <w:p w14:paraId="1CC06F2C">
            <w:pPr>
              <w:spacing w:line="470" w:lineRule="exact"/>
              <w:jc w:val="center"/>
              <w:rPr>
                <w:rFonts w:ascii="宋体" w:hAnsi="宋体" w:cs="宋体"/>
                <w:color w:val="auto"/>
                <w:sz w:val="24"/>
                <w:szCs w:val="24"/>
                <w:highlight w:val="none"/>
              </w:rPr>
            </w:pPr>
            <w:r>
              <w:rPr>
                <w:rFonts w:hint="eastAsia" w:ascii="宋体" w:hAnsi="宋体" w:cs="宋体"/>
                <w:color w:val="auto"/>
                <w:sz w:val="24"/>
                <w:szCs w:val="24"/>
                <w:highlight w:val="none"/>
              </w:rPr>
              <w:t>履约地点</w:t>
            </w:r>
          </w:p>
        </w:tc>
        <w:tc>
          <w:tcPr>
            <w:tcW w:w="1568" w:type="dxa"/>
            <w:tcBorders>
              <w:top w:val="outset" w:color="auto" w:sz="6" w:space="0"/>
              <w:left w:val="outset" w:color="auto" w:sz="6" w:space="0"/>
              <w:bottom w:val="outset" w:color="auto" w:sz="6" w:space="0"/>
              <w:right w:val="outset" w:color="auto" w:sz="6" w:space="0"/>
            </w:tcBorders>
            <w:vAlign w:val="center"/>
          </w:tcPr>
          <w:p w14:paraId="0445D9E9">
            <w:pPr>
              <w:spacing w:line="470" w:lineRule="exact"/>
              <w:jc w:val="center"/>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lang w:eastAsia="zh-CN"/>
              </w:rPr>
              <w:t>服务期</w:t>
            </w:r>
          </w:p>
        </w:tc>
      </w:tr>
      <w:tr w14:paraId="0C854685">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905" w:hRule="atLeast"/>
          <w:tblHeader/>
        </w:trPr>
        <w:tc>
          <w:tcPr>
            <w:tcW w:w="803" w:type="dxa"/>
            <w:tcBorders>
              <w:top w:val="outset" w:color="auto" w:sz="6" w:space="0"/>
              <w:left w:val="outset" w:color="auto" w:sz="6" w:space="0"/>
              <w:right w:val="outset" w:color="auto" w:sz="6" w:space="0"/>
            </w:tcBorders>
            <w:vAlign w:val="center"/>
          </w:tcPr>
          <w:p w14:paraId="4743F1E8">
            <w:pPr>
              <w:spacing w:line="470" w:lineRule="exact"/>
              <w:jc w:val="center"/>
              <w:rPr>
                <w:rFonts w:ascii="宋体" w:hAnsi="宋体" w:cs="宋体"/>
                <w:color w:val="auto"/>
                <w:sz w:val="24"/>
                <w:szCs w:val="24"/>
                <w:highlight w:val="none"/>
              </w:rPr>
            </w:pPr>
            <w:r>
              <w:rPr>
                <w:rFonts w:hint="eastAsia" w:ascii="宋体" w:hAnsi="宋体" w:cs="宋体"/>
                <w:color w:val="auto"/>
                <w:sz w:val="24"/>
                <w:szCs w:val="24"/>
                <w:highlight w:val="none"/>
              </w:rPr>
              <w:t>1</w:t>
            </w:r>
          </w:p>
        </w:tc>
        <w:tc>
          <w:tcPr>
            <w:tcW w:w="2602" w:type="dxa"/>
            <w:tcBorders>
              <w:top w:val="outset" w:color="auto" w:sz="6" w:space="0"/>
              <w:left w:val="outset" w:color="auto" w:sz="6" w:space="0"/>
              <w:bottom w:val="outset" w:color="auto" w:sz="6" w:space="0"/>
              <w:right w:val="outset" w:color="auto" w:sz="6" w:space="0"/>
            </w:tcBorders>
            <w:vAlign w:val="center"/>
          </w:tcPr>
          <w:p w14:paraId="5F31DF57">
            <w:pPr>
              <w:spacing w:line="470" w:lineRule="exact"/>
              <w:jc w:val="center"/>
              <w:rPr>
                <w:rFonts w:hint="eastAsia" w:ascii="宋体" w:hAnsi="宋体" w:eastAsia="宋体" w:cs="宋体"/>
                <w:color w:val="auto"/>
                <w:sz w:val="24"/>
                <w:szCs w:val="24"/>
                <w:highlight w:val="none"/>
                <w:lang w:eastAsia="zh-CN"/>
              </w:rPr>
            </w:pPr>
            <w:r>
              <w:rPr>
                <w:rFonts w:hint="eastAsia" w:ascii="宋体" w:hAnsi="宋体" w:cs="宋体"/>
                <w:color w:val="auto"/>
                <w:kern w:val="0"/>
                <w:sz w:val="24"/>
                <w:szCs w:val="24"/>
                <w:highlight w:val="none"/>
                <w:u w:val="single"/>
                <w:lang w:eastAsia="zh-CN"/>
              </w:rPr>
              <w:t>源昌国际城维序服务</w:t>
            </w:r>
            <w:r>
              <w:rPr>
                <w:rFonts w:hint="eastAsia" w:ascii="宋体" w:hAnsi="宋体" w:cs="宋体"/>
                <w:color w:val="auto"/>
                <w:kern w:val="0"/>
                <w:sz w:val="24"/>
                <w:szCs w:val="24"/>
                <w:highlight w:val="none"/>
                <w:u w:val="single"/>
              </w:rPr>
              <w:t xml:space="preserve"> </w:t>
            </w:r>
          </w:p>
        </w:tc>
        <w:tc>
          <w:tcPr>
            <w:tcW w:w="1473" w:type="dxa"/>
            <w:tcBorders>
              <w:top w:val="outset" w:color="auto" w:sz="6" w:space="0"/>
              <w:left w:val="outset" w:color="auto" w:sz="6" w:space="0"/>
              <w:bottom w:val="outset" w:color="auto" w:sz="6" w:space="0"/>
              <w:right w:val="outset" w:color="auto" w:sz="6" w:space="0"/>
            </w:tcBorders>
            <w:vAlign w:val="center"/>
          </w:tcPr>
          <w:p w14:paraId="1062CABA">
            <w:pPr>
              <w:spacing w:line="470" w:lineRule="exact"/>
              <w:jc w:val="center"/>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998400元/年</w:t>
            </w:r>
          </w:p>
        </w:tc>
        <w:tc>
          <w:tcPr>
            <w:tcW w:w="1217" w:type="dxa"/>
            <w:tcBorders>
              <w:top w:val="outset" w:color="auto" w:sz="6" w:space="0"/>
              <w:left w:val="outset" w:color="auto" w:sz="6" w:space="0"/>
              <w:bottom w:val="outset" w:color="auto" w:sz="6" w:space="0"/>
              <w:right w:val="outset" w:color="auto" w:sz="6" w:space="0"/>
            </w:tcBorders>
            <w:vAlign w:val="center"/>
          </w:tcPr>
          <w:p w14:paraId="07018041">
            <w:pPr>
              <w:spacing w:line="470" w:lineRule="exact"/>
              <w:jc w:val="center"/>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lang w:val="en-US" w:eastAsia="zh-CN"/>
              </w:rPr>
              <w:t>1</w:t>
            </w:r>
          </w:p>
        </w:tc>
        <w:tc>
          <w:tcPr>
            <w:tcW w:w="1336" w:type="dxa"/>
            <w:tcBorders>
              <w:top w:val="outset" w:color="auto" w:sz="6" w:space="0"/>
              <w:left w:val="outset" w:color="auto" w:sz="6" w:space="0"/>
              <w:bottom w:val="outset" w:color="auto" w:sz="6" w:space="0"/>
              <w:right w:val="outset" w:color="auto" w:sz="6" w:space="0"/>
            </w:tcBorders>
            <w:vAlign w:val="center"/>
          </w:tcPr>
          <w:p w14:paraId="2860778E">
            <w:pPr>
              <w:spacing w:line="470" w:lineRule="exact"/>
              <w:jc w:val="center"/>
              <w:rPr>
                <w:rFonts w:ascii="宋体" w:hAnsi="宋体" w:cs="宋体"/>
                <w:color w:val="auto"/>
                <w:sz w:val="24"/>
                <w:szCs w:val="24"/>
                <w:highlight w:val="none"/>
              </w:rPr>
            </w:pPr>
            <w:r>
              <w:rPr>
                <w:rFonts w:hint="eastAsia" w:ascii="宋体" w:hAnsi="宋体" w:cs="宋体"/>
                <w:color w:val="auto"/>
                <w:sz w:val="24"/>
                <w:szCs w:val="24"/>
                <w:highlight w:val="none"/>
              </w:rPr>
              <w:t>厦门市湖里区</w:t>
            </w:r>
          </w:p>
        </w:tc>
        <w:tc>
          <w:tcPr>
            <w:tcW w:w="1568" w:type="dxa"/>
            <w:tcBorders>
              <w:top w:val="outset" w:color="auto" w:sz="6" w:space="0"/>
              <w:left w:val="outset" w:color="auto" w:sz="6" w:space="0"/>
              <w:bottom w:val="outset" w:color="auto" w:sz="6" w:space="0"/>
              <w:right w:val="outset" w:color="auto" w:sz="6" w:space="0"/>
            </w:tcBorders>
            <w:vAlign w:val="center"/>
          </w:tcPr>
          <w:p w14:paraId="0EAE6AA4">
            <w:pPr>
              <w:spacing w:line="470" w:lineRule="exact"/>
              <w:jc w:val="center"/>
              <w:rPr>
                <w:rFonts w:hint="default" w:ascii="宋体" w:hAnsi="宋体" w:eastAsia="宋体" w:cs="宋体"/>
                <w:color w:val="auto"/>
                <w:sz w:val="24"/>
                <w:szCs w:val="24"/>
                <w:highlight w:val="none"/>
                <w:lang w:val="en-US" w:eastAsia="zh-CN"/>
              </w:rPr>
            </w:pPr>
            <w:r>
              <w:rPr>
                <w:rFonts w:hint="eastAsia" w:ascii="宋体" w:hAnsi="宋体" w:cs="宋体"/>
                <w:b w:val="0"/>
                <w:bCs w:val="0"/>
                <w:color w:val="auto"/>
                <w:sz w:val="24"/>
                <w:szCs w:val="24"/>
                <w:highlight w:val="none"/>
                <w:lang w:val="en-US" w:eastAsia="zh-CN"/>
              </w:rPr>
              <w:t>2026年1月1日至2026年12月31日</w:t>
            </w:r>
          </w:p>
        </w:tc>
      </w:tr>
    </w:tbl>
    <w:p w14:paraId="38724A37">
      <w:pPr>
        <w:spacing w:line="470" w:lineRule="exact"/>
        <w:ind w:firstLine="241" w:firstLineChars="100"/>
        <w:rPr>
          <w:rFonts w:ascii="宋体" w:hAnsi="宋体" w:cs="宋体"/>
          <w:color w:val="auto"/>
          <w:sz w:val="24"/>
          <w:highlight w:val="none"/>
        </w:rPr>
      </w:pPr>
      <w:r>
        <w:rPr>
          <w:rFonts w:hint="eastAsia" w:ascii="宋体" w:hAnsi="宋体" w:cs="宋体"/>
          <w:b/>
          <w:bCs/>
          <w:color w:val="auto"/>
          <w:sz w:val="24"/>
          <w:highlight w:val="none"/>
        </w:rPr>
        <w:t>2.</w:t>
      </w:r>
      <w:r>
        <w:rPr>
          <w:rFonts w:hint="eastAsia" w:ascii="宋体" w:hAnsi="宋体" w:cs="宋体"/>
          <w:b/>
          <w:bCs/>
          <w:color w:val="auto"/>
          <w:sz w:val="24"/>
          <w:highlight w:val="none"/>
          <w:lang w:val="en-US" w:eastAsia="zh-CN"/>
        </w:rPr>
        <w:t>询价内容及</w:t>
      </w:r>
      <w:r>
        <w:rPr>
          <w:rFonts w:hint="eastAsia" w:ascii="宋体" w:hAnsi="宋体" w:cs="宋体"/>
          <w:b/>
          <w:bCs/>
          <w:color w:val="auto"/>
          <w:sz w:val="24"/>
          <w:highlight w:val="none"/>
        </w:rPr>
        <w:t>要求：</w:t>
      </w:r>
    </w:p>
    <w:p w14:paraId="524F0656">
      <w:pPr>
        <w:spacing w:line="470" w:lineRule="exact"/>
        <w:ind w:firstLine="241" w:firstLineChars="100"/>
        <w:rPr>
          <w:rFonts w:hint="eastAsia" w:ascii="宋体" w:hAnsi="宋体" w:cs="宋体"/>
          <w:b/>
          <w:bCs/>
          <w:color w:val="auto"/>
          <w:sz w:val="24"/>
          <w:highlight w:val="none"/>
        </w:rPr>
      </w:pPr>
    </w:p>
    <w:p w14:paraId="7DA94D8B">
      <w:pPr>
        <w:spacing w:line="470" w:lineRule="exact"/>
        <w:ind w:firstLine="241" w:firstLineChars="100"/>
        <w:rPr>
          <w:rFonts w:hint="eastAsia" w:ascii="宋体" w:hAnsi="宋体" w:cs="宋体"/>
          <w:b/>
          <w:bCs/>
          <w:color w:val="auto"/>
          <w:sz w:val="24"/>
          <w:highlight w:val="none"/>
        </w:rPr>
      </w:pPr>
    </w:p>
    <w:p w14:paraId="4E92F35B">
      <w:pPr>
        <w:spacing w:line="470" w:lineRule="exact"/>
        <w:ind w:firstLine="241" w:firstLineChars="100"/>
        <w:rPr>
          <w:rFonts w:hint="eastAsia" w:ascii="宋体" w:hAnsi="宋体" w:cs="宋体"/>
          <w:b/>
          <w:bCs/>
          <w:color w:val="auto"/>
          <w:sz w:val="24"/>
          <w:highlight w:val="none"/>
        </w:rPr>
      </w:pPr>
    </w:p>
    <w:p w14:paraId="340203D0">
      <w:pPr>
        <w:spacing w:line="470" w:lineRule="exact"/>
        <w:ind w:firstLine="241" w:firstLineChars="100"/>
        <w:rPr>
          <w:rFonts w:hint="eastAsia" w:ascii="宋体" w:hAnsi="宋体" w:cs="宋体"/>
          <w:b/>
          <w:bCs/>
          <w:color w:val="auto"/>
          <w:sz w:val="24"/>
          <w:highlight w:val="none"/>
        </w:rPr>
      </w:pPr>
    </w:p>
    <w:p w14:paraId="1B1F2D30">
      <w:pPr>
        <w:spacing w:line="470" w:lineRule="exact"/>
        <w:ind w:firstLine="241" w:firstLineChars="100"/>
        <w:rPr>
          <w:rFonts w:hint="eastAsia" w:ascii="宋体" w:hAnsi="宋体" w:cs="宋体"/>
          <w:b/>
          <w:bCs/>
          <w:color w:val="auto"/>
          <w:sz w:val="24"/>
          <w:highlight w:val="none"/>
        </w:rPr>
      </w:pPr>
    </w:p>
    <w:p w14:paraId="79B3DDBF">
      <w:pPr>
        <w:spacing w:line="470" w:lineRule="exact"/>
        <w:ind w:firstLine="241" w:firstLineChars="100"/>
        <w:rPr>
          <w:rFonts w:hint="eastAsia" w:ascii="宋体" w:hAnsi="宋体" w:cs="宋体"/>
          <w:b/>
          <w:bCs/>
          <w:color w:val="auto"/>
          <w:sz w:val="24"/>
          <w:highlight w:val="none"/>
        </w:rPr>
      </w:pPr>
    </w:p>
    <w:p w14:paraId="609A33BF">
      <w:pPr>
        <w:spacing w:line="470" w:lineRule="exact"/>
        <w:ind w:firstLine="241" w:firstLineChars="100"/>
        <w:rPr>
          <w:rFonts w:hint="eastAsia" w:ascii="宋体" w:hAnsi="宋体" w:eastAsia="宋体" w:cs="宋体"/>
          <w:color w:val="auto"/>
          <w:sz w:val="24"/>
          <w:highlight w:val="none"/>
          <w:lang w:val="en-US" w:eastAsia="zh-CN"/>
        </w:rPr>
      </w:pPr>
      <w:r>
        <w:rPr>
          <w:rFonts w:hint="eastAsia" w:ascii="宋体" w:hAnsi="宋体" w:cs="宋体"/>
          <w:b/>
          <w:bCs/>
          <w:color w:val="auto"/>
          <w:sz w:val="24"/>
          <w:highlight w:val="none"/>
        </w:rPr>
        <w:t>3.采购项目需要落实的政府采购政策</w:t>
      </w:r>
      <w:r>
        <w:rPr>
          <w:rFonts w:hint="eastAsia" w:ascii="宋体" w:hAnsi="宋体" w:cs="宋体"/>
          <w:color w:val="auto"/>
          <w:sz w:val="24"/>
          <w:highlight w:val="none"/>
        </w:rPr>
        <w:t>：</w:t>
      </w:r>
      <w:r>
        <w:rPr>
          <w:rFonts w:hint="eastAsia" w:ascii="宋体" w:hAnsi="宋体" w:cs="宋体"/>
          <w:color w:val="auto"/>
          <w:sz w:val="24"/>
          <w:highlight w:val="none"/>
          <w:lang w:val="en-US" w:eastAsia="zh-CN"/>
        </w:rPr>
        <w:t>/</w:t>
      </w:r>
    </w:p>
    <w:p w14:paraId="3CFADE77">
      <w:pPr>
        <w:spacing w:line="470" w:lineRule="exact"/>
        <w:ind w:firstLine="241" w:firstLineChars="100"/>
        <w:rPr>
          <w:rFonts w:ascii="宋体" w:hAnsi="宋体" w:cs="宋体"/>
          <w:b/>
          <w:bCs/>
          <w:color w:val="auto"/>
          <w:sz w:val="24"/>
          <w:highlight w:val="none"/>
        </w:rPr>
      </w:pPr>
      <w:r>
        <w:rPr>
          <w:rFonts w:hint="eastAsia" w:ascii="宋体" w:hAnsi="宋体" w:cs="宋体"/>
          <w:b/>
          <w:bCs/>
          <w:color w:val="auto"/>
          <w:sz w:val="24"/>
          <w:highlight w:val="none"/>
        </w:rPr>
        <w:t>4.供应商资格条件：</w:t>
      </w:r>
    </w:p>
    <w:p w14:paraId="4FEDD430">
      <w:pPr>
        <w:spacing w:line="400" w:lineRule="exact"/>
        <w:ind w:firstLine="480" w:firstLineChars="200"/>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lang w:val="en-US" w:eastAsia="zh-CN"/>
        </w:rPr>
        <w:t>（</w:t>
      </w:r>
      <w:r>
        <w:rPr>
          <w:rFonts w:hint="eastAsia" w:ascii="宋体" w:hAnsi="宋体" w:eastAsia="宋体" w:cs="宋体"/>
          <w:color w:val="auto"/>
          <w:sz w:val="24"/>
          <w:szCs w:val="24"/>
          <w:highlight w:val="none"/>
        </w:rPr>
        <w:t>1</w:t>
      </w:r>
      <w:r>
        <w:rPr>
          <w:rFonts w:hint="eastAsia" w:ascii="宋体" w:hAnsi="宋体" w:cs="宋体"/>
          <w:color w:val="auto"/>
          <w:sz w:val="24"/>
          <w:szCs w:val="24"/>
          <w:highlight w:val="none"/>
          <w:lang w:val="en-US" w:eastAsia="zh-CN"/>
        </w:rPr>
        <w:t>）</w:t>
      </w:r>
      <w:r>
        <w:rPr>
          <w:rFonts w:hint="eastAsia" w:ascii="宋体" w:hAnsi="宋体" w:eastAsia="宋体" w:cs="宋体"/>
          <w:color w:val="auto"/>
          <w:sz w:val="24"/>
          <w:szCs w:val="24"/>
          <w:highlight w:val="none"/>
        </w:rPr>
        <w:t>营业执照等证明文件：</w:t>
      </w:r>
      <w:r>
        <w:rPr>
          <w:rFonts w:hint="eastAsia" w:ascii="宋体" w:hAnsi="宋体" w:cs="宋体"/>
          <w:color w:val="auto"/>
          <w:sz w:val="24"/>
          <w:szCs w:val="24"/>
          <w:highlight w:val="none"/>
          <w:lang w:eastAsia="zh-CN"/>
        </w:rPr>
        <w:t>供应商</w:t>
      </w:r>
      <w:r>
        <w:rPr>
          <w:rFonts w:hint="eastAsia" w:ascii="宋体" w:hAnsi="宋体" w:eastAsia="宋体" w:cs="宋体"/>
          <w:color w:val="auto"/>
          <w:sz w:val="24"/>
          <w:szCs w:val="24"/>
          <w:highlight w:val="none"/>
        </w:rPr>
        <w:t>应具有独立承担民事责任的能力，营业执照处于有效期内，并提供营业执照等证明文件的复印件</w:t>
      </w:r>
      <w:r>
        <w:rPr>
          <w:rFonts w:hint="eastAsia" w:ascii="宋体" w:hAnsi="宋体" w:cs="宋体"/>
          <w:color w:val="auto"/>
          <w:sz w:val="24"/>
          <w:szCs w:val="24"/>
          <w:highlight w:val="none"/>
          <w:lang w:eastAsia="zh-CN"/>
        </w:rPr>
        <w:t>。</w:t>
      </w:r>
    </w:p>
    <w:p w14:paraId="4BEA09ED">
      <w:pPr>
        <w:spacing w:line="400" w:lineRule="exact"/>
        <w:ind w:firstLine="480" w:firstLineChars="200"/>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lang w:val="en-US" w:eastAsia="zh-CN"/>
        </w:rPr>
        <w:t>2</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lang w:val="en-US" w:eastAsia="zh-CN"/>
        </w:rPr>
        <w:t>供应商</w:t>
      </w:r>
      <w:r>
        <w:rPr>
          <w:rFonts w:hint="eastAsia" w:ascii="宋体" w:hAnsi="宋体" w:eastAsia="宋体" w:cs="宋体"/>
          <w:color w:val="auto"/>
          <w:sz w:val="24"/>
          <w:szCs w:val="24"/>
          <w:highlight w:val="none"/>
          <w:lang w:val="en-US" w:eastAsia="zh-CN"/>
        </w:rPr>
        <w:t>具备公安机关核发的保安服务许可证，须提供有效证书复印件并加盖供应商公章</w:t>
      </w:r>
      <w:r>
        <w:rPr>
          <w:rFonts w:hint="eastAsia" w:ascii="宋体" w:hAnsi="宋体" w:cs="宋体"/>
          <w:color w:val="auto"/>
          <w:sz w:val="24"/>
          <w:szCs w:val="24"/>
          <w:highlight w:val="none"/>
          <w:lang w:val="en-US" w:eastAsia="zh-CN"/>
        </w:rPr>
        <w:t>。</w:t>
      </w:r>
    </w:p>
    <w:p w14:paraId="65DA1AA0">
      <w:pPr>
        <w:keepNext w:val="0"/>
        <w:keepLines w:val="0"/>
        <w:pageBreakBefore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（3）</w:t>
      </w:r>
      <w:r>
        <w:rPr>
          <w:rFonts w:hint="eastAsia" w:ascii="宋体" w:hAnsi="宋体" w:eastAsia="宋体" w:cs="宋体"/>
          <w:color w:val="auto"/>
          <w:kern w:val="0"/>
          <w:sz w:val="24"/>
          <w:szCs w:val="24"/>
          <w:highlight w:val="none"/>
        </w:rPr>
        <w:t>单位负责人授权书（若有）：若</w:t>
      </w:r>
      <w:r>
        <w:rPr>
          <w:rFonts w:hint="eastAsia" w:ascii="宋体" w:hAnsi="宋体" w:cs="宋体"/>
          <w:color w:val="auto"/>
          <w:kern w:val="0"/>
          <w:sz w:val="24"/>
          <w:szCs w:val="24"/>
          <w:highlight w:val="none"/>
          <w:lang w:eastAsia="zh-CN"/>
        </w:rPr>
        <w:t>供应商</w:t>
      </w:r>
      <w:r>
        <w:rPr>
          <w:rFonts w:hint="eastAsia" w:ascii="宋体" w:hAnsi="宋体" w:eastAsia="宋体" w:cs="宋体"/>
          <w:color w:val="auto"/>
          <w:kern w:val="0"/>
          <w:sz w:val="24"/>
          <w:szCs w:val="24"/>
          <w:highlight w:val="none"/>
        </w:rPr>
        <w:t>代表为单位负责人授权的委托代理人，应提供本授权书；若</w:t>
      </w:r>
      <w:r>
        <w:rPr>
          <w:rFonts w:hint="eastAsia" w:ascii="宋体" w:hAnsi="宋体" w:cs="宋体"/>
          <w:color w:val="auto"/>
          <w:kern w:val="0"/>
          <w:sz w:val="24"/>
          <w:szCs w:val="24"/>
          <w:highlight w:val="none"/>
          <w:lang w:eastAsia="zh-CN"/>
        </w:rPr>
        <w:t>供应商</w:t>
      </w:r>
      <w:r>
        <w:rPr>
          <w:rFonts w:hint="eastAsia" w:ascii="宋体" w:hAnsi="宋体" w:eastAsia="宋体" w:cs="宋体"/>
          <w:color w:val="auto"/>
          <w:kern w:val="0"/>
          <w:sz w:val="24"/>
          <w:szCs w:val="24"/>
          <w:highlight w:val="none"/>
        </w:rPr>
        <w:t>代表为单位负责人，无需提供本授权书</w:t>
      </w:r>
      <w:r>
        <w:rPr>
          <w:rFonts w:hint="eastAsia" w:ascii="宋体" w:hAnsi="宋体" w:eastAsia="宋体" w:cs="宋体"/>
          <w:color w:val="auto"/>
          <w:sz w:val="24"/>
          <w:szCs w:val="24"/>
          <w:highlight w:val="none"/>
        </w:rPr>
        <w:t>。</w:t>
      </w:r>
    </w:p>
    <w:p w14:paraId="3D077876">
      <w:pPr>
        <w:keepNext w:val="0"/>
        <w:keepLines w:val="0"/>
        <w:pageBreakBefore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color w:val="auto"/>
          <w:kern w:val="0"/>
          <w:sz w:val="24"/>
          <w:szCs w:val="24"/>
          <w:highlight w:val="none"/>
        </w:rPr>
      </w:pP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lang w:val="en-US" w:eastAsia="zh-CN"/>
        </w:rPr>
        <w:t>4</w:t>
      </w:r>
      <w:r>
        <w:rPr>
          <w:rFonts w:hint="eastAsia" w:ascii="宋体" w:hAnsi="宋体" w:cs="宋体"/>
          <w:color w:val="auto"/>
          <w:sz w:val="24"/>
          <w:szCs w:val="24"/>
          <w:highlight w:val="none"/>
          <w:lang w:eastAsia="zh-CN"/>
        </w:rPr>
        <w:t>）</w:t>
      </w:r>
      <w:r>
        <w:rPr>
          <w:rFonts w:hint="eastAsia" w:ascii="宋体" w:hAnsi="宋体" w:eastAsia="宋体" w:cs="宋体"/>
          <w:color w:val="auto"/>
          <w:kern w:val="0"/>
          <w:sz w:val="24"/>
          <w:szCs w:val="24"/>
          <w:highlight w:val="none"/>
        </w:rPr>
        <w:t>财务状况报告：</w:t>
      </w:r>
      <w:r>
        <w:rPr>
          <w:rFonts w:hint="eastAsia" w:ascii="宋体" w:hAnsi="宋体" w:cs="宋体"/>
          <w:color w:val="auto"/>
          <w:kern w:val="0"/>
          <w:sz w:val="24"/>
          <w:szCs w:val="24"/>
          <w:highlight w:val="none"/>
          <w:lang w:eastAsia="zh-CN"/>
        </w:rPr>
        <w:t>供应商</w:t>
      </w:r>
      <w:r>
        <w:rPr>
          <w:rFonts w:hint="eastAsia" w:ascii="宋体" w:hAnsi="宋体" w:eastAsia="宋体" w:cs="宋体"/>
          <w:color w:val="auto"/>
          <w:kern w:val="0"/>
          <w:sz w:val="24"/>
          <w:szCs w:val="24"/>
          <w:highlight w:val="none"/>
        </w:rPr>
        <w:t>应提供上一年度（</w:t>
      </w:r>
      <w:r>
        <w:rPr>
          <w:rFonts w:hint="eastAsia" w:ascii="宋体" w:hAnsi="宋体" w:cs="宋体"/>
          <w:color w:val="auto"/>
          <w:kern w:val="0"/>
          <w:sz w:val="24"/>
          <w:szCs w:val="24"/>
          <w:highlight w:val="none"/>
          <w:lang w:eastAsia="zh-CN"/>
        </w:rPr>
        <w:t>响应</w:t>
      </w:r>
      <w:r>
        <w:rPr>
          <w:rFonts w:hint="eastAsia" w:ascii="宋体" w:hAnsi="宋体" w:eastAsia="宋体" w:cs="宋体"/>
          <w:color w:val="auto"/>
          <w:kern w:val="0"/>
          <w:sz w:val="24"/>
          <w:szCs w:val="24"/>
          <w:highlight w:val="none"/>
        </w:rPr>
        <w:t>截止时间为1-6月的也可提供上上年度）财务报告复印件或银行资信证明复印件或</w:t>
      </w:r>
      <w:r>
        <w:rPr>
          <w:rFonts w:hint="eastAsia" w:ascii="宋体" w:hAnsi="宋体" w:cs="宋体"/>
          <w:color w:val="auto"/>
          <w:kern w:val="0"/>
          <w:sz w:val="24"/>
          <w:szCs w:val="24"/>
          <w:highlight w:val="none"/>
          <w:lang w:eastAsia="zh-CN"/>
        </w:rPr>
        <w:t>响应</w:t>
      </w:r>
      <w:r>
        <w:rPr>
          <w:rFonts w:hint="eastAsia" w:ascii="宋体" w:hAnsi="宋体" w:eastAsia="宋体" w:cs="宋体"/>
          <w:color w:val="auto"/>
          <w:kern w:val="0"/>
          <w:sz w:val="24"/>
          <w:szCs w:val="24"/>
          <w:highlight w:val="none"/>
        </w:rPr>
        <w:t>担保函复印件。</w:t>
      </w:r>
    </w:p>
    <w:p w14:paraId="4D8812B9">
      <w:pPr>
        <w:numPr>
          <w:ilvl w:val="-1"/>
          <w:numId w:val="0"/>
        </w:numPr>
        <w:spacing w:line="400" w:lineRule="exact"/>
        <w:ind w:firstLine="480" w:firstLineChars="200"/>
        <w:rPr>
          <w:rFonts w:hint="eastAsia" w:ascii="宋体" w:hAnsi="宋体" w:eastAsia="宋体" w:cs="宋体"/>
          <w:color w:val="auto"/>
          <w:kern w:val="0"/>
          <w:sz w:val="24"/>
          <w:szCs w:val="24"/>
          <w:highlight w:val="none"/>
          <w:lang w:eastAsia="zh-CN"/>
        </w:rPr>
      </w:pPr>
      <w:r>
        <w:rPr>
          <w:rFonts w:hint="eastAsia" w:ascii="宋体" w:hAnsi="宋体" w:cs="宋体"/>
          <w:color w:val="auto"/>
          <w:kern w:val="0"/>
          <w:sz w:val="24"/>
          <w:szCs w:val="24"/>
          <w:highlight w:val="none"/>
          <w:lang w:eastAsia="zh-CN"/>
        </w:rPr>
        <w:t>（</w:t>
      </w:r>
      <w:r>
        <w:rPr>
          <w:rFonts w:hint="eastAsia" w:ascii="宋体" w:hAnsi="宋体" w:cs="宋体"/>
          <w:color w:val="auto"/>
          <w:kern w:val="0"/>
          <w:sz w:val="24"/>
          <w:szCs w:val="24"/>
          <w:highlight w:val="none"/>
          <w:lang w:val="en-US" w:eastAsia="zh-CN"/>
        </w:rPr>
        <w:t>5</w:t>
      </w:r>
      <w:r>
        <w:rPr>
          <w:rFonts w:hint="eastAsia" w:ascii="宋体" w:hAnsi="宋体" w:cs="宋体"/>
          <w:color w:val="auto"/>
          <w:kern w:val="0"/>
          <w:sz w:val="24"/>
          <w:szCs w:val="24"/>
          <w:highlight w:val="none"/>
          <w:lang w:eastAsia="zh-CN"/>
        </w:rPr>
        <w:t>）</w:t>
      </w:r>
      <w:r>
        <w:rPr>
          <w:rFonts w:hint="eastAsia" w:ascii="宋体" w:hAnsi="宋体" w:eastAsia="宋体" w:cs="宋体"/>
          <w:color w:val="auto"/>
          <w:kern w:val="0"/>
          <w:sz w:val="24"/>
          <w:szCs w:val="24"/>
          <w:highlight w:val="none"/>
        </w:rPr>
        <w:t>依法缴纳税收证明材料：</w:t>
      </w:r>
      <w:r>
        <w:rPr>
          <w:rFonts w:hint="eastAsia" w:ascii="宋体" w:hAnsi="宋体" w:cs="宋体"/>
          <w:color w:val="auto"/>
          <w:kern w:val="0"/>
          <w:sz w:val="24"/>
          <w:szCs w:val="24"/>
          <w:highlight w:val="none"/>
          <w:lang w:eastAsia="zh-CN"/>
        </w:rPr>
        <w:t>供应商</w:t>
      </w:r>
      <w:r>
        <w:rPr>
          <w:rFonts w:hint="eastAsia" w:ascii="宋体" w:hAnsi="宋体" w:eastAsia="宋体" w:cs="宋体"/>
          <w:color w:val="auto"/>
          <w:kern w:val="0"/>
          <w:sz w:val="24"/>
          <w:szCs w:val="24"/>
          <w:highlight w:val="none"/>
        </w:rPr>
        <w:t>应提供</w:t>
      </w:r>
      <w:r>
        <w:rPr>
          <w:rFonts w:hint="eastAsia" w:ascii="宋体" w:hAnsi="宋体" w:cs="宋体"/>
          <w:color w:val="auto"/>
          <w:kern w:val="0"/>
          <w:sz w:val="24"/>
          <w:szCs w:val="24"/>
          <w:highlight w:val="none"/>
          <w:lang w:eastAsia="zh-CN"/>
        </w:rPr>
        <w:t>响应</w:t>
      </w:r>
      <w:r>
        <w:rPr>
          <w:rFonts w:hint="eastAsia" w:ascii="宋体" w:hAnsi="宋体" w:eastAsia="宋体" w:cs="宋体"/>
          <w:color w:val="auto"/>
          <w:kern w:val="0"/>
          <w:sz w:val="24"/>
          <w:szCs w:val="24"/>
          <w:highlight w:val="none"/>
        </w:rPr>
        <w:t>截止时间前六个月（不含</w:t>
      </w:r>
      <w:r>
        <w:rPr>
          <w:rFonts w:hint="eastAsia" w:ascii="宋体" w:hAnsi="宋体" w:cs="宋体"/>
          <w:color w:val="auto"/>
          <w:kern w:val="0"/>
          <w:sz w:val="24"/>
          <w:szCs w:val="24"/>
          <w:highlight w:val="none"/>
          <w:lang w:eastAsia="zh-CN"/>
        </w:rPr>
        <w:t>响应</w:t>
      </w:r>
      <w:r>
        <w:rPr>
          <w:rFonts w:hint="eastAsia" w:ascii="宋体" w:hAnsi="宋体" w:eastAsia="宋体" w:cs="宋体"/>
          <w:color w:val="auto"/>
          <w:kern w:val="0"/>
          <w:sz w:val="24"/>
          <w:szCs w:val="24"/>
          <w:highlight w:val="none"/>
        </w:rPr>
        <w:t>截止时间的当月）中任一月份依法缴纳税收的证明复印件，享受税收减免政策或因疫情影响享受缓缴或免缴税款的企业，提供依法缴纳税收承诺书原件（格式自拟）</w:t>
      </w:r>
      <w:r>
        <w:rPr>
          <w:rFonts w:hint="eastAsia" w:ascii="宋体" w:hAnsi="宋体" w:eastAsia="宋体" w:cs="宋体"/>
          <w:color w:val="auto"/>
          <w:kern w:val="0"/>
          <w:sz w:val="24"/>
          <w:szCs w:val="24"/>
          <w:highlight w:val="none"/>
          <w:lang w:eastAsia="zh-CN"/>
        </w:rPr>
        <w:t>。</w:t>
      </w:r>
    </w:p>
    <w:p w14:paraId="77039C87">
      <w:pPr>
        <w:numPr>
          <w:ilvl w:val="-1"/>
          <w:numId w:val="0"/>
        </w:numPr>
        <w:spacing w:line="400" w:lineRule="exact"/>
        <w:ind w:firstLine="480" w:firstLineChars="200"/>
        <w:rPr>
          <w:rFonts w:hint="eastAsia" w:ascii="宋体" w:hAnsi="宋体" w:eastAsia="宋体" w:cs="宋体"/>
          <w:color w:val="auto"/>
          <w:kern w:val="0"/>
          <w:sz w:val="24"/>
          <w:szCs w:val="24"/>
          <w:highlight w:val="none"/>
        </w:rPr>
      </w:pPr>
      <w:r>
        <w:rPr>
          <w:rFonts w:hint="eastAsia" w:ascii="宋体" w:hAnsi="宋体" w:cs="宋体"/>
          <w:color w:val="auto"/>
          <w:kern w:val="0"/>
          <w:sz w:val="24"/>
          <w:szCs w:val="24"/>
          <w:highlight w:val="none"/>
          <w:lang w:eastAsia="zh-CN"/>
        </w:rPr>
        <w:t>（</w:t>
      </w:r>
      <w:r>
        <w:rPr>
          <w:rFonts w:hint="eastAsia" w:ascii="宋体" w:hAnsi="宋体" w:cs="宋体"/>
          <w:color w:val="auto"/>
          <w:kern w:val="0"/>
          <w:sz w:val="24"/>
          <w:szCs w:val="24"/>
          <w:highlight w:val="none"/>
          <w:lang w:val="en-US" w:eastAsia="zh-CN"/>
        </w:rPr>
        <w:t>6</w:t>
      </w:r>
      <w:r>
        <w:rPr>
          <w:rFonts w:hint="eastAsia" w:ascii="宋体" w:hAnsi="宋体" w:cs="宋体"/>
          <w:color w:val="auto"/>
          <w:kern w:val="0"/>
          <w:sz w:val="24"/>
          <w:szCs w:val="24"/>
          <w:highlight w:val="none"/>
          <w:lang w:eastAsia="zh-CN"/>
        </w:rPr>
        <w:t>）</w:t>
      </w:r>
      <w:r>
        <w:rPr>
          <w:rFonts w:hint="eastAsia" w:ascii="宋体" w:hAnsi="宋体" w:eastAsia="宋体" w:cs="宋体"/>
          <w:color w:val="auto"/>
          <w:kern w:val="0"/>
          <w:sz w:val="24"/>
          <w:szCs w:val="24"/>
          <w:highlight w:val="none"/>
        </w:rPr>
        <w:t>依法缴纳社会保障资金证明材料：</w:t>
      </w:r>
      <w:r>
        <w:rPr>
          <w:rFonts w:hint="eastAsia" w:ascii="宋体" w:hAnsi="宋体" w:cs="宋体"/>
          <w:color w:val="auto"/>
          <w:kern w:val="0"/>
          <w:sz w:val="24"/>
          <w:szCs w:val="24"/>
          <w:highlight w:val="none"/>
          <w:lang w:eastAsia="zh-CN"/>
        </w:rPr>
        <w:t>供应商</w:t>
      </w:r>
      <w:r>
        <w:rPr>
          <w:rFonts w:hint="eastAsia" w:ascii="宋体" w:hAnsi="宋体" w:eastAsia="宋体" w:cs="宋体"/>
          <w:color w:val="auto"/>
          <w:kern w:val="0"/>
          <w:sz w:val="24"/>
          <w:szCs w:val="24"/>
          <w:highlight w:val="none"/>
        </w:rPr>
        <w:t>应提供</w:t>
      </w:r>
      <w:r>
        <w:rPr>
          <w:rFonts w:hint="eastAsia" w:ascii="宋体" w:hAnsi="宋体" w:cs="宋体"/>
          <w:color w:val="auto"/>
          <w:kern w:val="0"/>
          <w:sz w:val="24"/>
          <w:szCs w:val="24"/>
          <w:highlight w:val="none"/>
          <w:lang w:eastAsia="zh-CN"/>
        </w:rPr>
        <w:t>响应</w:t>
      </w:r>
      <w:r>
        <w:rPr>
          <w:rFonts w:hint="eastAsia" w:ascii="宋体" w:hAnsi="宋体" w:eastAsia="宋体" w:cs="宋体"/>
          <w:color w:val="auto"/>
          <w:kern w:val="0"/>
          <w:sz w:val="24"/>
          <w:szCs w:val="24"/>
          <w:highlight w:val="none"/>
        </w:rPr>
        <w:t>截止时间前六个月（不含</w:t>
      </w:r>
      <w:r>
        <w:rPr>
          <w:rFonts w:hint="eastAsia" w:ascii="宋体" w:hAnsi="宋体" w:cs="宋体"/>
          <w:color w:val="auto"/>
          <w:kern w:val="0"/>
          <w:sz w:val="24"/>
          <w:szCs w:val="24"/>
          <w:highlight w:val="none"/>
          <w:lang w:eastAsia="zh-CN"/>
        </w:rPr>
        <w:t>响应</w:t>
      </w:r>
      <w:r>
        <w:rPr>
          <w:rFonts w:hint="eastAsia" w:ascii="宋体" w:hAnsi="宋体" w:eastAsia="宋体" w:cs="宋体"/>
          <w:color w:val="auto"/>
          <w:kern w:val="0"/>
          <w:sz w:val="24"/>
          <w:szCs w:val="24"/>
          <w:highlight w:val="none"/>
        </w:rPr>
        <w:t>截止时间的当月）中任一月份依法缴纳社会保障资金的证明复印件，享受社保减免政策或因疫情影响享受缓缴或免缴社保的企业，提供依法缴纳社会保障资金承诺书原件（格式自拟）。</w:t>
      </w:r>
    </w:p>
    <w:p w14:paraId="225EF3C1">
      <w:pPr>
        <w:keepNext w:val="0"/>
        <w:keepLines w:val="0"/>
        <w:pageBreakBefore w:val="0"/>
        <w:numPr>
          <w:ilvl w:val="-1"/>
          <w:numId w:val="0"/>
        </w:numPr>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cs="宋体"/>
          <w:color w:val="auto"/>
          <w:kern w:val="0"/>
          <w:sz w:val="24"/>
          <w:szCs w:val="24"/>
          <w:highlight w:val="none"/>
          <w:lang w:val="en-US" w:eastAsia="zh-CN"/>
        </w:rPr>
        <w:t>（7）</w:t>
      </w:r>
      <w:r>
        <w:rPr>
          <w:rFonts w:hint="eastAsia" w:ascii="宋体" w:hAnsi="宋体" w:cs="宋体"/>
          <w:color w:val="auto"/>
          <w:kern w:val="0"/>
          <w:sz w:val="24"/>
          <w:szCs w:val="24"/>
          <w:highlight w:val="none"/>
          <w:lang w:eastAsia="zh-CN"/>
        </w:rPr>
        <w:t>供应商</w:t>
      </w:r>
      <w:r>
        <w:rPr>
          <w:rFonts w:hint="eastAsia" w:ascii="宋体" w:hAnsi="宋体" w:eastAsia="宋体" w:cs="宋体"/>
          <w:color w:val="auto"/>
          <w:kern w:val="0"/>
          <w:sz w:val="24"/>
          <w:szCs w:val="24"/>
          <w:highlight w:val="none"/>
        </w:rPr>
        <w:t>应提供具备履行合同所必需设备和专业技术能力的声明函</w:t>
      </w:r>
      <w:r>
        <w:rPr>
          <w:rFonts w:hint="eastAsia" w:ascii="宋体" w:hAnsi="宋体" w:eastAsia="宋体" w:cs="宋体"/>
          <w:color w:val="auto"/>
          <w:sz w:val="24"/>
          <w:szCs w:val="24"/>
          <w:highlight w:val="none"/>
        </w:rPr>
        <w:t>；</w:t>
      </w:r>
    </w:p>
    <w:p w14:paraId="0E73C85C">
      <w:pPr>
        <w:keepNext w:val="0"/>
        <w:keepLines w:val="0"/>
        <w:pageBreakBefore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（8）</w:t>
      </w:r>
      <w:r>
        <w:rPr>
          <w:rFonts w:hint="eastAsia" w:ascii="宋体" w:hAnsi="宋体" w:cs="宋体"/>
          <w:color w:val="auto"/>
          <w:kern w:val="0"/>
          <w:sz w:val="24"/>
          <w:szCs w:val="24"/>
          <w:highlight w:val="none"/>
          <w:lang w:eastAsia="zh-CN"/>
        </w:rPr>
        <w:t>供应商</w:t>
      </w:r>
      <w:r>
        <w:rPr>
          <w:rFonts w:hint="eastAsia" w:ascii="宋体" w:hAnsi="宋体" w:eastAsia="宋体" w:cs="宋体"/>
          <w:color w:val="auto"/>
          <w:kern w:val="0"/>
          <w:sz w:val="24"/>
          <w:szCs w:val="24"/>
          <w:highlight w:val="none"/>
        </w:rPr>
        <w:t>应提供</w:t>
      </w:r>
      <w:r>
        <w:rPr>
          <w:rFonts w:hint="eastAsia" w:ascii="宋体" w:hAnsi="宋体" w:eastAsia="宋体" w:cs="宋体"/>
          <w:color w:val="auto"/>
          <w:sz w:val="24"/>
          <w:szCs w:val="24"/>
          <w:highlight w:val="none"/>
        </w:rPr>
        <w:t>参加本次采购活动前三年内在经营活动中没有重大违法记录的声明函；</w:t>
      </w:r>
    </w:p>
    <w:p w14:paraId="27DD85FA">
      <w:pPr>
        <w:keepNext w:val="0"/>
        <w:keepLines w:val="0"/>
        <w:pageBreakBefore w:val="0"/>
        <w:kinsoku/>
        <w:wordWrap/>
        <w:overflowPunct/>
        <w:topLinePunct w:val="0"/>
        <w:autoSpaceDE/>
        <w:autoSpaceDN/>
        <w:bidi w:val="0"/>
        <w:adjustRightInd/>
        <w:snapToGrid/>
        <w:spacing w:line="440" w:lineRule="exact"/>
        <w:ind w:firstLine="482" w:firstLineChars="200"/>
        <w:textAlignment w:val="auto"/>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lang w:val="en-US" w:eastAsia="zh-CN"/>
        </w:rPr>
        <w:t>注：</w:t>
      </w:r>
      <w:r>
        <w:rPr>
          <w:rFonts w:hint="eastAsia" w:ascii="宋体" w:hAnsi="宋体" w:eastAsia="宋体" w:cs="宋体"/>
          <w:b/>
          <w:bCs/>
          <w:color w:val="auto"/>
          <w:sz w:val="24"/>
          <w:szCs w:val="24"/>
          <w:highlight w:val="none"/>
        </w:rPr>
        <w:t>本项目允许采用“资格承诺制”，根据《福建省财政厅关于印发推行政府采购供应商资格承诺制指导意见的通知》(闽财购(2024)6号)规定，响应供应商在响应文件中提供《福建省政府采购供应商资格承诺函》的，可不提供《中华人民共和国政府采购法实施条例》第</w:t>
      </w:r>
      <w:r>
        <w:rPr>
          <w:rFonts w:hint="eastAsia" w:ascii="宋体" w:hAnsi="宋体" w:cs="宋体"/>
          <w:b/>
          <w:bCs/>
          <w:color w:val="auto"/>
          <w:sz w:val="24"/>
          <w:szCs w:val="24"/>
          <w:highlight w:val="none"/>
          <w:lang w:val="en-US" w:eastAsia="zh-CN"/>
        </w:rPr>
        <w:t>十七</w:t>
      </w:r>
      <w:r>
        <w:rPr>
          <w:rFonts w:hint="eastAsia" w:ascii="宋体" w:hAnsi="宋体" w:eastAsia="宋体" w:cs="宋体"/>
          <w:b/>
          <w:bCs/>
          <w:color w:val="auto"/>
          <w:sz w:val="24"/>
          <w:szCs w:val="24"/>
          <w:highlight w:val="none"/>
        </w:rPr>
        <w:t>条第一款规定的资格条件证明材料，承诺函格式详见第五章响应文件格式。响应供应商应当遵循诚实信用原则，并对其承诺内容的真实性、合法性、有效性负责。响应供应商承诺不实的，属于提供虚假材料谋取中标、成交，依照《中华人民共和国政府采购法》第七十七条和政府采购法律法规有关规定处理。响应供应商可自行选择是否提供资格承诺函，若不提供资格承诺函的，应按</w:t>
      </w:r>
      <w:r>
        <w:rPr>
          <w:rFonts w:hint="eastAsia" w:ascii="宋体" w:hAnsi="宋体" w:cs="宋体"/>
          <w:b/>
          <w:bCs/>
          <w:color w:val="auto"/>
          <w:sz w:val="24"/>
          <w:szCs w:val="24"/>
          <w:highlight w:val="none"/>
          <w:lang w:eastAsia="zh-CN"/>
        </w:rPr>
        <w:t>询价文件</w:t>
      </w:r>
      <w:r>
        <w:rPr>
          <w:rFonts w:hint="eastAsia" w:ascii="宋体" w:hAnsi="宋体" w:eastAsia="宋体" w:cs="宋体"/>
          <w:b/>
          <w:bCs/>
          <w:color w:val="auto"/>
          <w:sz w:val="24"/>
          <w:szCs w:val="24"/>
          <w:highlight w:val="none"/>
        </w:rPr>
        <w:t>要求提供相应的证明材料。</w:t>
      </w:r>
    </w:p>
    <w:p w14:paraId="6217CCFD">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（9）</w:t>
      </w:r>
      <w:r>
        <w:rPr>
          <w:rFonts w:hint="eastAsia" w:ascii="宋体" w:hAnsi="宋体" w:eastAsia="宋体" w:cs="宋体"/>
          <w:color w:val="auto"/>
          <w:sz w:val="24"/>
          <w:szCs w:val="24"/>
          <w:highlight w:val="none"/>
        </w:rPr>
        <w:t>信用信息查询渠道：通过“信用中国”网站（www.creditchina.gov.cn）、中国政府采购网（www.ccgp.gov.cn）、“信用厦门”网站（credit.xm.gov.cn）查询所有供应商的信用信息。 因查询渠道网站原因导致查无供应商信息的，不认定供应商资格审查不合格；评审结束后，通过其他渠道发现供应商存在不良信用记录的，不认定为资格审查错误，将依照有关规定进行调查处理。供应商无需提供信用信息查询结果。若供应商自行提供查询结果的，仍以评审当天查询结果为准。</w:t>
      </w:r>
    </w:p>
    <w:p w14:paraId="0AFD93A5">
      <w:pPr>
        <w:spacing w:line="470" w:lineRule="exact"/>
        <w:ind w:left="368" w:leftChars="175" w:firstLine="240" w:firstLineChars="100"/>
        <w:rPr>
          <w:rFonts w:hint="eastAsia" w:ascii="宋体" w:hAnsi="宋体" w:eastAsia="宋体" w:cs="宋体"/>
          <w:b w:val="0"/>
          <w:bCs w:val="0"/>
          <w:color w:val="auto"/>
          <w:sz w:val="24"/>
          <w:szCs w:val="24"/>
          <w:highlight w:val="none"/>
        </w:rPr>
      </w:pPr>
      <w:r>
        <w:rPr>
          <w:rFonts w:hint="eastAsia" w:ascii="宋体" w:hAnsi="宋体" w:cs="宋体"/>
          <w:b w:val="0"/>
          <w:bCs w:val="0"/>
          <w:color w:val="auto"/>
          <w:sz w:val="24"/>
          <w:szCs w:val="24"/>
          <w:highlight w:val="none"/>
          <w:lang w:val="en-US" w:eastAsia="zh-CN"/>
        </w:rPr>
        <w:t>（10）</w:t>
      </w:r>
      <w:r>
        <w:rPr>
          <w:rFonts w:hint="eastAsia" w:ascii="宋体" w:hAnsi="宋体" w:eastAsia="宋体" w:cs="宋体"/>
          <w:b w:val="0"/>
          <w:bCs w:val="0"/>
          <w:color w:val="auto"/>
          <w:sz w:val="24"/>
          <w:szCs w:val="24"/>
          <w:highlight w:val="none"/>
        </w:rPr>
        <w:t>本项目不接受联合体</w:t>
      </w:r>
      <w:r>
        <w:rPr>
          <w:rFonts w:hint="eastAsia" w:ascii="宋体" w:hAnsi="宋体" w:cs="宋体"/>
          <w:b w:val="0"/>
          <w:bCs w:val="0"/>
          <w:color w:val="auto"/>
          <w:sz w:val="24"/>
          <w:szCs w:val="24"/>
          <w:highlight w:val="none"/>
          <w:lang w:eastAsia="zh-CN"/>
        </w:rPr>
        <w:t>响应</w:t>
      </w:r>
      <w:r>
        <w:rPr>
          <w:rFonts w:hint="eastAsia" w:ascii="宋体" w:hAnsi="宋体" w:eastAsia="宋体" w:cs="宋体"/>
          <w:b w:val="0"/>
          <w:bCs w:val="0"/>
          <w:color w:val="auto"/>
          <w:sz w:val="24"/>
          <w:szCs w:val="24"/>
          <w:highlight w:val="none"/>
        </w:rPr>
        <w:t>。</w:t>
      </w:r>
    </w:p>
    <w:p w14:paraId="58FCE77C">
      <w:pPr>
        <w:spacing w:line="470" w:lineRule="exact"/>
        <w:ind w:left="368" w:leftChars="175" w:firstLine="240" w:firstLineChars="100"/>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（11）</w:t>
      </w:r>
      <w:r>
        <w:rPr>
          <w:rFonts w:hint="eastAsia" w:ascii="宋体" w:hAnsi="宋体" w:eastAsia="宋体" w:cs="宋体"/>
          <w:color w:val="auto"/>
          <w:sz w:val="24"/>
          <w:szCs w:val="24"/>
          <w:highlight w:val="none"/>
          <w:lang w:val="en-US" w:eastAsia="zh-CN"/>
        </w:rPr>
        <w:t>采购人根据采购项目的要求规定的特定条件</w:t>
      </w:r>
    </w:p>
    <w:p w14:paraId="49621EBB">
      <w:pPr>
        <w:numPr>
          <w:ilvl w:val="-1"/>
          <w:numId w:val="0"/>
        </w:numPr>
        <w:spacing w:line="470" w:lineRule="exact"/>
        <w:ind w:firstLine="0" w:firstLineChars="0"/>
        <w:rPr>
          <w:rFonts w:hint="eastAsia" w:ascii="宋体" w:hAnsi="宋体" w:eastAsia="宋体" w:cs="宋体"/>
          <w:color w:val="auto"/>
          <w:sz w:val="24"/>
          <w:highlight w:val="none"/>
          <w:lang w:eastAsia="zh-CN"/>
        </w:rPr>
      </w:pPr>
      <w:r>
        <w:rPr>
          <w:rFonts w:hint="eastAsia" w:ascii="宋体" w:hAnsi="宋体" w:cs="宋体"/>
          <w:color w:val="auto"/>
          <w:sz w:val="24"/>
          <w:highlight w:val="none"/>
          <w:lang w:val="en-US" w:eastAsia="zh-CN"/>
        </w:rPr>
        <w:t xml:space="preserve">  </w:t>
      </w:r>
      <w:r>
        <w:rPr>
          <w:rFonts w:hint="eastAsia" w:ascii="宋体" w:hAnsi="宋体" w:cs="宋体"/>
          <w:b/>
          <w:bCs/>
          <w:color w:val="auto"/>
          <w:sz w:val="24"/>
          <w:highlight w:val="none"/>
          <w:lang w:val="en-US" w:eastAsia="zh-CN"/>
        </w:rPr>
        <w:t>5.</w:t>
      </w:r>
      <w:r>
        <w:rPr>
          <w:rFonts w:hint="eastAsia" w:ascii="宋体" w:hAnsi="宋体" w:cs="宋体"/>
          <w:b/>
          <w:bCs/>
          <w:color w:val="auto"/>
          <w:sz w:val="24"/>
          <w:highlight w:val="none"/>
        </w:rPr>
        <w:t>询价文件</w:t>
      </w:r>
      <w:r>
        <w:rPr>
          <w:rFonts w:hint="eastAsia" w:ascii="宋体" w:hAnsi="宋体" w:cs="宋体"/>
          <w:b/>
          <w:bCs/>
          <w:color w:val="auto"/>
          <w:sz w:val="24"/>
          <w:highlight w:val="none"/>
          <w:lang w:val="en-US" w:eastAsia="zh-CN"/>
        </w:rPr>
        <w:t>通知书的获取</w:t>
      </w:r>
      <w:r>
        <w:rPr>
          <w:rFonts w:hint="eastAsia" w:ascii="宋体" w:hAnsi="宋体" w:cs="宋体"/>
          <w:color w:val="auto"/>
          <w:sz w:val="24"/>
          <w:highlight w:val="none"/>
        </w:rPr>
        <w:t>：</w:t>
      </w:r>
    </w:p>
    <w:p w14:paraId="531B7245">
      <w:pPr>
        <w:numPr>
          <w:ilvl w:val="-1"/>
          <w:numId w:val="0"/>
        </w:numPr>
        <w:spacing w:line="470" w:lineRule="exact"/>
        <w:ind w:firstLine="720" w:firstLineChars="300"/>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（1）询价文件获取期限：详见询价公告或更正公告（若有），若不一致，以更正公告（若有）为准，</w:t>
      </w:r>
    </w:p>
    <w:p w14:paraId="5737E57D">
      <w:pPr>
        <w:numPr>
          <w:ilvl w:val="0"/>
          <w:numId w:val="9"/>
        </w:numPr>
        <w:spacing w:line="470" w:lineRule="exact"/>
        <w:ind w:firstLine="720" w:firstLineChars="300"/>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询价文件获取期限内，供应商应通过厦门市湖里区国有资产投资集团有限公司网站招标信息栏目获取询价通知书，否则报价响应应被拒绝。</w:t>
      </w:r>
    </w:p>
    <w:p w14:paraId="32BA1C29">
      <w:pPr>
        <w:numPr>
          <w:ilvl w:val="0"/>
          <w:numId w:val="9"/>
        </w:numPr>
        <w:spacing w:line="470" w:lineRule="exact"/>
        <w:ind w:firstLine="720" w:firstLineChars="300"/>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获取地点及方式：通过厦门市湖里区国有资产投资集团有限公司网站招标信息栏目下载方式获取</w:t>
      </w:r>
    </w:p>
    <w:p w14:paraId="4C64D72B">
      <w:pPr>
        <w:numPr>
          <w:ilvl w:val="0"/>
          <w:numId w:val="9"/>
        </w:numPr>
        <w:spacing w:line="470" w:lineRule="exact"/>
        <w:ind w:firstLine="720" w:firstLineChars="300"/>
        <w:rPr>
          <w:rFonts w:hint="eastAsia" w:ascii="宋体" w:hAnsi="宋体" w:eastAsia="宋体" w:cs="宋体"/>
          <w:color w:val="auto"/>
          <w:sz w:val="24"/>
          <w:highlight w:val="none"/>
          <w:lang w:eastAsia="zh-CN"/>
        </w:rPr>
      </w:pPr>
      <w:r>
        <w:rPr>
          <w:rFonts w:hint="eastAsia" w:ascii="宋体" w:hAnsi="宋体" w:cs="宋体"/>
          <w:color w:val="auto"/>
          <w:sz w:val="24"/>
          <w:highlight w:val="none"/>
          <w:lang w:val="en-US" w:eastAsia="zh-CN"/>
        </w:rPr>
        <w:t>询价文件售价：0元。</w:t>
      </w:r>
    </w:p>
    <w:p w14:paraId="31279A1E">
      <w:pPr>
        <w:spacing w:line="470" w:lineRule="exact"/>
        <w:ind w:firstLine="241" w:firstLineChars="100"/>
        <w:rPr>
          <w:rFonts w:ascii="宋体" w:hAnsi="宋体" w:cs="宋体"/>
          <w:b/>
          <w:bCs/>
          <w:color w:val="auto"/>
          <w:sz w:val="24"/>
          <w:highlight w:val="none"/>
        </w:rPr>
      </w:pPr>
      <w:r>
        <w:rPr>
          <w:rFonts w:hint="eastAsia" w:ascii="宋体" w:hAnsi="宋体" w:cs="宋体"/>
          <w:b/>
          <w:bCs/>
          <w:color w:val="auto"/>
          <w:sz w:val="24"/>
          <w:highlight w:val="none"/>
          <w:lang w:val="en-US" w:eastAsia="zh-CN"/>
        </w:rPr>
        <w:t>6.</w:t>
      </w:r>
      <w:r>
        <w:rPr>
          <w:rFonts w:hint="eastAsia" w:ascii="宋体" w:hAnsi="宋体" w:cs="宋体"/>
          <w:b/>
          <w:bCs/>
          <w:color w:val="auto"/>
          <w:sz w:val="24"/>
          <w:highlight w:val="none"/>
          <w:lang w:eastAsia="zh-CN"/>
        </w:rPr>
        <w:t>询价</w:t>
      </w:r>
      <w:r>
        <w:rPr>
          <w:rFonts w:hint="eastAsia" w:ascii="宋体" w:hAnsi="宋体" w:cs="宋体"/>
          <w:b/>
          <w:bCs/>
          <w:color w:val="auto"/>
          <w:sz w:val="24"/>
          <w:highlight w:val="none"/>
        </w:rPr>
        <w:t>保证金：</w:t>
      </w:r>
      <w:r>
        <w:rPr>
          <w:rFonts w:hint="eastAsia" w:ascii="宋体" w:hAnsi="宋体" w:cs="宋体"/>
          <w:b/>
          <w:bCs/>
          <w:color w:val="auto"/>
          <w:sz w:val="24"/>
          <w:highlight w:val="none"/>
          <w:lang w:eastAsia="zh-CN"/>
        </w:rPr>
        <w:t>无需提交</w:t>
      </w:r>
      <w:r>
        <w:rPr>
          <w:rFonts w:hint="eastAsia" w:ascii="宋体" w:hAnsi="宋体" w:cs="宋体"/>
          <w:b/>
          <w:bCs/>
          <w:color w:val="auto"/>
          <w:sz w:val="24"/>
          <w:highlight w:val="none"/>
        </w:rPr>
        <w:t>。</w:t>
      </w:r>
    </w:p>
    <w:p w14:paraId="52F7EA00">
      <w:pPr>
        <w:spacing w:line="470" w:lineRule="exact"/>
        <w:ind w:firstLine="241" w:firstLineChars="100"/>
        <w:rPr>
          <w:rFonts w:ascii="宋体" w:hAnsi="宋体" w:cs="宋体"/>
          <w:color w:val="auto"/>
          <w:sz w:val="24"/>
          <w:highlight w:val="none"/>
        </w:rPr>
      </w:pPr>
      <w:r>
        <w:rPr>
          <w:rFonts w:hint="eastAsia" w:ascii="宋体" w:hAnsi="宋体" w:cs="宋体"/>
          <w:b/>
          <w:bCs/>
          <w:color w:val="auto"/>
          <w:sz w:val="24"/>
          <w:highlight w:val="none"/>
          <w:lang w:val="en-US" w:eastAsia="zh-CN"/>
        </w:rPr>
        <w:t>7.</w:t>
      </w:r>
      <w:r>
        <w:rPr>
          <w:rFonts w:hint="eastAsia" w:ascii="宋体" w:hAnsi="宋体" w:cs="宋体"/>
          <w:b/>
          <w:bCs/>
          <w:color w:val="auto"/>
          <w:sz w:val="24"/>
          <w:highlight w:val="none"/>
        </w:rPr>
        <w:t>提交响应文件截止时间：</w:t>
      </w:r>
      <w:r>
        <w:rPr>
          <w:rFonts w:hint="eastAsia" w:ascii="宋体" w:hAnsi="宋体" w:cs="宋体"/>
          <w:color w:val="auto"/>
          <w:sz w:val="24"/>
          <w:highlight w:val="none"/>
        </w:rPr>
        <w:t>2025年</w:t>
      </w:r>
      <w:r>
        <w:rPr>
          <w:rFonts w:hint="eastAsia" w:ascii="宋体" w:hAnsi="宋体" w:cs="宋体"/>
          <w:color w:val="auto"/>
          <w:sz w:val="24"/>
          <w:highlight w:val="none"/>
          <w:lang w:val="en-US" w:eastAsia="zh-CN"/>
        </w:rPr>
        <w:t>12</w:t>
      </w:r>
      <w:r>
        <w:rPr>
          <w:rFonts w:hint="eastAsia" w:ascii="宋体" w:hAnsi="宋体" w:cs="宋体"/>
          <w:color w:val="auto"/>
          <w:sz w:val="24"/>
          <w:highlight w:val="none"/>
        </w:rPr>
        <w:t>月</w:t>
      </w:r>
      <w:r>
        <w:rPr>
          <w:rFonts w:hint="eastAsia" w:ascii="宋体" w:hAnsi="宋体" w:cs="宋体"/>
          <w:color w:val="auto"/>
          <w:sz w:val="24"/>
          <w:highlight w:val="none"/>
          <w:lang w:val="en-US" w:eastAsia="zh-CN"/>
        </w:rPr>
        <w:t>31</w:t>
      </w:r>
      <w:r>
        <w:rPr>
          <w:rFonts w:hint="eastAsia" w:ascii="宋体" w:hAnsi="宋体" w:cs="宋体"/>
          <w:color w:val="auto"/>
          <w:sz w:val="24"/>
          <w:highlight w:val="none"/>
        </w:rPr>
        <w:t>日</w:t>
      </w:r>
      <w:r>
        <w:rPr>
          <w:rFonts w:hint="eastAsia" w:ascii="宋体" w:hAnsi="宋体" w:cs="宋体"/>
          <w:color w:val="auto"/>
          <w:sz w:val="24"/>
          <w:highlight w:val="none"/>
          <w:lang w:val="en-US" w:eastAsia="zh-CN"/>
        </w:rPr>
        <w:t>下午14</w:t>
      </w:r>
      <w:r>
        <w:rPr>
          <w:rFonts w:hint="eastAsia" w:ascii="宋体" w:hAnsi="宋体" w:cs="宋体"/>
          <w:color w:val="auto"/>
          <w:sz w:val="24"/>
          <w:highlight w:val="none"/>
        </w:rPr>
        <w:t>时</w:t>
      </w:r>
      <w:r>
        <w:rPr>
          <w:rFonts w:hint="eastAsia" w:ascii="宋体" w:hAnsi="宋体" w:cs="宋体"/>
          <w:color w:val="auto"/>
          <w:sz w:val="24"/>
          <w:highlight w:val="none"/>
          <w:lang w:val="en-US" w:eastAsia="zh-CN"/>
        </w:rPr>
        <w:t>00</w:t>
      </w:r>
      <w:r>
        <w:rPr>
          <w:rFonts w:hint="eastAsia" w:ascii="宋体" w:hAnsi="宋体" w:cs="宋体"/>
          <w:color w:val="auto"/>
          <w:sz w:val="24"/>
          <w:highlight w:val="none"/>
        </w:rPr>
        <w:t>分止。供应商应在</w:t>
      </w:r>
      <w:r>
        <w:rPr>
          <w:rFonts w:hint="eastAsia" w:ascii="宋体" w:hAnsi="宋体" w:cs="宋体"/>
          <w:color w:val="auto"/>
          <w:sz w:val="24"/>
          <w:highlight w:val="none"/>
          <w:lang w:eastAsia="zh-CN"/>
        </w:rPr>
        <w:t>响应文件</w:t>
      </w:r>
      <w:r>
        <w:rPr>
          <w:rFonts w:hint="eastAsia" w:ascii="宋体" w:hAnsi="宋体" w:cs="宋体"/>
          <w:color w:val="auto"/>
          <w:sz w:val="24"/>
          <w:highlight w:val="none"/>
        </w:rPr>
        <w:t>截止时间前将响应文件递交到</w:t>
      </w:r>
      <w:r>
        <w:rPr>
          <w:rFonts w:hint="eastAsia" w:ascii="宋体" w:hAnsi="宋体" w:cs="宋体"/>
          <w:color w:val="auto"/>
          <w:sz w:val="24"/>
          <w:highlight w:val="none"/>
          <w:lang w:val="en-US" w:eastAsia="zh-CN"/>
        </w:rPr>
        <w:t>厦门湖里国投工程建设有限公司8楼会议</w:t>
      </w:r>
      <w:r>
        <w:rPr>
          <w:rFonts w:hint="eastAsia" w:ascii="宋体" w:hAnsi="宋体" w:cs="宋体"/>
          <w:color w:val="auto"/>
          <w:sz w:val="24"/>
          <w:highlight w:val="none"/>
        </w:rPr>
        <w:t>室，逾期收到的或不符合规定的响应文件将被拒绝。</w:t>
      </w:r>
    </w:p>
    <w:p w14:paraId="4974E405">
      <w:pPr>
        <w:pStyle w:val="94"/>
        <w:ind w:firstLine="480"/>
        <w:jc w:val="left"/>
        <w:outlineLvl w:val="2"/>
        <w:rPr>
          <w:rFonts w:ascii="宋体" w:hAnsi="宋体" w:cs="宋体"/>
          <w:b/>
          <w:bCs/>
          <w:color w:val="auto"/>
          <w:kern w:val="2"/>
          <w:sz w:val="24"/>
          <w:highlight w:val="none"/>
        </w:rPr>
      </w:pPr>
      <w:r>
        <w:rPr>
          <w:rFonts w:ascii="宋体" w:hAnsi="宋体" w:eastAsia="宋体" w:cs="宋体"/>
          <w:b/>
          <w:bCs/>
          <w:color w:val="auto"/>
          <w:kern w:val="2"/>
          <w:sz w:val="24"/>
          <w:highlight w:val="none"/>
        </w:rPr>
        <w:t>8、询价时间及地点：</w:t>
      </w:r>
    </w:p>
    <w:p w14:paraId="1F33CB98">
      <w:pPr>
        <w:spacing w:line="470" w:lineRule="exact"/>
        <w:ind w:firstLine="240" w:firstLineChars="100"/>
        <w:jc w:val="left"/>
        <w:outlineLvl w:val="2"/>
        <w:rPr>
          <w:rFonts w:hint="default" w:ascii="宋体" w:hAnsi="宋体" w:cs="宋体"/>
          <w:b/>
          <w:bCs/>
          <w:color w:val="auto"/>
          <w:sz w:val="24"/>
          <w:highlight w:val="none"/>
        </w:rPr>
      </w:pPr>
      <w:r>
        <w:rPr>
          <w:rFonts w:hint="eastAsia" w:ascii="宋体" w:hAnsi="宋体" w:cs="宋体"/>
          <w:b w:val="0"/>
          <w:bCs w:val="0"/>
          <w:color w:val="auto"/>
          <w:sz w:val="24"/>
          <w:highlight w:val="none"/>
          <w:lang w:val="en-US" w:eastAsia="zh-CN"/>
        </w:rPr>
        <w:t>询价时间</w:t>
      </w:r>
      <w:r>
        <w:rPr>
          <w:rFonts w:hint="eastAsia" w:ascii="宋体" w:hAnsi="宋体" w:cs="宋体"/>
          <w:color w:val="auto"/>
          <w:sz w:val="24"/>
          <w:highlight w:val="none"/>
        </w:rPr>
        <w:t>2025年</w:t>
      </w:r>
      <w:r>
        <w:rPr>
          <w:rFonts w:hint="eastAsia" w:ascii="宋体" w:hAnsi="宋体" w:cs="宋体"/>
          <w:color w:val="auto"/>
          <w:sz w:val="24"/>
          <w:highlight w:val="none"/>
          <w:lang w:val="en-US" w:eastAsia="zh-CN"/>
        </w:rPr>
        <w:t>12</w:t>
      </w:r>
      <w:r>
        <w:rPr>
          <w:rFonts w:hint="eastAsia" w:ascii="宋体" w:hAnsi="宋体" w:cs="宋体"/>
          <w:color w:val="auto"/>
          <w:sz w:val="24"/>
          <w:highlight w:val="none"/>
        </w:rPr>
        <w:t>月</w:t>
      </w:r>
      <w:r>
        <w:rPr>
          <w:rFonts w:hint="eastAsia" w:ascii="宋体" w:hAnsi="宋体" w:cs="宋体"/>
          <w:color w:val="auto"/>
          <w:sz w:val="24"/>
          <w:highlight w:val="none"/>
          <w:lang w:val="en-US" w:eastAsia="zh-CN"/>
        </w:rPr>
        <w:t>31</w:t>
      </w:r>
      <w:r>
        <w:rPr>
          <w:rFonts w:hint="eastAsia" w:ascii="宋体" w:hAnsi="宋体" w:cs="宋体"/>
          <w:color w:val="auto"/>
          <w:sz w:val="24"/>
          <w:highlight w:val="none"/>
        </w:rPr>
        <w:t>日</w:t>
      </w:r>
      <w:r>
        <w:rPr>
          <w:rFonts w:hint="eastAsia" w:ascii="宋体" w:hAnsi="宋体" w:cs="宋体"/>
          <w:color w:val="auto"/>
          <w:sz w:val="24"/>
          <w:highlight w:val="none"/>
          <w:lang w:val="en-US" w:eastAsia="zh-CN"/>
        </w:rPr>
        <w:t>下午14</w:t>
      </w:r>
      <w:r>
        <w:rPr>
          <w:rFonts w:hint="eastAsia" w:ascii="宋体" w:hAnsi="宋体" w:cs="宋体"/>
          <w:color w:val="auto"/>
          <w:sz w:val="24"/>
          <w:highlight w:val="none"/>
        </w:rPr>
        <w:t>时</w:t>
      </w:r>
      <w:r>
        <w:rPr>
          <w:rFonts w:hint="eastAsia" w:ascii="宋体" w:hAnsi="宋体" w:cs="宋体"/>
          <w:color w:val="auto"/>
          <w:sz w:val="24"/>
          <w:highlight w:val="none"/>
          <w:lang w:val="en-US" w:eastAsia="zh-CN"/>
        </w:rPr>
        <w:t>00</w:t>
      </w:r>
      <w:r>
        <w:rPr>
          <w:rFonts w:hint="eastAsia" w:ascii="宋体" w:hAnsi="宋体" w:cs="宋体"/>
          <w:color w:val="auto"/>
          <w:sz w:val="24"/>
          <w:highlight w:val="none"/>
        </w:rPr>
        <w:t>分止</w:t>
      </w:r>
      <w:r>
        <w:rPr>
          <w:rFonts w:hint="eastAsia" w:ascii="宋体" w:hAnsi="宋体" w:cs="宋体"/>
          <w:b w:val="0"/>
          <w:bCs w:val="0"/>
          <w:color w:val="auto"/>
          <w:sz w:val="24"/>
          <w:highlight w:val="none"/>
          <w:lang w:val="en-US" w:eastAsia="zh-CN"/>
        </w:rPr>
        <w:t>，询价地点：</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eastAsia="zh-CN"/>
        </w:rPr>
        <w:t>厦门市</w:t>
      </w:r>
      <w:r>
        <w:rPr>
          <w:rFonts w:hint="eastAsia" w:ascii="宋体" w:hAnsi="宋体" w:cs="宋体"/>
          <w:color w:val="auto"/>
          <w:sz w:val="24"/>
          <w:highlight w:val="none"/>
          <w:u w:val="single"/>
          <w:lang w:val="en-US" w:eastAsia="zh-CN"/>
        </w:rPr>
        <w:t>园山南路798号湖里国投商务中心A座8楼工程公司会议室。</w:t>
      </w:r>
    </w:p>
    <w:p w14:paraId="190B7722">
      <w:pPr>
        <w:pStyle w:val="94"/>
        <w:ind w:firstLine="480"/>
        <w:jc w:val="left"/>
        <w:outlineLvl w:val="2"/>
        <w:rPr>
          <w:rFonts w:ascii="宋体" w:hAnsi="宋体" w:cs="宋体"/>
          <w:b/>
          <w:bCs/>
          <w:color w:val="auto"/>
          <w:kern w:val="2"/>
          <w:sz w:val="24"/>
          <w:highlight w:val="none"/>
        </w:rPr>
      </w:pPr>
      <w:r>
        <w:rPr>
          <w:rFonts w:ascii="宋体" w:hAnsi="宋体" w:eastAsia="宋体" w:cs="宋体"/>
          <w:b/>
          <w:bCs/>
          <w:color w:val="auto"/>
          <w:kern w:val="2"/>
          <w:sz w:val="24"/>
          <w:highlight w:val="none"/>
        </w:rPr>
        <w:t>9、公告期限</w:t>
      </w:r>
    </w:p>
    <w:p w14:paraId="759FA96B">
      <w:pPr>
        <w:pStyle w:val="94"/>
        <w:ind w:firstLine="480"/>
        <w:jc w:val="left"/>
        <w:rPr>
          <w:rFonts w:ascii="宋体" w:hAnsi="宋体" w:cs="宋体"/>
          <w:color w:val="auto"/>
          <w:kern w:val="2"/>
          <w:sz w:val="24"/>
          <w:highlight w:val="none"/>
        </w:rPr>
      </w:pPr>
      <w:r>
        <w:rPr>
          <w:rFonts w:ascii="宋体" w:hAnsi="宋体" w:eastAsia="宋体" w:cs="宋体"/>
          <w:color w:val="auto"/>
          <w:kern w:val="2"/>
          <w:sz w:val="24"/>
          <w:highlight w:val="none"/>
        </w:rPr>
        <w:t>9.1询价公告的公告期限：自发布公告之日起3个工作日。</w:t>
      </w:r>
    </w:p>
    <w:p w14:paraId="5B07C2D4">
      <w:pPr>
        <w:pStyle w:val="94"/>
        <w:ind w:firstLine="480"/>
        <w:jc w:val="left"/>
        <w:rPr>
          <w:rFonts w:ascii="宋体" w:hAnsi="宋体" w:cs="宋体"/>
          <w:color w:val="auto"/>
          <w:kern w:val="2"/>
          <w:sz w:val="24"/>
          <w:highlight w:val="none"/>
        </w:rPr>
      </w:pPr>
      <w:r>
        <w:rPr>
          <w:rFonts w:ascii="宋体" w:hAnsi="宋体" w:eastAsia="宋体" w:cs="宋体"/>
          <w:color w:val="auto"/>
          <w:kern w:val="2"/>
          <w:sz w:val="24"/>
          <w:highlight w:val="none"/>
        </w:rPr>
        <w:t>9.2询价通知书随同询价公告一并发布，其公告期限与询价公告的期限保持一致。</w:t>
      </w:r>
    </w:p>
    <w:p w14:paraId="1592CF21">
      <w:pPr>
        <w:spacing w:line="470" w:lineRule="exact"/>
        <w:ind w:firstLine="241" w:firstLineChars="100"/>
        <w:rPr>
          <w:rFonts w:ascii="宋体" w:hAnsi="宋体" w:cs="宋体"/>
          <w:color w:val="auto"/>
          <w:sz w:val="24"/>
          <w:highlight w:val="none"/>
        </w:rPr>
      </w:pPr>
      <w:r>
        <w:rPr>
          <w:rFonts w:hint="eastAsia" w:ascii="宋体" w:hAnsi="宋体" w:cs="宋体"/>
          <w:b/>
          <w:bCs/>
          <w:color w:val="auto"/>
          <w:sz w:val="24"/>
          <w:highlight w:val="none"/>
        </w:rPr>
        <w:t>1</w:t>
      </w:r>
      <w:r>
        <w:rPr>
          <w:rFonts w:hint="eastAsia" w:ascii="宋体" w:hAnsi="宋体" w:cs="宋体"/>
          <w:b/>
          <w:bCs/>
          <w:color w:val="auto"/>
          <w:sz w:val="24"/>
          <w:highlight w:val="none"/>
          <w:lang w:val="en-US" w:eastAsia="zh-CN"/>
        </w:rPr>
        <w:t>0</w:t>
      </w:r>
      <w:r>
        <w:rPr>
          <w:rFonts w:hint="eastAsia" w:ascii="宋体" w:hAnsi="宋体" w:cs="宋体"/>
          <w:b/>
          <w:bCs/>
          <w:color w:val="auto"/>
          <w:sz w:val="24"/>
          <w:highlight w:val="none"/>
        </w:rPr>
        <w:t>.供应商对本次</w:t>
      </w:r>
      <w:r>
        <w:rPr>
          <w:rFonts w:hint="eastAsia" w:ascii="宋体" w:hAnsi="宋体" w:cs="宋体"/>
          <w:b/>
          <w:bCs/>
          <w:color w:val="auto"/>
          <w:sz w:val="24"/>
          <w:highlight w:val="none"/>
          <w:lang w:eastAsia="zh-CN"/>
        </w:rPr>
        <w:t>采购</w:t>
      </w:r>
      <w:r>
        <w:rPr>
          <w:rFonts w:hint="eastAsia" w:ascii="宋体" w:hAnsi="宋体" w:cs="宋体"/>
          <w:b/>
          <w:bCs/>
          <w:color w:val="auto"/>
          <w:sz w:val="24"/>
          <w:highlight w:val="none"/>
        </w:rPr>
        <w:t>活动事项如有疑问的，在</w:t>
      </w:r>
      <w:r>
        <w:rPr>
          <w:rFonts w:hint="eastAsia" w:ascii="宋体" w:hAnsi="宋体" w:cs="宋体"/>
          <w:b/>
          <w:bCs/>
          <w:color w:val="auto"/>
          <w:sz w:val="24"/>
          <w:highlight w:val="none"/>
          <w:lang w:eastAsia="zh-CN"/>
        </w:rPr>
        <w:t>询价</w:t>
      </w:r>
      <w:r>
        <w:rPr>
          <w:rFonts w:hint="eastAsia" w:ascii="宋体" w:hAnsi="宋体" w:cs="宋体"/>
          <w:b/>
          <w:bCs/>
          <w:color w:val="auto"/>
          <w:sz w:val="24"/>
          <w:highlight w:val="none"/>
        </w:rPr>
        <w:t>文件</w:t>
      </w:r>
      <w:r>
        <w:rPr>
          <w:rFonts w:hint="eastAsia" w:ascii="宋体" w:hAnsi="宋体" w:cs="宋体"/>
          <w:b/>
          <w:bCs/>
          <w:color w:val="auto"/>
          <w:sz w:val="24"/>
          <w:highlight w:val="none"/>
          <w:lang w:eastAsia="zh-CN"/>
        </w:rPr>
        <w:t>邀请</w:t>
      </w:r>
      <w:r>
        <w:rPr>
          <w:rFonts w:hint="eastAsia" w:ascii="宋体" w:hAnsi="宋体" w:cs="宋体"/>
          <w:b/>
          <w:bCs/>
          <w:color w:val="auto"/>
          <w:sz w:val="24"/>
          <w:highlight w:val="none"/>
        </w:rPr>
        <w:t>期限内</w:t>
      </w:r>
      <w:r>
        <w:rPr>
          <w:rFonts w:hint="eastAsia" w:ascii="宋体" w:hAnsi="宋体" w:cs="宋体"/>
          <w:color w:val="auto"/>
          <w:sz w:val="24"/>
          <w:highlight w:val="none"/>
        </w:rPr>
        <w:t>：自询价</w:t>
      </w:r>
      <w:r>
        <w:rPr>
          <w:rFonts w:hint="eastAsia" w:ascii="宋体" w:hAnsi="宋体" w:cs="宋体"/>
          <w:color w:val="auto"/>
          <w:sz w:val="24"/>
          <w:highlight w:val="none"/>
          <w:lang w:eastAsia="zh-CN"/>
        </w:rPr>
        <w:t>邀请发出</w:t>
      </w:r>
      <w:r>
        <w:rPr>
          <w:rFonts w:hint="eastAsia" w:ascii="宋体" w:hAnsi="宋体" w:cs="宋体"/>
          <w:color w:val="auto"/>
          <w:sz w:val="24"/>
          <w:highlight w:val="none"/>
        </w:rPr>
        <w:t>之日起3个工作日内向代理机构提出。</w:t>
      </w:r>
    </w:p>
    <w:p w14:paraId="6A02F76E">
      <w:pPr>
        <w:spacing w:line="470" w:lineRule="exact"/>
        <w:ind w:firstLine="241" w:firstLineChars="100"/>
        <w:rPr>
          <w:rFonts w:ascii="宋体" w:hAnsi="宋体" w:cs="宋体"/>
          <w:color w:val="auto"/>
          <w:sz w:val="24"/>
          <w:highlight w:val="none"/>
        </w:rPr>
      </w:pPr>
      <w:r>
        <w:rPr>
          <w:rFonts w:hint="eastAsia" w:ascii="宋体" w:hAnsi="宋体" w:cs="宋体"/>
          <w:b/>
          <w:bCs/>
          <w:color w:val="auto"/>
          <w:sz w:val="24"/>
          <w:highlight w:val="none"/>
        </w:rPr>
        <w:t>1</w:t>
      </w:r>
      <w:r>
        <w:rPr>
          <w:rFonts w:hint="eastAsia" w:ascii="宋体" w:hAnsi="宋体" w:cs="宋体"/>
          <w:b/>
          <w:bCs/>
          <w:color w:val="auto"/>
          <w:sz w:val="24"/>
          <w:highlight w:val="none"/>
          <w:lang w:val="en-US" w:eastAsia="zh-CN"/>
        </w:rPr>
        <w:t>1</w:t>
      </w:r>
      <w:r>
        <w:rPr>
          <w:rFonts w:hint="eastAsia" w:ascii="宋体" w:hAnsi="宋体" w:cs="宋体"/>
          <w:b/>
          <w:bCs/>
          <w:color w:val="auto"/>
          <w:sz w:val="24"/>
          <w:highlight w:val="none"/>
        </w:rPr>
        <w:t>.如有变更（如：答疑文件、补充通知、延期通知等</w:t>
      </w:r>
      <w:r>
        <w:rPr>
          <w:rFonts w:hint="eastAsia" w:ascii="宋体" w:hAnsi="宋体" w:cs="宋体"/>
          <w:color w:val="auto"/>
          <w:sz w:val="24"/>
          <w:highlight w:val="none"/>
        </w:rPr>
        <w:t>），代理机构将通过</w:t>
      </w:r>
      <w:r>
        <w:rPr>
          <w:rFonts w:hint="eastAsia" w:ascii="宋体" w:hAnsi="宋体" w:cs="宋体"/>
          <w:color w:val="auto"/>
          <w:sz w:val="24"/>
          <w:highlight w:val="none"/>
          <w:lang w:val="en-US" w:eastAsia="zh-CN"/>
        </w:rPr>
        <w:t>厦门市湖里区国有资产投资集团有限公司网站招标信息栏目发布</w:t>
      </w:r>
      <w:r>
        <w:rPr>
          <w:rFonts w:hint="eastAsia" w:ascii="宋体" w:hAnsi="宋体" w:cs="宋体"/>
          <w:color w:val="auto"/>
          <w:sz w:val="24"/>
          <w:highlight w:val="none"/>
        </w:rPr>
        <w:t>，请各供应商在</w:t>
      </w:r>
      <w:r>
        <w:rPr>
          <w:rFonts w:hint="eastAsia" w:ascii="宋体" w:hAnsi="宋体" w:cs="宋体"/>
          <w:color w:val="auto"/>
          <w:sz w:val="24"/>
          <w:highlight w:val="none"/>
          <w:lang w:eastAsia="zh-CN"/>
        </w:rPr>
        <w:t>响应</w:t>
      </w:r>
      <w:r>
        <w:rPr>
          <w:rFonts w:hint="eastAsia" w:ascii="宋体" w:hAnsi="宋体" w:cs="宋体"/>
          <w:color w:val="auto"/>
          <w:sz w:val="24"/>
          <w:highlight w:val="none"/>
        </w:rPr>
        <w:t>截止前随时留意本项目的有关信息。</w:t>
      </w:r>
    </w:p>
    <w:p w14:paraId="4183CCA7">
      <w:pPr>
        <w:spacing w:line="470" w:lineRule="exact"/>
        <w:ind w:firstLine="241" w:firstLineChars="100"/>
        <w:rPr>
          <w:rFonts w:ascii="宋体" w:hAnsi="宋体" w:cs="宋体"/>
          <w:b/>
          <w:bCs/>
          <w:color w:val="auto"/>
          <w:sz w:val="24"/>
          <w:highlight w:val="none"/>
        </w:rPr>
      </w:pPr>
      <w:r>
        <w:rPr>
          <w:rFonts w:hint="eastAsia" w:ascii="宋体" w:hAnsi="宋体" w:cs="宋体"/>
          <w:b/>
          <w:bCs/>
          <w:color w:val="auto"/>
          <w:sz w:val="24"/>
          <w:highlight w:val="none"/>
        </w:rPr>
        <w:t>1</w:t>
      </w:r>
      <w:r>
        <w:rPr>
          <w:rFonts w:hint="eastAsia" w:ascii="宋体" w:hAnsi="宋体" w:cs="宋体"/>
          <w:b/>
          <w:bCs/>
          <w:color w:val="auto"/>
          <w:sz w:val="24"/>
          <w:highlight w:val="none"/>
          <w:lang w:val="en-US" w:eastAsia="zh-CN"/>
        </w:rPr>
        <w:t>2.</w:t>
      </w:r>
      <w:r>
        <w:rPr>
          <w:rFonts w:hint="eastAsia" w:ascii="宋体" w:hAnsi="宋体" w:cs="宋体"/>
          <w:b/>
          <w:bCs/>
          <w:color w:val="auto"/>
          <w:sz w:val="24"/>
          <w:highlight w:val="none"/>
        </w:rPr>
        <w:t>交通拥堵，递交</w:t>
      </w:r>
      <w:r>
        <w:rPr>
          <w:rFonts w:hint="eastAsia" w:ascii="宋体" w:hAnsi="宋体" w:cs="宋体"/>
          <w:b/>
          <w:bCs/>
          <w:color w:val="auto"/>
          <w:sz w:val="24"/>
          <w:highlight w:val="none"/>
          <w:lang w:eastAsia="zh-CN"/>
        </w:rPr>
        <w:t>响应文件</w:t>
      </w:r>
      <w:r>
        <w:rPr>
          <w:rFonts w:hint="eastAsia" w:ascii="宋体" w:hAnsi="宋体" w:cs="宋体"/>
          <w:b/>
          <w:bCs/>
          <w:color w:val="auto"/>
          <w:sz w:val="24"/>
          <w:highlight w:val="none"/>
        </w:rPr>
        <w:t>请提前做好准备。</w:t>
      </w:r>
    </w:p>
    <w:p w14:paraId="6D4D0246">
      <w:pPr>
        <w:spacing w:line="470" w:lineRule="exact"/>
        <w:ind w:firstLine="241" w:firstLineChars="100"/>
        <w:rPr>
          <w:rFonts w:ascii="宋体" w:hAnsi="宋体" w:cs="宋体"/>
          <w:b/>
          <w:bCs/>
          <w:color w:val="auto"/>
          <w:sz w:val="24"/>
          <w:highlight w:val="none"/>
        </w:rPr>
      </w:pPr>
      <w:r>
        <w:rPr>
          <w:rFonts w:hint="eastAsia" w:ascii="宋体" w:hAnsi="宋体" w:cs="宋体"/>
          <w:b/>
          <w:bCs/>
          <w:color w:val="auto"/>
          <w:sz w:val="24"/>
          <w:highlight w:val="none"/>
        </w:rPr>
        <w:t>1</w:t>
      </w:r>
      <w:r>
        <w:rPr>
          <w:rFonts w:hint="eastAsia" w:ascii="宋体" w:hAnsi="宋体" w:cs="宋体"/>
          <w:b/>
          <w:bCs/>
          <w:color w:val="auto"/>
          <w:sz w:val="24"/>
          <w:highlight w:val="none"/>
          <w:lang w:val="en-US" w:eastAsia="zh-CN"/>
        </w:rPr>
        <w:t>3</w:t>
      </w:r>
      <w:r>
        <w:rPr>
          <w:rFonts w:hint="eastAsia" w:ascii="宋体" w:hAnsi="宋体" w:cs="宋体"/>
          <w:b/>
          <w:bCs/>
          <w:color w:val="auto"/>
          <w:sz w:val="24"/>
          <w:highlight w:val="none"/>
        </w:rPr>
        <w:t>.联系方式</w:t>
      </w:r>
    </w:p>
    <w:p w14:paraId="6F94B72D">
      <w:pPr>
        <w:spacing w:line="470" w:lineRule="exact"/>
        <w:ind w:firstLine="480" w:firstLineChars="200"/>
        <w:rPr>
          <w:rFonts w:ascii="宋体" w:hAnsi="宋体" w:cs="宋体"/>
          <w:color w:val="auto"/>
          <w:sz w:val="24"/>
          <w:szCs w:val="24"/>
          <w:highlight w:val="none"/>
        </w:rPr>
      </w:pPr>
      <w:r>
        <w:rPr>
          <w:rFonts w:hint="eastAsia" w:ascii="宋体" w:hAnsi="宋体" w:cs="宋体"/>
          <w:color w:val="auto"/>
          <w:sz w:val="24"/>
          <w:highlight w:val="none"/>
        </w:rPr>
        <w:t>采购代理机构：</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u w:val="single"/>
          <w:lang w:eastAsia="zh-CN"/>
        </w:rPr>
        <w:t>厦门</w:t>
      </w:r>
      <w:r>
        <w:rPr>
          <w:rFonts w:hint="eastAsia" w:ascii="宋体" w:hAnsi="宋体" w:cs="宋体"/>
          <w:color w:val="auto"/>
          <w:sz w:val="24"/>
          <w:szCs w:val="24"/>
          <w:highlight w:val="none"/>
          <w:u w:val="single"/>
          <w:lang w:val="en-US" w:eastAsia="zh-CN"/>
        </w:rPr>
        <w:t>湖里国投工程建设有限公司</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w:t>
      </w:r>
    </w:p>
    <w:p w14:paraId="6DEF86C9">
      <w:pPr>
        <w:pStyle w:val="9"/>
        <w:snapToGrid w:val="0"/>
        <w:spacing w:line="47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地址：</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eastAsia="zh-CN"/>
        </w:rPr>
        <w:t>厦门市</w:t>
      </w:r>
      <w:r>
        <w:rPr>
          <w:rFonts w:hint="eastAsia" w:ascii="宋体" w:hAnsi="宋体" w:cs="宋体"/>
          <w:color w:val="auto"/>
          <w:sz w:val="24"/>
          <w:highlight w:val="none"/>
          <w:u w:val="single"/>
          <w:lang w:val="en-US" w:eastAsia="zh-CN"/>
        </w:rPr>
        <w:t xml:space="preserve">园山南路798号湖里国投商务中心A座8楼        </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w:t>
      </w:r>
    </w:p>
    <w:p w14:paraId="468ADECA">
      <w:pPr>
        <w:pStyle w:val="9"/>
        <w:snapToGrid w:val="0"/>
        <w:spacing w:line="470" w:lineRule="exact"/>
        <w:ind w:firstLine="480" w:firstLineChars="200"/>
        <w:rPr>
          <w:rFonts w:ascii="宋体" w:hAnsi="宋体" w:cs="宋体"/>
          <w:color w:val="auto"/>
          <w:sz w:val="24"/>
          <w:highlight w:val="none"/>
          <w:u w:val="single"/>
        </w:rPr>
      </w:pPr>
      <w:r>
        <w:rPr>
          <w:rFonts w:hint="eastAsia" w:ascii="宋体" w:hAnsi="宋体" w:cs="宋体"/>
          <w:color w:val="auto"/>
          <w:sz w:val="24"/>
          <w:highlight w:val="none"/>
        </w:rPr>
        <w:t>邮编：</w:t>
      </w:r>
      <w:r>
        <w:rPr>
          <w:rFonts w:hint="eastAsia" w:ascii="宋体" w:hAnsi="宋体" w:cs="宋体"/>
          <w:color w:val="auto"/>
          <w:sz w:val="24"/>
          <w:highlight w:val="none"/>
          <w:u w:val="single"/>
        </w:rPr>
        <w:t xml:space="preserve">  361</w:t>
      </w:r>
      <w:r>
        <w:rPr>
          <w:rFonts w:hint="eastAsia" w:ascii="宋体" w:hAnsi="宋体" w:cs="宋体"/>
          <w:color w:val="auto"/>
          <w:sz w:val="24"/>
          <w:highlight w:val="none"/>
          <w:u w:val="single"/>
          <w:lang w:val="en-US" w:eastAsia="zh-CN"/>
        </w:rPr>
        <w:t>009</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w:t>
      </w:r>
    </w:p>
    <w:p w14:paraId="69E97102">
      <w:pPr>
        <w:pStyle w:val="9"/>
        <w:snapToGrid w:val="0"/>
        <w:spacing w:line="47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电话：</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eastAsia="zh-CN"/>
        </w:rPr>
        <w:t>0592-</w:t>
      </w:r>
      <w:r>
        <w:rPr>
          <w:rFonts w:hint="eastAsia" w:ascii="宋体" w:hAnsi="宋体" w:cs="宋体"/>
          <w:color w:val="auto"/>
          <w:sz w:val="24"/>
          <w:highlight w:val="none"/>
          <w:u w:val="single"/>
          <w:lang w:val="en-US" w:eastAsia="zh-CN"/>
        </w:rPr>
        <w:t>5736955</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传真：</w:t>
      </w:r>
      <w:r>
        <w:rPr>
          <w:rFonts w:hint="eastAsia" w:ascii="宋体" w:hAnsi="宋体" w:cs="宋体"/>
          <w:color w:val="auto"/>
          <w:sz w:val="24"/>
          <w:highlight w:val="none"/>
          <w:u w:val="single"/>
        </w:rPr>
        <w:t xml:space="preserve">   /   </w:t>
      </w:r>
      <w:r>
        <w:rPr>
          <w:rFonts w:hint="eastAsia" w:ascii="宋体" w:hAnsi="宋体" w:cs="宋体"/>
          <w:color w:val="auto"/>
          <w:sz w:val="24"/>
          <w:highlight w:val="none"/>
        </w:rPr>
        <w:t>；</w:t>
      </w:r>
    </w:p>
    <w:p w14:paraId="3056780D">
      <w:pPr>
        <w:pStyle w:val="9"/>
        <w:snapToGrid w:val="0"/>
        <w:spacing w:line="47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 xml:space="preserve">联系人： </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val="en-US" w:eastAsia="zh-CN"/>
        </w:rPr>
        <w:t>林</w:t>
      </w:r>
      <w:r>
        <w:rPr>
          <w:rFonts w:hint="eastAsia" w:ascii="宋体" w:hAnsi="宋体" w:cs="宋体"/>
          <w:color w:val="auto"/>
          <w:sz w:val="24"/>
          <w:highlight w:val="none"/>
          <w:u w:val="single"/>
          <w:lang w:eastAsia="zh-CN"/>
        </w:rPr>
        <w:t>工</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w:t>
      </w:r>
    </w:p>
    <w:p w14:paraId="001610FD">
      <w:pPr>
        <w:pStyle w:val="9"/>
        <w:snapToGrid w:val="0"/>
        <w:spacing w:line="470" w:lineRule="exact"/>
        <w:ind w:firstLine="540" w:firstLineChars="225"/>
        <w:rPr>
          <w:rFonts w:ascii="宋体" w:hAnsi="宋体" w:cs="宋体"/>
          <w:color w:val="auto"/>
          <w:sz w:val="24"/>
          <w:highlight w:val="none"/>
        </w:rPr>
      </w:pPr>
      <w:r>
        <w:rPr>
          <w:rFonts w:hint="eastAsia" w:ascii="宋体" w:hAnsi="宋体" w:cs="宋体"/>
          <w:color w:val="auto"/>
          <w:sz w:val="24"/>
          <w:highlight w:val="none"/>
        </w:rPr>
        <w:t>采购人：</w:t>
      </w:r>
      <w:r>
        <w:rPr>
          <w:rFonts w:hint="eastAsia" w:ascii="宋体" w:hAnsi="宋体" w:cs="宋体"/>
          <w:color w:val="auto"/>
          <w:sz w:val="24"/>
          <w:highlight w:val="none"/>
          <w:u w:val="single"/>
        </w:rPr>
        <w:t xml:space="preserve">  厦门湖里国投物业服务有限公司  </w:t>
      </w:r>
      <w:r>
        <w:rPr>
          <w:rFonts w:hint="eastAsia" w:ascii="宋体" w:hAnsi="宋体" w:cs="宋体"/>
          <w:color w:val="auto"/>
          <w:sz w:val="24"/>
          <w:highlight w:val="none"/>
        </w:rPr>
        <w:t xml:space="preserve"> ；</w:t>
      </w:r>
    </w:p>
    <w:p w14:paraId="0FA11D1C">
      <w:pPr>
        <w:pStyle w:val="9"/>
        <w:snapToGrid w:val="0"/>
        <w:spacing w:line="470" w:lineRule="exact"/>
        <w:ind w:firstLine="540" w:firstLineChars="225"/>
        <w:rPr>
          <w:rFonts w:ascii="宋体" w:hAnsi="宋体" w:cs="宋体"/>
          <w:color w:val="auto"/>
          <w:sz w:val="24"/>
          <w:highlight w:val="none"/>
        </w:rPr>
      </w:pPr>
      <w:r>
        <w:rPr>
          <w:rFonts w:hint="eastAsia" w:ascii="宋体" w:hAnsi="宋体" w:cs="宋体"/>
          <w:color w:val="auto"/>
          <w:sz w:val="24"/>
          <w:highlight w:val="none"/>
        </w:rPr>
        <w:t>地址：</w:t>
      </w:r>
      <w:r>
        <w:rPr>
          <w:rFonts w:hint="eastAsia" w:ascii="宋体" w:hAnsi="宋体" w:cs="宋体"/>
          <w:color w:val="auto"/>
          <w:sz w:val="24"/>
          <w:highlight w:val="none"/>
          <w:u w:val="single"/>
          <w:lang w:eastAsia="zh-CN"/>
        </w:rPr>
        <w:t>厦门市</w:t>
      </w:r>
      <w:r>
        <w:rPr>
          <w:rFonts w:hint="eastAsia" w:ascii="宋体" w:hAnsi="宋体" w:cs="宋体"/>
          <w:color w:val="auto"/>
          <w:sz w:val="24"/>
          <w:highlight w:val="none"/>
          <w:u w:val="single"/>
          <w:lang w:val="en-US" w:eastAsia="zh-CN"/>
        </w:rPr>
        <w:t>园山南路792号湖里国投商务中心B座4楼</w:t>
      </w:r>
      <w:r>
        <w:rPr>
          <w:rFonts w:hint="eastAsia" w:ascii="宋体" w:hAnsi="宋体" w:cs="宋体"/>
          <w:color w:val="auto"/>
          <w:sz w:val="24"/>
          <w:highlight w:val="none"/>
        </w:rPr>
        <w:t>；</w:t>
      </w:r>
    </w:p>
    <w:p w14:paraId="4DA5A1C5">
      <w:pPr>
        <w:pStyle w:val="9"/>
        <w:snapToGrid w:val="0"/>
        <w:spacing w:line="470" w:lineRule="exact"/>
        <w:ind w:firstLine="540" w:firstLineChars="225"/>
        <w:rPr>
          <w:rFonts w:ascii="宋体" w:hAnsi="宋体" w:cs="宋体"/>
          <w:color w:val="auto"/>
          <w:sz w:val="24"/>
          <w:highlight w:val="none"/>
          <w:u w:val="single"/>
        </w:rPr>
      </w:pPr>
      <w:r>
        <w:rPr>
          <w:rFonts w:hint="eastAsia" w:ascii="宋体" w:hAnsi="宋体" w:cs="宋体"/>
          <w:color w:val="auto"/>
          <w:sz w:val="24"/>
          <w:highlight w:val="none"/>
        </w:rPr>
        <w:t>邮编：</w:t>
      </w:r>
      <w:r>
        <w:rPr>
          <w:rFonts w:hint="eastAsia" w:ascii="宋体" w:hAnsi="宋体" w:cs="宋体"/>
          <w:color w:val="auto"/>
          <w:sz w:val="24"/>
          <w:highlight w:val="none"/>
          <w:u w:val="single"/>
        </w:rPr>
        <w:t xml:space="preserve"> 361</w:t>
      </w:r>
      <w:r>
        <w:rPr>
          <w:rFonts w:hint="eastAsia" w:ascii="宋体" w:hAnsi="宋体" w:cs="宋体"/>
          <w:color w:val="auto"/>
          <w:sz w:val="24"/>
          <w:highlight w:val="none"/>
          <w:u w:val="single"/>
          <w:lang w:val="en-US" w:eastAsia="zh-CN"/>
        </w:rPr>
        <w:t>0</w:t>
      </w:r>
      <w:r>
        <w:rPr>
          <w:rFonts w:hint="eastAsia" w:ascii="宋体" w:hAnsi="宋体" w:cs="宋体"/>
          <w:color w:val="auto"/>
          <w:sz w:val="24"/>
          <w:highlight w:val="none"/>
          <w:u w:val="single"/>
        </w:rPr>
        <w:t>0</w:t>
      </w:r>
      <w:r>
        <w:rPr>
          <w:rFonts w:hint="eastAsia" w:ascii="宋体" w:hAnsi="宋体" w:cs="宋体"/>
          <w:color w:val="auto"/>
          <w:sz w:val="24"/>
          <w:highlight w:val="none"/>
          <w:u w:val="single"/>
          <w:lang w:val="en-US" w:eastAsia="zh-CN"/>
        </w:rPr>
        <w:t>9</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w:t>
      </w:r>
    </w:p>
    <w:p w14:paraId="3B2CD7D5">
      <w:pPr>
        <w:pStyle w:val="9"/>
        <w:snapToGrid w:val="0"/>
        <w:spacing w:line="470" w:lineRule="exact"/>
        <w:ind w:firstLine="540" w:firstLineChars="225"/>
        <w:rPr>
          <w:rFonts w:ascii="宋体" w:hAnsi="宋体" w:cs="宋体"/>
          <w:color w:val="auto"/>
          <w:sz w:val="24"/>
          <w:highlight w:val="none"/>
        </w:rPr>
      </w:pPr>
      <w:r>
        <w:rPr>
          <w:rFonts w:hint="eastAsia" w:ascii="宋体" w:hAnsi="宋体" w:cs="宋体"/>
          <w:color w:val="auto"/>
          <w:sz w:val="24"/>
          <w:highlight w:val="none"/>
        </w:rPr>
        <w:t>电话：</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val="en-US" w:eastAsia="zh-CN"/>
        </w:rPr>
        <w:t>0592-5382895</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传真：</w:t>
      </w:r>
      <w:r>
        <w:rPr>
          <w:rFonts w:hint="eastAsia" w:ascii="宋体" w:hAnsi="宋体" w:cs="宋体"/>
          <w:color w:val="auto"/>
          <w:sz w:val="24"/>
          <w:highlight w:val="none"/>
          <w:u w:val="single"/>
        </w:rPr>
        <w:t xml:space="preserve">    /   </w:t>
      </w:r>
      <w:r>
        <w:rPr>
          <w:rFonts w:hint="eastAsia" w:ascii="宋体" w:hAnsi="宋体" w:cs="宋体"/>
          <w:color w:val="auto"/>
          <w:sz w:val="24"/>
          <w:highlight w:val="none"/>
        </w:rPr>
        <w:t>；</w:t>
      </w:r>
    </w:p>
    <w:p w14:paraId="2C7257A0">
      <w:pPr>
        <w:pStyle w:val="9"/>
        <w:snapToGrid w:val="0"/>
        <w:spacing w:line="47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 xml:space="preserve">联系人： </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val="en-US" w:eastAsia="zh-CN"/>
        </w:rPr>
        <w:t>周工</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w:t>
      </w:r>
    </w:p>
    <w:bookmarkEnd w:id="3"/>
    <w:bookmarkEnd w:id="4"/>
    <w:bookmarkEnd w:id="5"/>
    <w:p w14:paraId="08419BCB">
      <w:pPr>
        <w:pStyle w:val="3"/>
        <w:jc w:val="both"/>
        <w:rPr>
          <w:rFonts w:hint="eastAsia" w:ascii="宋体" w:hAnsi="宋体" w:cs="宋体"/>
          <w:color w:val="auto"/>
          <w:highlight w:val="none"/>
          <w:lang w:val="en-US" w:eastAsia="zh-CN"/>
        </w:rPr>
      </w:pPr>
      <w:bookmarkStart w:id="6" w:name="_Toc185762837"/>
      <w:bookmarkStart w:id="7" w:name="_Toc11845126"/>
      <w:r>
        <w:rPr>
          <w:rFonts w:hint="eastAsia" w:ascii="宋体" w:hAnsi="宋体" w:cs="宋体"/>
          <w:color w:val="auto"/>
          <w:highlight w:val="none"/>
          <w:lang w:val="en-US" w:eastAsia="zh-CN"/>
        </w:rPr>
        <w:t xml:space="preserve">                  </w:t>
      </w:r>
    </w:p>
    <w:p w14:paraId="67EBAF32">
      <w:pPr>
        <w:pStyle w:val="3"/>
        <w:spacing w:line="240" w:lineRule="auto"/>
        <w:ind w:firstLine="3213" w:firstLineChars="1000"/>
        <w:jc w:val="both"/>
        <w:rPr>
          <w:rFonts w:hint="eastAsia" w:ascii="宋体" w:hAnsi="宋体" w:cs="宋体"/>
          <w:color w:val="auto"/>
          <w:highlight w:val="none"/>
        </w:rPr>
      </w:pPr>
    </w:p>
    <w:p w14:paraId="5E5FA9BA">
      <w:pPr>
        <w:pStyle w:val="3"/>
        <w:spacing w:line="240" w:lineRule="auto"/>
        <w:ind w:firstLine="3213" w:firstLineChars="1000"/>
        <w:jc w:val="both"/>
        <w:rPr>
          <w:rFonts w:hint="eastAsia" w:ascii="宋体" w:hAnsi="宋体" w:cs="宋体"/>
          <w:color w:val="auto"/>
          <w:highlight w:val="none"/>
        </w:rPr>
      </w:pPr>
    </w:p>
    <w:p w14:paraId="175D7E79">
      <w:pPr>
        <w:pStyle w:val="3"/>
        <w:spacing w:line="240" w:lineRule="auto"/>
        <w:ind w:firstLine="3213" w:firstLineChars="1000"/>
        <w:jc w:val="both"/>
        <w:rPr>
          <w:rFonts w:hint="eastAsia" w:ascii="宋体" w:hAnsi="宋体" w:cs="宋体"/>
          <w:color w:val="auto"/>
          <w:highlight w:val="none"/>
        </w:rPr>
      </w:pPr>
    </w:p>
    <w:p w14:paraId="739F38C3">
      <w:pPr>
        <w:pStyle w:val="3"/>
        <w:spacing w:line="240" w:lineRule="auto"/>
        <w:ind w:firstLine="3213" w:firstLineChars="1000"/>
        <w:jc w:val="both"/>
        <w:rPr>
          <w:rFonts w:hint="eastAsia" w:ascii="宋体" w:hAnsi="宋体" w:cs="宋体"/>
          <w:color w:val="auto"/>
          <w:highlight w:val="none"/>
        </w:rPr>
      </w:pPr>
    </w:p>
    <w:p w14:paraId="321B4171">
      <w:pPr>
        <w:pStyle w:val="3"/>
        <w:spacing w:line="240" w:lineRule="auto"/>
        <w:ind w:firstLine="3213" w:firstLineChars="1000"/>
        <w:jc w:val="both"/>
        <w:rPr>
          <w:rFonts w:hint="eastAsia" w:ascii="宋体" w:hAnsi="宋体" w:cs="宋体"/>
          <w:color w:val="auto"/>
          <w:highlight w:val="none"/>
        </w:rPr>
      </w:pPr>
    </w:p>
    <w:p w14:paraId="686F9084">
      <w:pPr>
        <w:pStyle w:val="3"/>
        <w:spacing w:line="240" w:lineRule="auto"/>
        <w:ind w:firstLine="3213" w:firstLineChars="1000"/>
        <w:jc w:val="both"/>
        <w:rPr>
          <w:rFonts w:hint="eastAsia" w:ascii="宋体" w:hAnsi="宋体" w:cs="宋体"/>
          <w:color w:val="auto"/>
          <w:highlight w:val="none"/>
        </w:rPr>
      </w:pPr>
    </w:p>
    <w:p w14:paraId="5CBD5188">
      <w:pPr>
        <w:pStyle w:val="3"/>
        <w:spacing w:line="240" w:lineRule="auto"/>
        <w:ind w:firstLine="3213" w:firstLineChars="1000"/>
        <w:jc w:val="both"/>
        <w:rPr>
          <w:rFonts w:hint="eastAsia" w:ascii="宋体" w:hAnsi="宋体" w:cs="宋体"/>
          <w:color w:val="auto"/>
          <w:highlight w:val="none"/>
        </w:rPr>
      </w:pPr>
    </w:p>
    <w:p w14:paraId="4258CE6E">
      <w:pPr>
        <w:pStyle w:val="3"/>
        <w:spacing w:line="240" w:lineRule="auto"/>
        <w:ind w:firstLine="3213" w:firstLineChars="1000"/>
        <w:jc w:val="both"/>
        <w:rPr>
          <w:rFonts w:hint="eastAsia" w:ascii="宋体" w:hAnsi="宋体" w:cs="宋体"/>
          <w:color w:val="auto"/>
          <w:highlight w:val="none"/>
        </w:rPr>
      </w:pPr>
    </w:p>
    <w:p w14:paraId="0A854943">
      <w:pPr>
        <w:pStyle w:val="3"/>
        <w:spacing w:line="240" w:lineRule="auto"/>
        <w:ind w:firstLine="3213" w:firstLineChars="1000"/>
        <w:jc w:val="both"/>
        <w:rPr>
          <w:rFonts w:hint="eastAsia" w:ascii="宋体" w:hAnsi="宋体" w:cs="宋体"/>
          <w:color w:val="auto"/>
          <w:highlight w:val="none"/>
        </w:rPr>
      </w:pPr>
    </w:p>
    <w:p w14:paraId="5E550B8D">
      <w:pPr>
        <w:rPr>
          <w:rFonts w:hint="eastAsia"/>
          <w:color w:val="auto"/>
          <w:rPrChange w:id="0" w:author="秦岳" w:date="2025-12-25T17:39:43Z">
            <w:rPr>
              <w:rFonts w:hint="eastAsia"/>
            </w:rPr>
          </w:rPrChange>
        </w:rPr>
      </w:pPr>
    </w:p>
    <w:p w14:paraId="629F0B89">
      <w:pPr>
        <w:pStyle w:val="3"/>
        <w:spacing w:line="240" w:lineRule="auto"/>
        <w:ind w:firstLine="3213" w:firstLineChars="1000"/>
        <w:jc w:val="both"/>
        <w:rPr>
          <w:rFonts w:hint="eastAsia" w:ascii="宋体" w:hAnsi="宋体" w:cs="宋体"/>
          <w:color w:val="auto"/>
          <w:highlight w:val="none"/>
        </w:rPr>
      </w:pPr>
    </w:p>
    <w:p w14:paraId="38226766">
      <w:pPr>
        <w:pStyle w:val="3"/>
        <w:spacing w:line="240" w:lineRule="auto"/>
        <w:ind w:firstLine="3213" w:firstLineChars="1000"/>
        <w:jc w:val="both"/>
        <w:rPr>
          <w:rFonts w:hint="eastAsia" w:ascii="宋体" w:hAnsi="宋体" w:cs="宋体"/>
          <w:color w:val="auto"/>
          <w:highlight w:val="none"/>
        </w:rPr>
      </w:pPr>
    </w:p>
    <w:p w14:paraId="76814C96">
      <w:pPr>
        <w:pStyle w:val="3"/>
        <w:spacing w:line="240" w:lineRule="auto"/>
        <w:ind w:firstLine="3213" w:firstLineChars="1000"/>
        <w:jc w:val="both"/>
        <w:rPr>
          <w:rFonts w:hint="eastAsia" w:ascii="宋体" w:hAnsi="宋体" w:cs="宋体"/>
          <w:color w:val="auto"/>
          <w:highlight w:val="none"/>
        </w:rPr>
      </w:pPr>
      <w:r>
        <w:rPr>
          <w:rFonts w:hint="eastAsia" w:ascii="宋体" w:hAnsi="宋体" w:cs="宋体"/>
          <w:color w:val="auto"/>
          <w:highlight w:val="none"/>
        </w:rPr>
        <w:t>第二章  供应商须知</w:t>
      </w:r>
      <w:bookmarkEnd w:id="6"/>
      <w:bookmarkEnd w:id="7"/>
      <w:bookmarkStart w:id="8" w:name="_Toc11845127"/>
    </w:p>
    <w:p w14:paraId="171F2E22">
      <w:pPr>
        <w:pStyle w:val="3"/>
        <w:spacing w:line="440" w:lineRule="exact"/>
        <w:jc w:val="center"/>
        <w:rPr>
          <w:rFonts w:ascii="宋体" w:hAnsi="宋体" w:cs="宋体"/>
          <w:color w:val="auto"/>
          <w:highlight w:val="none"/>
        </w:rPr>
      </w:pPr>
      <w:r>
        <w:rPr>
          <w:rFonts w:hint="eastAsia" w:ascii="宋体" w:hAnsi="宋体" w:cs="宋体"/>
          <w:color w:val="auto"/>
          <w:highlight w:val="none"/>
        </w:rPr>
        <w:t>供应商须知前附表</w:t>
      </w:r>
      <w:bookmarkEnd w:id="8"/>
      <w:r>
        <w:rPr>
          <w:rFonts w:hint="eastAsia" w:ascii="宋体" w:hAnsi="宋体" w:cs="宋体"/>
          <w:color w:val="auto"/>
          <w:highlight w:val="none"/>
        </w:rPr>
        <w:t>1</w:t>
      </w:r>
    </w:p>
    <w:p w14:paraId="1293FE58">
      <w:pPr>
        <w:spacing w:line="440" w:lineRule="exact"/>
        <w:ind w:firstLine="525"/>
        <w:rPr>
          <w:rFonts w:ascii="宋体" w:hAnsi="宋体" w:cs="宋体"/>
          <w:color w:val="auto"/>
          <w:sz w:val="24"/>
          <w:szCs w:val="24"/>
          <w:highlight w:val="none"/>
        </w:rPr>
      </w:pPr>
      <w:r>
        <w:rPr>
          <w:rFonts w:hint="eastAsia" w:ascii="宋体" w:hAnsi="宋体" w:cs="宋体"/>
          <w:color w:val="auto"/>
          <w:sz w:val="24"/>
          <w:szCs w:val="24"/>
          <w:highlight w:val="none"/>
        </w:rPr>
        <w:t>本须知前附表中的条款是与《供应商须知》中的条款相对应的。如果有矛盾的话，应以本须知前附表为准。</w:t>
      </w:r>
    </w:p>
    <w:tbl>
      <w:tblPr>
        <w:tblStyle w:val="42"/>
        <w:tblW w:w="9628" w:type="dxa"/>
        <w:jc w:val="center"/>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0" w:type="dxa"/>
          <w:bottom w:w="0" w:type="dxa"/>
          <w:right w:w="0" w:type="dxa"/>
        </w:tblCellMar>
      </w:tblPr>
      <w:tblGrid>
        <w:gridCol w:w="795"/>
        <w:gridCol w:w="1020"/>
        <w:gridCol w:w="7813"/>
      </w:tblGrid>
      <w:tr w14:paraId="0D4A7F97">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0" w:type="dxa"/>
            <w:bottom w:w="0" w:type="dxa"/>
            <w:right w:w="0" w:type="dxa"/>
          </w:tblCellMar>
        </w:tblPrEx>
        <w:trPr>
          <w:trHeight w:val="507" w:hRule="atLeast"/>
          <w:jc w:val="center"/>
        </w:trPr>
        <w:tc>
          <w:tcPr>
            <w:tcW w:w="795" w:type="dxa"/>
            <w:tcMar>
              <w:top w:w="0" w:type="dxa"/>
              <w:left w:w="108" w:type="dxa"/>
              <w:bottom w:w="0" w:type="dxa"/>
              <w:right w:w="108" w:type="dxa"/>
            </w:tcMar>
            <w:vAlign w:val="center"/>
          </w:tcPr>
          <w:p w14:paraId="3A6B4828">
            <w:pPr>
              <w:spacing w:line="440" w:lineRule="exact"/>
              <w:jc w:val="center"/>
              <w:rPr>
                <w:rFonts w:ascii="宋体" w:hAnsi="宋体" w:cs="宋体"/>
                <w:b/>
                <w:color w:val="auto"/>
                <w:sz w:val="24"/>
                <w:szCs w:val="24"/>
                <w:highlight w:val="none"/>
              </w:rPr>
            </w:pPr>
            <w:r>
              <w:rPr>
                <w:rFonts w:hint="eastAsia" w:ascii="宋体" w:hAnsi="宋体" w:cs="宋体"/>
                <w:b/>
                <w:color w:val="auto"/>
                <w:sz w:val="24"/>
                <w:szCs w:val="24"/>
                <w:highlight w:val="none"/>
              </w:rPr>
              <w:t>项号</w:t>
            </w:r>
          </w:p>
        </w:tc>
        <w:tc>
          <w:tcPr>
            <w:tcW w:w="1020" w:type="dxa"/>
            <w:tcMar>
              <w:top w:w="0" w:type="dxa"/>
              <w:left w:w="108" w:type="dxa"/>
              <w:bottom w:w="0" w:type="dxa"/>
              <w:right w:w="108" w:type="dxa"/>
            </w:tcMar>
            <w:vAlign w:val="center"/>
          </w:tcPr>
          <w:p w14:paraId="58C123AC">
            <w:pPr>
              <w:spacing w:line="440" w:lineRule="exact"/>
              <w:jc w:val="center"/>
              <w:rPr>
                <w:rFonts w:ascii="宋体" w:hAnsi="宋体" w:cs="宋体"/>
                <w:b/>
                <w:color w:val="auto"/>
                <w:sz w:val="24"/>
                <w:szCs w:val="24"/>
                <w:highlight w:val="none"/>
              </w:rPr>
            </w:pPr>
            <w:r>
              <w:rPr>
                <w:rFonts w:hint="eastAsia" w:ascii="宋体" w:hAnsi="宋体" w:cs="宋体"/>
                <w:b/>
                <w:color w:val="auto"/>
                <w:sz w:val="24"/>
                <w:szCs w:val="24"/>
                <w:highlight w:val="none"/>
              </w:rPr>
              <w:t>条款号</w:t>
            </w:r>
          </w:p>
        </w:tc>
        <w:tc>
          <w:tcPr>
            <w:tcW w:w="7813" w:type="dxa"/>
            <w:tcMar>
              <w:top w:w="0" w:type="dxa"/>
              <w:left w:w="108" w:type="dxa"/>
              <w:bottom w:w="0" w:type="dxa"/>
              <w:right w:w="108" w:type="dxa"/>
            </w:tcMar>
            <w:vAlign w:val="center"/>
          </w:tcPr>
          <w:p w14:paraId="47B2A3B0">
            <w:pPr>
              <w:spacing w:line="440" w:lineRule="exact"/>
              <w:jc w:val="center"/>
              <w:rPr>
                <w:rFonts w:ascii="宋体" w:hAnsi="宋体" w:cs="宋体"/>
                <w:b/>
                <w:color w:val="auto"/>
                <w:sz w:val="24"/>
                <w:szCs w:val="24"/>
                <w:highlight w:val="none"/>
              </w:rPr>
            </w:pPr>
            <w:r>
              <w:rPr>
                <w:rFonts w:hint="eastAsia" w:ascii="宋体" w:hAnsi="宋体" w:cs="宋体"/>
                <w:b/>
                <w:color w:val="auto"/>
                <w:sz w:val="24"/>
                <w:szCs w:val="24"/>
                <w:highlight w:val="none"/>
              </w:rPr>
              <w:t>编   列   内    容</w:t>
            </w:r>
          </w:p>
        </w:tc>
      </w:tr>
      <w:tr w14:paraId="215C7D69">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0" w:type="dxa"/>
            <w:bottom w:w="0" w:type="dxa"/>
            <w:right w:w="0" w:type="dxa"/>
          </w:tblCellMar>
        </w:tblPrEx>
        <w:trPr>
          <w:trHeight w:val="20" w:hRule="atLeast"/>
          <w:jc w:val="center"/>
        </w:trPr>
        <w:tc>
          <w:tcPr>
            <w:tcW w:w="795" w:type="dxa"/>
            <w:tcMar>
              <w:top w:w="0" w:type="dxa"/>
              <w:left w:w="108" w:type="dxa"/>
              <w:bottom w:w="0" w:type="dxa"/>
              <w:right w:w="108" w:type="dxa"/>
            </w:tcMar>
            <w:vAlign w:val="center"/>
          </w:tcPr>
          <w:p w14:paraId="08C6B3F3">
            <w:pPr>
              <w:spacing w:line="440" w:lineRule="exact"/>
              <w:jc w:val="center"/>
              <w:rPr>
                <w:rFonts w:ascii="宋体" w:hAnsi="宋体" w:cs="宋体"/>
                <w:color w:val="auto"/>
                <w:sz w:val="24"/>
                <w:szCs w:val="24"/>
                <w:highlight w:val="none"/>
              </w:rPr>
            </w:pPr>
            <w:r>
              <w:rPr>
                <w:rFonts w:hint="eastAsia" w:ascii="宋体" w:hAnsi="宋体" w:cs="宋体"/>
                <w:color w:val="auto"/>
                <w:sz w:val="24"/>
                <w:szCs w:val="24"/>
                <w:highlight w:val="none"/>
              </w:rPr>
              <w:t>1</w:t>
            </w:r>
          </w:p>
        </w:tc>
        <w:tc>
          <w:tcPr>
            <w:tcW w:w="1020" w:type="dxa"/>
            <w:tcMar>
              <w:top w:w="0" w:type="dxa"/>
              <w:left w:w="108" w:type="dxa"/>
              <w:bottom w:w="0" w:type="dxa"/>
              <w:right w:w="108" w:type="dxa"/>
            </w:tcMar>
            <w:vAlign w:val="center"/>
          </w:tcPr>
          <w:p w14:paraId="1755C2FA">
            <w:pPr>
              <w:spacing w:line="440" w:lineRule="exact"/>
              <w:jc w:val="center"/>
              <w:rPr>
                <w:rFonts w:ascii="宋体" w:hAnsi="宋体" w:cs="宋体"/>
                <w:color w:val="auto"/>
                <w:sz w:val="24"/>
                <w:szCs w:val="24"/>
                <w:highlight w:val="none"/>
              </w:rPr>
            </w:pPr>
          </w:p>
        </w:tc>
        <w:tc>
          <w:tcPr>
            <w:tcW w:w="7813" w:type="dxa"/>
            <w:tcMar>
              <w:top w:w="0" w:type="dxa"/>
              <w:left w:w="108" w:type="dxa"/>
              <w:bottom w:w="0" w:type="dxa"/>
              <w:right w:w="108" w:type="dxa"/>
            </w:tcMar>
            <w:vAlign w:val="center"/>
          </w:tcPr>
          <w:p w14:paraId="2AD71387">
            <w:pPr>
              <w:spacing w:line="440" w:lineRule="exact"/>
              <w:rPr>
                <w:rFonts w:ascii="宋体" w:hAnsi="宋体" w:cs="宋体"/>
                <w:color w:val="auto"/>
                <w:sz w:val="24"/>
                <w:szCs w:val="24"/>
                <w:highlight w:val="none"/>
              </w:rPr>
            </w:pPr>
            <w:r>
              <w:rPr>
                <w:rFonts w:hint="eastAsia" w:ascii="宋体" w:hAnsi="宋体" w:cs="宋体"/>
                <w:color w:val="auto"/>
                <w:sz w:val="24"/>
                <w:szCs w:val="24"/>
                <w:highlight w:val="none"/>
                <w:lang w:eastAsia="zh-CN"/>
              </w:rPr>
              <w:t>项目</w:t>
            </w:r>
            <w:r>
              <w:rPr>
                <w:rFonts w:hint="eastAsia" w:ascii="宋体" w:hAnsi="宋体" w:cs="宋体"/>
                <w:color w:val="auto"/>
                <w:sz w:val="24"/>
                <w:szCs w:val="24"/>
                <w:highlight w:val="none"/>
              </w:rPr>
              <w:t>编号：</w:t>
            </w:r>
            <w:r>
              <w:rPr>
                <w:rFonts w:hint="eastAsia" w:ascii="宋体" w:hAnsi="宋体" w:cs="宋体"/>
                <w:color w:val="auto"/>
                <w:sz w:val="24"/>
                <w:szCs w:val="24"/>
                <w:highlight w:val="none"/>
                <w:lang w:eastAsia="zh-CN"/>
              </w:rPr>
              <w:t xml:space="preserve">  </w:t>
            </w:r>
            <w:r>
              <w:rPr>
                <w:rFonts w:hint="eastAsia" w:ascii="宋体" w:hAnsi="宋体" w:cs="宋体"/>
                <w:color w:val="auto"/>
                <w:sz w:val="24"/>
                <w:szCs w:val="24"/>
                <w:highlight w:val="none"/>
                <w:lang w:val="en-US" w:eastAsia="zh-CN"/>
              </w:rPr>
              <w:t>GTWY2025-011</w:t>
            </w:r>
          </w:p>
          <w:p w14:paraId="08B30B2E">
            <w:pPr>
              <w:spacing w:line="440" w:lineRule="exact"/>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rPr>
              <w:t>项目名称：</w:t>
            </w:r>
            <w:r>
              <w:rPr>
                <w:rFonts w:hint="eastAsia" w:ascii="宋体" w:hAnsi="宋体" w:cs="宋体"/>
                <w:color w:val="auto"/>
                <w:kern w:val="0"/>
                <w:sz w:val="24"/>
                <w:szCs w:val="24"/>
                <w:highlight w:val="none"/>
                <w:u w:val="single"/>
                <w:lang w:eastAsia="zh-CN"/>
              </w:rPr>
              <w:t>源昌国际城维序服务</w:t>
            </w:r>
            <w:r>
              <w:rPr>
                <w:rFonts w:hint="eastAsia" w:ascii="宋体" w:hAnsi="宋体" w:cs="宋体"/>
                <w:color w:val="auto"/>
                <w:kern w:val="0"/>
                <w:sz w:val="24"/>
                <w:szCs w:val="24"/>
                <w:highlight w:val="none"/>
                <w:u w:val="single"/>
              </w:rPr>
              <w:t xml:space="preserve"> </w:t>
            </w:r>
          </w:p>
        </w:tc>
      </w:tr>
      <w:tr w14:paraId="515470AD">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0" w:type="dxa"/>
            <w:bottom w:w="0" w:type="dxa"/>
            <w:right w:w="0" w:type="dxa"/>
          </w:tblCellMar>
        </w:tblPrEx>
        <w:trPr>
          <w:trHeight w:val="20" w:hRule="atLeast"/>
          <w:jc w:val="center"/>
        </w:trPr>
        <w:tc>
          <w:tcPr>
            <w:tcW w:w="795" w:type="dxa"/>
            <w:tcMar>
              <w:top w:w="0" w:type="dxa"/>
              <w:left w:w="108" w:type="dxa"/>
              <w:bottom w:w="0" w:type="dxa"/>
              <w:right w:w="108" w:type="dxa"/>
            </w:tcMar>
            <w:vAlign w:val="center"/>
          </w:tcPr>
          <w:p w14:paraId="1AB64154">
            <w:pPr>
              <w:spacing w:line="440" w:lineRule="exact"/>
              <w:jc w:val="center"/>
              <w:rPr>
                <w:rFonts w:ascii="宋体" w:hAnsi="宋体" w:cs="宋体"/>
                <w:color w:val="auto"/>
                <w:sz w:val="24"/>
                <w:szCs w:val="24"/>
                <w:highlight w:val="none"/>
              </w:rPr>
            </w:pPr>
            <w:r>
              <w:rPr>
                <w:rFonts w:hint="eastAsia" w:ascii="宋体" w:hAnsi="宋体" w:cs="宋体"/>
                <w:color w:val="auto"/>
                <w:sz w:val="24"/>
                <w:szCs w:val="24"/>
                <w:highlight w:val="none"/>
              </w:rPr>
              <w:t>2</w:t>
            </w:r>
          </w:p>
        </w:tc>
        <w:tc>
          <w:tcPr>
            <w:tcW w:w="1020" w:type="dxa"/>
            <w:tcMar>
              <w:top w:w="0" w:type="dxa"/>
              <w:left w:w="108" w:type="dxa"/>
              <w:bottom w:w="0" w:type="dxa"/>
              <w:right w:w="108" w:type="dxa"/>
            </w:tcMar>
            <w:vAlign w:val="center"/>
          </w:tcPr>
          <w:p w14:paraId="59DECC01">
            <w:pPr>
              <w:spacing w:line="440" w:lineRule="exact"/>
              <w:jc w:val="center"/>
              <w:rPr>
                <w:rFonts w:ascii="宋体" w:hAnsi="宋体" w:cs="宋体"/>
                <w:color w:val="auto"/>
                <w:sz w:val="24"/>
                <w:szCs w:val="24"/>
                <w:highlight w:val="none"/>
              </w:rPr>
            </w:pPr>
          </w:p>
        </w:tc>
        <w:tc>
          <w:tcPr>
            <w:tcW w:w="7813" w:type="dxa"/>
            <w:tcMar>
              <w:top w:w="0" w:type="dxa"/>
              <w:left w:w="108" w:type="dxa"/>
              <w:bottom w:w="0" w:type="dxa"/>
              <w:right w:w="108" w:type="dxa"/>
            </w:tcMar>
            <w:vAlign w:val="center"/>
          </w:tcPr>
          <w:p w14:paraId="376691DC">
            <w:pPr>
              <w:spacing w:line="440" w:lineRule="exact"/>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rPr>
              <w:t>采购人名称</w:t>
            </w:r>
            <w:r>
              <w:rPr>
                <w:rFonts w:hint="eastAsia" w:ascii="宋体" w:hAnsi="宋体" w:cs="宋体"/>
                <w:color w:val="auto"/>
                <w:sz w:val="24"/>
                <w:szCs w:val="24"/>
                <w:highlight w:val="none"/>
                <w:lang w:eastAsia="zh-CN"/>
              </w:rPr>
              <w:t>：</w:t>
            </w:r>
            <w:r>
              <w:rPr>
                <w:rFonts w:hint="eastAsia" w:ascii="宋体" w:hAnsi="宋体" w:cs="宋体"/>
                <w:color w:val="auto"/>
                <w:sz w:val="24"/>
                <w:highlight w:val="none"/>
                <w:u w:val="single"/>
              </w:rPr>
              <w:t>厦门湖里国投物业服务有限公司</w:t>
            </w:r>
          </w:p>
          <w:p w14:paraId="169DCD43">
            <w:pPr>
              <w:spacing w:line="440" w:lineRule="exact"/>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rPr>
              <w:t>采购人地址：</w:t>
            </w:r>
            <w:r>
              <w:rPr>
                <w:rFonts w:hint="eastAsia" w:ascii="宋体" w:hAnsi="宋体" w:cs="宋体"/>
                <w:color w:val="auto"/>
                <w:sz w:val="24"/>
                <w:highlight w:val="none"/>
                <w:u w:val="single"/>
                <w:lang w:eastAsia="zh-CN"/>
              </w:rPr>
              <w:t>厦门市</w:t>
            </w:r>
            <w:r>
              <w:rPr>
                <w:rFonts w:hint="eastAsia" w:ascii="宋体" w:hAnsi="宋体" w:cs="宋体"/>
                <w:color w:val="auto"/>
                <w:sz w:val="24"/>
                <w:highlight w:val="none"/>
                <w:u w:val="single"/>
                <w:lang w:val="en-US" w:eastAsia="zh-CN"/>
              </w:rPr>
              <w:t>园山南路792号湖里国投商务中心B座4楼</w:t>
            </w:r>
          </w:p>
        </w:tc>
      </w:tr>
      <w:tr w14:paraId="6A27CC5D">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0" w:type="dxa"/>
            <w:bottom w:w="0" w:type="dxa"/>
            <w:right w:w="0" w:type="dxa"/>
          </w:tblCellMar>
        </w:tblPrEx>
        <w:trPr>
          <w:trHeight w:val="20" w:hRule="atLeast"/>
          <w:jc w:val="center"/>
        </w:trPr>
        <w:tc>
          <w:tcPr>
            <w:tcW w:w="795" w:type="dxa"/>
            <w:tcMar>
              <w:top w:w="0" w:type="dxa"/>
              <w:left w:w="108" w:type="dxa"/>
              <w:bottom w:w="0" w:type="dxa"/>
              <w:right w:w="108" w:type="dxa"/>
            </w:tcMar>
            <w:vAlign w:val="center"/>
          </w:tcPr>
          <w:p w14:paraId="02C260C4">
            <w:pPr>
              <w:spacing w:line="440" w:lineRule="exact"/>
              <w:jc w:val="center"/>
              <w:rPr>
                <w:rFonts w:ascii="宋体" w:hAnsi="宋体" w:cs="宋体"/>
                <w:color w:val="auto"/>
                <w:sz w:val="24"/>
                <w:szCs w:val="24"/>
                <w:highlight w:val="none"/>
              </w:rPr>
            </w:pPr>
            <w:r>
              <w:rPr>
                <w:rFonts w:hint="eastAsia" w:ascii="宋体" w:hAnsi="宋体" w:cs="宋体"/>
                <w:color w:val="auto"/>
                <w:sz w:val="24"/>
                <w:szCs w:val="24"/>
                <w:highlight w:val="none"/>
              </w:rPr>
              <w:t>3</w:t>
            </w:r>
          </w:p>
        </w:tc>
        <w:tc>
          <w:tcPr>
            <w:tcW w:w="1020" w:type="dxa"/>
            <w:tcMar>
              <w:top w:w="0" w:type="dxa"/>
              <w:left w:w="108" w:type="dxa"/>
              <w:bottom w:w="0" w:type="dxa"/>
              <w:right w:w="108" w:type="dxa"/>
            </w:tcMar>
            <w:vAlign w:val="center"/>
          </w:tcPr>
          <w:p w14:paraId="64BAB6A0">
            <w:pPr>
              <w:spacing w:line="440" w:lineRule="exact"/>
              <w:jc w:val="center"/>
              <w:rPr>
                <w:rFonts w:ascii="宋体" w:hAnsi="宋体" w:cs="宋体"/>
                <w:color w:val="auto"/>
                <w:sz w:val="24"/>
                <w:szCs w:val="24"/>
                <w:highlight w:val="none"/>
              </w:rPr>
            </w:pPr>
          </w:p>
        </w:tc>
        <w:tc>
          <w:tcPr>
            <w:tcW w:w="7813" w:type="dxa"/>
            <w:tcMar>
              <w:top w:w="0" w:type="dxa"/>
              <w:left w:w="108" w:type="dxa"/>
              <w:bottom w:w="0" w:type="dxa"/>
              <w:right w:w="108" w:type="dxa"/>
            </w:tcMar>
            <w:vAlign w:val="center"/>
          </w:tcPr>
          <w:p w14:paraId="637B3B22">
            <w:pPr>
              <w:spacing w:line="440" w:lineRule="exact"/>
              <w:rPr>
                <w:rFonts w:ascii="宋体" w:hAnsi="宋体" w:cs="宋体"/>
                <w:color w:val="auto"/>
                <w:sz w:val="24"/>
                <w:szCs w:val="24"/>
                <w:highlight w:val="none"/>
              </w:rPr>
            </w:pPr>
            <w:r>
              <w:rPr>
                <w:rFonts w:hint="eastAsia" w:ascii="宋体" w:hAnsi="宋体" w:cs="宋体"/>
                <w:color w:val="auto"/>
                <w:sz w:val="24"/>
                <w:szCs w:val="24"/>
                <w:highlight w:val="none"/>
              </w:rPr>
              <w:t>本项目的预算金额</w:t>
            </w:r>
            <w:r>
              <w:rPr>
                <w:rFonts w:hint="eastAsia" w:ascii="宋体" w:hAnsi="宋体" w:cs="宋体"/>
                <w:color w:val="auto"/>
                <w:sz w:val="24"/>
                <w:szCs w:val="24"/>
                <w:highlight w:val="none"/>
                <w:lang w:val="en-US" w:eastAsia="zh-CN"/>
              </w:rPr>
              <w:t>998400元/年</w:t>
            </w:r>
            <w:r>
              <w:rPr>
                <w:rFonts w:hint="eastAsia" w:ascii="宋体" w:hAnsi="宋体" w:cs="宋体"/>
                <w:color w:val="auto"/>
                <w:sz w:val="24"/>
                <w:szCs w:val="24"/>
                <w:highlight w:val="none"/>
              </w:rPr>
              <w:t>。</w:t>
            </w:r>
          </w:p>
        </w:tc>
      </w:tr>
      <w:tr w14:paraId="5C491C51">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0" w:type="dxa"/>
            <w:bottom w:w="0" w:type="dxa"/>
            <w:right w:w="0" w:type="dxa"/>
          </w:tblCellMar>
        </w:tblPrEx>
        <w:trPr>
          <w:trHeight w:val="53" w:hRule="atLeast"/>
          <w:jc w:val="center"/>
        </w:trPr>
        <w:tc>
          <w:tcPr>
            <w:tcW w:w="795" w:type="dxa"/>
            <w:tcMar>
              <w:top w:w="0" w:type="dxa"/>
              <w:left w:w="108" w:type="dxa"/>
              <w:bottom w:w="0" w:type="dxa"/>
              <w:right w:w="108" w:type="dxa"/>
            </w:tcMar>
            <w:vAlign w:val="center"/>
          </w:tcPr>
          <w:p w14:paraId="3776CFA3">
            <w:pPr>
              <w:spacing w:line="440" w:lineRule="exact"/>
              <w:jc w:val="center"/>
              <w:rPr>
                <w:rFonts w:ascii="宋体" w:hAnsi="宋体" w:cs="宋体"/>
                <w:color w:val="auto"/>
                <w:sz w:val="24"/>
                <w:szCs w:val="24"/>
                <w:highlight w:val="none"/>
              </w:rPr>
            </w:pPr>
            <w:r>
              <w:rPr>
                <w:rFonts w:hint="eastAsia" w:ascii="宋体" w:hAnsi="宋体" w:cs="宋体"/>
                <w:color w:val="auto"/>
                <w:sz w:val="24"/>
                <w:szCs w:val="24"/>
                <w:highlight w:val="none"/>
              </w:rPr>
              <w:t>4</w:t>
            </w:r>
          </w:p>
        </w:tc>
        <w:tc>
          <w:tcPr>
            <w:tcW w:w="1020" w:type="dxa"/>
            <w:tcMar>
              <w:top w:w="0" w:type="dxa"/>
              <w:left w:w="108" w:type="dxa"/>
              <w:bottom w:w="0" w:type="dxa"/>
              <w:right w:w="108" w:type="dxa"/>
            </w:tcMar>
            <w:vAlign w:val="center"/>
          </w:tcPr>
          <w:p w14:paraId="537E3269">
            <w:pPr>
              <w:spacing w:line="440" w:lineRule="exact"/>
              <w:jc w:val="center"/>
              <w:rPr>
                <w:rFonts w:ascii="宋体" w:hAnsi="宋体" w:cs="宋体"/>
                <w:color w:val="auto"/>
                <w:sz w:val="24"/>
                <w:szCs w:val="24"/>
                <w:highlight w:val="none"/>
              </w:rPr>
            </w:pPr>
          </w:p>
        </w:tc>
        <w:tc>
          <w:tcPr>
            <w:tcW w:w="7813" w:type="dxa"/>
            <w:tcMar>
              <w:top w:w="0" w:type="dxa"/>
              <w:left w:w="108" w:type="dxa"/>
              <w:bottom w:w="0" w:type="dxa"/>
              <w:right w:w="108" w:type="dxa"/>
            </w:tcMar>
            <w:vAlign w:val="center"/>
          </w:tcPr>
          <w:p w14:paraId="20F2D5A3">
            <w:pPr>
              <w:spacing w:line="440" w:lineRule="exact"/>
              <w:rPr>
                <w:rFonts w:ascii="宋体" w:hAnsi="宋体" w:cs="宋体"/>
                <w:color w:val="auto"/>
                <w:sz w:val="24"/>
                <w:szCs w:val="24"/>
                <w:highlight w:val="none"/>
              </w:rPr>
            </w:pPr>
            <w:r>
              <w:rPr>
                <w:rFonts w:hint="eastAsia" w:ascii="宋体" w:hAnsi="宋体" w:cs="宋体"/>
                <w:color w:val="auto"/>
                <w:sz w:val="24"/>
                <w:szCs w:val="24"/>
                <w:highlight w:val="none"/>
              </w:rPr>
              <w:t>不组织</w:t>
            </w:r>
            <w:r>
              <w:rPr>
                <w:rFonts w:hint="eastAsia" w:ascii="宋体" w:hAnsi="宋体" w:eastAsia="宋体" w:cs="宋体"/>
                <w:color w:val="auto"/>
                <w:sz w:val="24"/>
                <w:szCs w:val="24"/>
                <w:highlight w:val="none"/>
              </w:rPr>
              <w:t>现场考察或召开开标前答疑会</w:t>
            </w:r>
          </w:p>
        </w:tc>
      </w:tr>
      <w:tr w14:paraId="60A2A295">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0" w:type="dxa"/>
            <w:bottom w:w="0" w:type="dxa"/>
            <w:right w:w="0" w:type="dxa"/>
          </w:tblCellMar>
        </w:tblPrEx>
        <w:trPr>
          <w:trHeight w:val="53" w:hRule="atLeast"/>
          <w:jc w:val="center"/>
        </w:trPr>
        <w:tc>
          <w:tcPr>
            <w:tcW w:w="795" w:type="dxa"/>
            <w:tcMar>
              <w:top w:w="0" w:type="dxa"/>
              <w:left w:w="108" w:type="dxa"/>
              <w:bottom w:w="0" w:type="dxa"/>
              <w:right w:w="108" w:type="dxa"/>
            </w:tcMar>
            <w:vAlign w:val="center"/>
          </w:tcPr>
          <w:p w14:paraId="624FB540">
            <w:pPr>
              <w:spacing w:line="440" w:lineRule="exact"/>
              <w:jc w:val="center"/>
              <w:rPr>
                <w:rFonts w:ascii="宋体" w:hAnsi="宋体" w:cs="宋体"/>
                <w:color w:val="auto"/>
                <w:sz w:val="24"/>
                <w:szCs w:val="24"/>
                <w:highlight w:val="none"/>
              </w:rPr>
            </w:pPr>
            <w:r>
              <w:rPr>
                <w:rFonts w:hint="eastAsia" w:ascii="宋体" w:hAnsi="宋体" w:cs="宋体"/>
                <w:color w:val="auto"/>
                <w:sz w:val="24"/>
                <w:szCs w:val="24"/>
                <w:highlight w:val="none"/>
              </w:rPr>
              <w:t>5</w:t>
            </w:r>
          </w:p>
        </w:tc>
        <w:tc>
          <w:tcPr>
            <w:tcW w:w="1020" w:type="dxa"/>
            <w:tcMar>
              <w:top w:w="0" w:type="dxa"/>
              <w:left w:w="108" w:type="dxa"/>
              <w:bottom w:w="0" w:type="dxa"/>
              <w:right w:w="108" w:type="dxa"/>
            </w:tcMar>
            <w:vAlign w:val="center"/>
          </w:tcPr>
          <w:p w14:paraId="13CD35B8">
            <w:pPr>
              <w:spacing w:line="440" w:lineRule="exact"/>
              <w:jc w:val="center"/>
              <w:rPr>
                <w:rFonts w:ascii="宋体" w:hAnsi="宋体" w:cs="宋体"/>
                <w:color w:val="auto"/>
                <w:sz w:val="24"/>
                <w:szCs w:val="24"/>
                <w:highlight w:val="none"/>
              </w:rPr>
            </w:pPr>
          </w:p>
        </w:tc>
        <w:tc>
          <w:tcPr>
            <w:tcW w:w="7813" w:type="dxa"/>
            <w:tcMar>
              <w:top w:w="0" w:type="dxa"/>
              <w:left w:w="108" w:type="dxa"/>
              <w:bottom w:w="0" w:type="dxa"/>
              <w:right w:w="108" w:type="dxa"/>
            </w:tcMar>
            <w:vAlign w:val="center"/>
          </w:tcPr>
          <w:p w14:paraId="60836526">
            <w:pPr>
              <w:widowControl/>
              <w:spacing w:line="440" w:lineRule="exact"/>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（1）纸质</w:t>
            </w:r>
            <w:r>
              <w:rPr>
                <w:rFonts w:hint="eastAsia" w:ascii="宋体" w:hAnsi="宋体" w:cs="宋体"/>
                <w:color w:val="auto"/>
                <w:kern w:val="0"/>
                <w:sz w:val="24"/>
                <w:szCs w:val="24"/>
                <w:highlight w:val="none"/>
                <w:lang w:eastAsia="zh-CN"/>
              </w:rPr>
              <w:t>响应文件</w:t>
            </w:r>
            <w:r>
              <w:rPr>
                <w:rFonts w:hint="eastAsia" w:ascii="宋体" w:hAnsi="宋体" w:cs="宋体"/>
                <w:color w:val="auto"/>
                <w:kern w:val="0"/>
                <w:sz w:val="24"/>
                <w:szCs w:val="24"/>
                <w:highlight w:val="none"/>
              </w:rPr>
              <w:t>：</w:t>
            </w:r>
          </w:p>
          <w:p w14:paraId="6EC653B3">
            <w:pPr>
              <w:widowControl/>
              <w:spacing w:line="440" w:lineRule="exact"/>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①</w:t>
            </w:r>
            <w:r>
              <w:rPr>
                <w:rFonts w:hint="eastAsia" w:ascii="宋体" w:hAnsi="宋体" w:cs="宋体"/>
                <w:color w:val="auto"/>
                <w:kern w:val="0"/>
                <w:sz w:val="24"/>
                <w:szCs w:val="24"/>
                <w:highlight w:val="none"/>
                <w:lang w:eastAsia="zh-CN"/>
              </w:rPr>
              <w:t>响应文件</w:t>
            </w:r>
            <w:r>
              <w:rPr>
                <w:rFonts w:hint="eastAsia" w:ascii="宋体" w:hAnsi="宋体" w:cs="宋体"/>
                <w:color w:val="auto"/>
                <w:kern w:val="0"/>
                <w:sz w:val="24"/>
                <w:szCs w:val="24"/>
                <w:highlight w:val="none"/>
              </w:rPr>
              <w:t>正本1份、副本2份。</w:t>
            </w:r>
          </w:p>
          <w:p w14:paraId="305A4C79">
            <w:pPr>
              <w:widowControl/>
              <w:spacing w:line="440" w:lineRule="exact"/>
              <w:jc w:val="left"/>
              <w:rPr>
                <w:rFonts w:ascii="宋体" w:hAnsi="宋体" w:cs="宋体"/>
                <w:color w:val="auto"/>
                <w:sz w:val="24"/>
                <w:szCs w:val="24"/>
                <w:highlight w:val="none"/>
              </w:rPr>
            </w:pPr>
            <w:r>
              <w:rPr>
                <w:rFonts w:hint="eastAsia" w:ascii="宋体" w:hAnsi="宋体" w:cs="宋体"/>
                <w:color w:val="auto"/>
                <w:kern w:val="0"/>
                <w:sz w:val="24"/>
                <w:szCs w:val="24"/>
                <w:highlight w:val="none"/>
              </w:rPr>
              <w:t>②可读介质（光盘或U盘，为盖章扫描件）1份：</w:t>
            </w:r>
          </w:p>
        </w:tc>
      </w:tr>
      <w:tr w14:paraId="40F7FF4B">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0" w:type="dxa"/>
            <w:bottom w:w="0" w:type="dxa"/>
            <w:right w:w="0" w:type="dxa"/>
          </w:tblCellMar>
        </w:tblPrEx>
        <w:trPr>
          <w:trHeight w:val="53" w:hRule="atLeast"/>
          <w:jc w:val="center"/>
        </w:trPr>
        <w:tc>
          <w:tcPr>
            <w:tcW w:w="795" w:type="dxa"/>
            <w:tcMar>
              <w:top w:w="0" w:type="dxa"/>
              <w:left w:w="108" w:type="dxa"/>
              <w:bottom w:w="0" w:type="dxa"/>
              <w:right w:w="108" w:type="dxa"/>
            </w:tcMar>
            <w:vAlign w:val="center"/>
          </w:tcPr>
          <w:p w14:paraId="7DAB6836">
            <w:pPr>
              <w:spacing w:line="440" w:lineRule="exact"/>
              <w:jc w:val="center"/>
              <w:rPr>
                <w:rFonts w:ascii="宋体" w:hAnsi="宋体" w:cs="宋体"/>
                <w:color w:val="auto"/>
                <w:sz w:val="24"/>
                <w:szCs w:val="24"/>
                <w:highlight w:val="none"/>
              </w:rPr>
            </w:pPr>
            <w:r>
              <w:rPr>
                <w:rFonts w:hint="eastAsia" w:ascii="宋体" w:hAnsi="宋体" w:cs="宋体"/>
                <w:color w:val="auto"/>
                <w:sz w:val="24"/>
                <w:szCs w:val="24"/>
                <w:highlight w:val="none"/>
              </w:rPr>
              <w:t>6</w:t>
            </w:r>
          </w:p>
        </w:tc>
        <w:tc>
          <w:tcPr>
            <w:tcW w:w="1020" w:type="dxa"/>
            <w:tcMar>
              <w:top w:w="0" w:type="dxa"/>
              <w:left w:w="108" w:type="dxa"/>
              <w:bottom w:w="0" w:type="dxa"/>
              <w:right w:w="108" w:type="dxa"/>
            </w:tcMar>
            <w:vAlign w:val="center"/>
          </w:tcPr>
          <w:p w14:paraId="6EB96FA8">
            <w:pPr>
              <w:spacing w:line="440" w:lineRule="exact"/>
              <w:jc w:val="center"/>
              <w:rPr>
                <w:rFonts w:ascii="宋体" w:hAnsi="宋体" w:cs="宋体"/>
                <w:color w:val="auto"/>
                <w:sz w:val="24"/>
                <w:szCs w:val="24"/>
                <w:highlight w:val="none"/>
              </w:rPr>
            </w:pPr>
          </w:p>
        </w:tc>
        <w:tc>
          <w:tcPr>
            <w:tcW w:w="7813" w:type="dxa"/>
            <w:tcMar>
              <w:top w:w="0" w:type="dxa"/>
              <w:left w:w="108" w:type="dxa"/>
              <w:bottom w:w="0" w:type="dxa"/>
              <w:right w:w="108" w:type="dxa"/>
            </w:tcMar>
            <w:vAlign w:val="center"/>
          </w:tcPr>
          <w:p w14:paraId="772B3357">
            <w:pPr>
              <w:spacing w:line="440" w:lineRule="exact"/>
              <w:rPr>
                <w:rFonts w:ascii="宋体" w:hAnsi="宋体" w:cs="宋体"/>
                <w:color w:val="auto"/>
                <w:sz w:val="24"/>
                <w:szCs w:val="24"/>
                <w:highlight w:val="none"/>
              </w:rPr>
            </w:pPr>
            <w:r>
              <w:rPr>
                <w:rFonts w:hint="eastAsia" w:ascii="宋体" w:hAnsi="宋体" w:cs="宋体"/>
                <w:color w:val="auto"/>
                <w:sz w:val="24"/>
                <w:szCs w:val="24"/>
                <w:highlight w:val="none"/>
              </w:rPr>
              <w:t xml:space="preserve">响应文件递交地址：详见《第一章 </w:t>
            </w:r>
            <w:r>
              <w:rPr>
                <w:rFonts w:hint="eastAsia" w:ascii="宋体" w:hAnsi="宋体" w:cs="宋体"/>
                <w:color w:val="auto"/>
                <w:sz w:val="24"/>
                <w:szCs w:val="24"/>
                <w:highlight w:val="none"/>
                <w:lang w:eastAsia="zh-CN"/>
              </w:rPr>
              <w:t>询价邀请</w:t>
            </w:r>
            <w:r>
              <w:rPr>
                <w:rFonts w:hint="eastAsia" w:ascii="宋体" w:hAnsi="宋体" w:cs="宋体"/>
                <w:color w:val="auto"/>
                <w:sz w:val="24"/>
                <w:szCs w:val="24"/>
                <w:highlight w:val="none"/>
              </w:rPr>
              <w:t>》</w:t>
            </w:r>
          </w:p>
          <w:p w14:paraId="78A13ED2">
            <w:pPr>
              <w:spacing w:line="440" w:lineRule="exact"/>
              <w:rPr>
                <w:rFonts w:ascii="宋体" w:hAnsi="宋体" w:cs="宋体"/>
                <w:color w:val="auto"/>
                <w:sz w:val="24"/>
                <w:szCs w:val="24"/>
                <w:highlight w:val="none"/>
              </w:rPr>
            </w:pPr>
            <w:r>
              <w:rPr>
                <w:rFonts w:hint="eastAsia" w:ascii="宋体" w:hAnsi="宋体" w:cs="宋体"/>
                <w:color w:val="auto"/>
                <w:sz w:val="24"/>
                <w:szCs w:val="24"/>
                <w:highlight w:val="none"/>
              </w:rPr>
              <w:t xml:space="preserve">响应文件递交截止时间：详见《第一章 </w:t>
            </w:r>
            <w:r>
              <w:rPr>
                <w:rFonts w:hint="eastAsia" w:ascii="宋体" w:hAnsi="宋体" w:cs="宋体"/>
                <w:color w:val="auto"/>
                <w:sz w:val="24"/>
                <w:szCs w:val="24"/>
                <w:highlight w:val="none"/>
                <w:lang w:eastAsia="zh-CN"/>
              </w:rPr>
              <w:t>询价邀请</w:t>
            </w:r>
            <w:r>
              <w:rPr>
                <w:rFonts w:hint="eastAsia" w:ascii="宋体" w:hAnsi="宋体" w:cs="宋体"/>
                <w:color w:val="auto"/>
                <w:sz w:val="24"/>
                <w:szCs w:val="24"/>
                <w:highlight w:val="none"/>
              </w:rPr>
              <w:t>》</w:t>
            </w:r>
          </w:p>
          <w:p w14:paraId="592FBD7A">
            <w:pPr>
              <w:spacing w:line="440" w:lineRule="exact"/>
              <w:rPr>
                <w:rFonts w:ascii="宋体" w:hAnsi="宋体" w:cs="宋体"/>
                <w:color w:val="auto"/>
                <w:sz w:val="24"/>
                <w:szCs w:val="24"/>
                <w:highlight w:val="none"/>
              </w:rPr>
            </w:pPr>
            <w:r>
              <w:rPr>
                <w:rFonts w:hint="eastAsia" w:ascii="宋体" w:hAnsi="宋体" w:cs="宋体"/>
                <w:color w:val="auto"/>
                <w:sz w:val="24"/>
                <w:szCs w:val="24"/>
                <w:highlight w:val="none"/>
              </w:rPr>
              <w:t>在响应文件递交截止时间后递交的响应文件，采购代理机构将不予接收。</w:t>
            </w:r>
          </w:p>
        </w:tc>
      </w:tr>
      <w:tr w14:paraId="1C21277E">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0" w:type="dxa"/>
            <w:bottom w:w="0" w:type="dxa"/>
            <w:right w:w="0" w:type="dxa"/>
          </w:tblCellMar>
        </w:tblPrEx>
        <w:trPr>
          <w:trHeight w:val="60" w:hRule="atLeast"/>
          <w:jc w:val="center"/>
        </w:trPr>
        <w:tc>
          <w:tcPr>
            <w:tcW w:w="795" w:type="dxa"/>
            <w:tcMar>
              <w:top w:w="0" w:type="dxa"/>
              <w:left w:w="108" w:type="dxa"/>
              <w:bottom w:w="0" w:type="dxa"/>
              <w:right w:w="108" w:type="dxa"/>
            </w:tcMar>
            <w:vAlign w:val="center"/>
          </w:tcPr>
          <w:p w14:paraId="5F59AB67">
            <w:pPr>
              <w:spacing w:line="440" w:lineRule="exact"/>
              <w:jc w:val="center"/>
              <w:rPr>
                <w:rFonts w:ascii="宋体" w:hAnsi="宋体" w:cs="宋体"/>
                <w:color w:val="auto"/>
                <w:sz w:val="24"/>
                <w:szCs w:val="24"/>
                <w:highlight w:val="none"/>
              </w:rPr>
            </w:pPr>
            <w:r>
              <w:rPr>
                <w:rFonts w:hint="eastAsia" w:ascii="宋体" w:hAnsi="宋体" w:cs="宋体"/>
                <w:color w:val="auto"/>
                <w:sz w:val="24"/>
                <w:szCs w:val="24"/>
                <w:highlight w:val="none"/>
              </w:rPr>
              <w:t>7</w:t>
            </w:r>
          </w:p>
        </w:tc>
        <w:tc>
          <w:tcPr>
            <w:tcW w:w="1020" w:type="dxa"/>
            <w:tcMar>
              <w:top w:w="0" w:type="dxa"/>
              <w:left w:w="108" w:type="dxa"/>
              <w:bottom w:w="0" w:type="dxa"/>
              <w:right w:w="108" w:type="dxa"/>
            </w:tcMar>
            <w:vAlign w:val="center"/>
          </w:tcPr>
          <w:p w14:paraId="27A2CB3C">
            <w:pPr>
              <w:spacing w:line="440" w:lineRule="exact"/>
              <w:jc w:val="center"/>
              <w:rPr>
                <w:rFonts w:ascii="宋体" w:hAnsi="宋体" w:cs="宋体"/>
                <w:color w:val="auto"/>
                <w:sz w:val="24"/>
                <w:szCs w:val="24"/>
                <w:highlight w:val="none"/>
              </w:rPr>
            </w:pPr>
          </w:p>
        </w:tc>
        <w:tc>
          <w:tcPr>
            <w:tcW w:w="7813" w:type="dxa"/>
            <w:tcMar>
              <w:top w:w="0" w:type="dxa"/>
              <w:left w:w="108" w:type="dxa"/>
              <w:bottom w:w="0" w:type="dxa"/>
              <w:right w:w="108" w:type="dxa"/>
            </w:tcMar>
            <w:vAlign w:val="top"/>
          </w:tcPr>
          <w:p w14:paraId="535B0247">
            <w:pPr>
              <w:spacing w:line="440" w:lineRule="exact"/>
              <w:rPr>
                <w:rFonts w:ascii="宋体" w:hAnsi="宋体" w:cs="宋体"/>
                <w:color w:val="auto"/>
                <w:sz w:val="24"/>
                <w:szCs w:val="24"/>
                <w:highlight w:val="none"/>
              </w:rPr>
            </w:pPr>
            <w:r>
              <w:rPr>
                <w:rFonts w:hint="eastAsia" w:ascii="宋体" w:hAnsi="宋体" w:cs="宋体"/>
                <w:color w:val="auto"/>
                <w:sz w:val="24"/>
                <w:szCs w:val="24"/>
                <w:highlight w:val="none"/>
                <w:lang w:eastAsia="zh-CN"/>
              </w:rPr>
              <w:t>响应</w:t>
            </w:r>
            <w:r>
              <w:rPr>
                <w:rFonts w:hint="eastAsia" w:ascii="宋体" w:hAnsi="宋体" w:cs="宋体"/>
                <w:color w:val="auto"/>
                <w:sz w:val="24"/>
                <w:szCs w:val="24"/>
                <w:highlight w:val="none"/>
              </w:rPr>
              <w:t>规则、评审标准及确定成交供应商原则：详见《供应商须知前附表3》。</w:t>
            </w:r>
          </w:p>
        </w:tc>
      </w:tr>
      <w:tr w14:paraId="3A4C370B">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0" w:type="dxa"/>
            <w:bottom w:w="0" w:type="dxa"/>
            <w:right w:w="0" w:type="dxa"/>
          </w:tblCellMar>
        </w:tblPrEx>
        <w:trPr>
          <w:trHeight w:val="60" w:hRule="atLeast"/>
          <w:jc w:val="center"/>
        </w:trPr>
        <w:tc>
          <w:tcPr>
            <w:tcW w:w="795" w:type="dxa"/>
            <w:tcMar>
              <w:top w:w="0" w:type="dxa"/>
              <w:left w:w="108" w:type="dxa"/>
              <w:bottom w:w="0" w:type="dxa"/>
              <w:right w:w="108" w:type="dxa"/>
            </w:tcMar>
            <w:vAlign w:val="center"/>
          </w:tcPr>
          <w:p w14:paraId="20966078">
            <w:pPr>
              <w:spacing w:line="440" w:lineRule="exact"/>
              <w:jc w:val="center"/>
              <w:rPr>
                <w:rFonts w:ascii="宋体" w:hAnsi="宋体" w:cs="宋体"/>
                <w:color w:val="auto"/>
                <w:sz w:val="24"/>
                <w:szCs w:val="24"/>
                <w:highlight w:val="none"/>
              </w:rPr>
            </w:pPr>
            <w:r>
              <w:rPr>
                <w:rFonts w:hint="eastAsia" w:ascii="宋体" w:hAnsi="宋体" w:cs="宋体"/>
                <w:color w:val="auto"/>
                <w:sz w:val="24"/>
                <w:szCs w:val="24"/>
                <w:highlight w:val="none"/>
              </w:rPr>
              <w:t>8</w:t>
            </w:r>
          </w:p>
        </w:tc>
        <w:tc>
          <w:tcPr>
            <w:tcW w:w="1020" w:type="dxa"/>
            <w:tcMar>
              <w:top w:w="0" w:type="dxa"/>
              <w:left w:w="108" w:type="dxa"/>
              <w:bottom w:w="0" w:type="dxa"/>
              <w:right w:w="108" w:type="dxa"/>
            </w:tcMar>
            <w:vAlign w:val="center"/>
          </w:tcPr>
          <w:p w14:paraId="46391AFC">
            <w:pPr>
              <w:spacing w:line="440" w:lineRule="exact"/>
              <w:jc w:val="center"/>
              <w:rPr>
                <w:rFonts w:ascii="宋体" w:hAnsi="宋体" w:cs="宋体"/>
                <w:color w:val="auto"/>
                <w:sz w:val="24"/>
                <w:szCs w:val="24"/>
                <w:highlight w:val="none"/>
              </w:rPr>
            </w:pPr>
          </w:p>
        </w:tc>
        <w:tc>
          <w:tcPr>
            <w:tcW w:w="7813" w:type="dxa"/>
            <w:tcMar>
              <w:top w:w="0" w:type="dxa"/>
              <w:left w:w="108" w:type="dxa"/>
              <w:bottom w:w="0" w:type="dxa"/>
              <w:right w:w="108" w:type="dxa"/>
            </w:tcMar>
            <w:vAlign w:val="top"/>
          </w:tcPr>
          <w:p w14:paraId="731C322C">
            <w:pPr>
              <w:spacing w:line="440" w:lineRule="exact"/>
              <w:rPr>
                <w:rFonts w:ascii="宋体" w:hAnsi="宋体" w:cs="宋体"/>
                <w:color w:val="auto"/>
                <w:sz w:val="24"/>
                <w:szCs w:val="24"/>
                <w:highlight w:val="none"/>
              </w:rPr>
            </w:pPr>
            <w:r>
              <w:rPr>
                <w:rFonts w:hint="eastAsia" w:ascii="宋体" w:hAnsi="宋体" w:cs="宋体"/>
                <w:b/>
                <w:bCs/>
                <w:color w:val="auto"/>
                <w:kern w:val="0"/>
                <w:sz w:val="24"/>
                <w:szCs w:val="24"/>
                <w:highlight w:val="none"/>
                <w:lang w:eastAsia="zh-CN"/>
              </w:rPr>
              <w:t>响应文件有效期</w:t>
            </w:r>
            <w:r>
              <w:rPr>
                <w:rFonts w:hint="eastAsia" w:ascii="宋体" w:hAnsi="宋体" w:cs="宋体"/>
                <w:color w:val="auto"/>
                <w:kern w:val="0"/>
                <w:sz w:val="24"/>
                <w:szCs w:val="24"/>
                <w:highlight w:val="none"/>
              </w:rPr>
              <w:t>：</w:t>
            </w:r>
            <w:r>
              <w:rPr>
                <w:rFonts w:hint="eastAsia" w:ascii="宋体" w:hAnsi="宋体" w:cs="宋体"/>
                <w:color w:val="auto"/>
                <w:kern w:val="0"/>
                <w:sz w:val="24"/>
                <w:szCs w:val="24"/>
                <w:highlight w:val="none"/>
                <w:lang w:eastAsia="zh-CN"/>
              </w:rPr>
              <w:t>响应</w:t>
            </w:r>
            <w:r>
              <w:rPr>
                <w:rFonts w:hint="eastAsia" w:ascii="宋体" w:hAnsi="宋体" w:cs="宋体"/>
                <w:color w:val="auto"/>
                <w:kern w:val="0"/>
                <w:sz w:val="24"/>
                <w:szCs w:val="24"/>
                <w:highlight w:val="none"/>
              </w:rPr>
              <w:t>截止时间起90个日历日。</w:t>
            </w:r>
          </w:p>
        </w:tc>
      </w:tr>
      <w:tr w14:paraId="603E1FE6">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0" w:type="dxa"/>
            <w:bottom w:w="0" w:type="dxa"/>
            <w:right w:w="0" w:type="dxa"/>
          </w:tblCellMar>
        </w:tblPrEx>
        <w:trPr>
          <w:trHeight w:val="665" w:hRule="atLeast"/>
          <w:jc w:val="center"/>
        </w:trPr>
        <w:tc>
          <w:tcPr>
            <w:tcW w:w="795" w:type="dxa"/>
            <w:tcMar>
              <w:top w:w="0" w:type="dxa"/>
              <w:left w:w="108" w:type="dxa"/>
              <w:bottom w:w="0" w:type="dxa"/>
              <w:right w:w="108" w:type="dxa"/>
            </w:tcMar>
            <w:vAlign w:val="center"/>
          </w:tcPr>
          <w:p w14:paraId="4B2F04A0">
            <w:pPr>
              <w:spacing w:line="440" w:lineRule="exact"/>
              <w:jc w:val="center"/>
              <w:rPr>
                <w:rFonts w:ascii="宋体" w:hAnsi="宋体" w:cs="宋体"/>
                <w:color w:val="auto"/>
                <w:sz w:val="24"/>
                <w:szCs w:val="24"/>
                <w:highlight w:val="none"/>
              </w:rPr>
            </w:pPr>
            <w:r>
              <w:rPr>
                <w:rFonts w:hint="eastAsia" w:ascii="宋体" w:hAnsi="宋体" w:cs="宋体"/>
                <w:color w:val="auto"/>
                <w:sz w:val="24"/>
                <w:szCs w:val="24"/>
                <w:highlight w:val="none"/>
              </w:rPr>
              <w:t>9</w:t>
            </w:r>
          </w:p>
        </w:tc>
        <w:tc>
          <w:tcPr>
            <w:tcW w:w="1020" w:type="dxa"/>
            <w:tcMar>
              <w:top w:w="0" w:type="dxa"/>
              <w:left w:w="108" w:type="dxa"/>
              <w:bottom w:w="0" w:type="dxa"/>
              <w:right w:w="108" w:type="dxa"/>
            </w:tcMar>
            <w:vAlign w:val="center"/>
          </w:tcPr>
          <w:p w14:paraId="220B519F">
            <w:pPr>
              <w:spacing w:line="440" w:lineRule="exact"/>
              <w:jc w:val="center"/>
              <w:rPr>
                <w:rFonts w:ascii="宋体" w:hAnsi="宋体" w:cs="宋体"/>
                <w:color w:val="auto"/>
                <w:sz w:val="24"/>
                <w:szCs w:val="24"/>
                <w:highlight w:val="none"/>
              </w:rPr>
            </w:pPr>
          </w:p>
        </w:tc>
        <w:tc>
          <w:tcPr>
            <w:tcW w:w="7813" w:type="dxa"/>
            <w:tcMar>
              <w:top w:w="0" w:type="dxa"/>
              <w:left w:w="108" w:type="dxa"/>
              <w:bottom w:w="0" w:type="dxa"/>
              <w:right w:w="108" w:type="dxa"/>
            </w:tcMar>
            <w:vAlign w:val="top"/>
          </w:tcPr>
          <w:p w14:paraId="16850474">
            <w:pPr>
              <w:spacing w:line="440" w:lineRule="exact"/>
              <w:rPr>
                <w:rFonts w:hint="eastAsia" w:ascii="宋体" w:hAnsi="宋体" w:eastAsia="宋体" w:cs="宋体"/>
                <w:color w:val="auto"/>
                <w:kern w:val="0"/>
                <w:sz w:val="24"/>
                <w:szCs w:val="24"/>
                <w:highlight w:val="none"/>
                <w:lang w:val="en-US" w:eastAsia="zh-CN"/>
              </w:rPr>
            </w:pPr>
            <w:r>
              <w:rPr>
                <w:rFonts w:hint="eastAsia" w:ascii="宋体" w:hAnsi="宋体" w:cs="宋体"/>
                <w:color w:val="auto"/>
                <w:kern w:val="0"/>
                <w:sz w:val="24"/>
                <w:szCs w:val="24"/>
                <w:highlight w:val="none"/>
                <w:lang w:eastAsia="zh-CN"/>
              </w:rPr>
              <w:t>询价</w:t>
            </w:r>
            <w:r>
              <w:rPr>
                <w:rFonts w:hint="eastAsia" w:ascii="宋体" w:hAnsi="宋体" w:cs="宋体"/>
                <w:color w:val="auto"/>
                <w:kern w:val="0"/>
                <w:sz w:val="24"/>
                <w:szCs w:val="24"/>
                <w:highlight w:val="none"/>
              </w:rPr>
              <w:t>保证金：</w:t>
            </w:r>
            <w:r>
              <w:rPr>
                <w:rFonts w:hint="eastAsia" w:ascii="宋体" w:hAnsi="宋体" w:cs="宋体"/>
                <w:color w:val="auto"/>
                <w:kern w:val="0"/>
                <w:sz w:val="24"/>
                <w:szCs w:val="24"/>
                <w:highlight w:val="none"/>
                <w:lang w:eastAsia="zh-CN"/>
              </w:rPr>
              <w:t>无需提交</w:t>
            </w:r>
          </w:p>
        </w:tc>
      </w:tr>
      <w:tr w14:paraId="4F6E48D3">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0" w:type="dxa"/>
            <w:bottom w:w="0" w:type="dxa"/>
            <w:right w:w="0" w:type="dxa"/>
          </w:tblCellMar>
        </w:tblPrEx>
        <w:trPr>
          <w:trHeight w:val="291" w:hRule="atLeast"/>
          <w:jc w:val="center"/>
        </w:trPr>
        <w:tc>
          <w:tcPr>
            <w:tcW w:w="795" w:type="dxa"/>
            <w:tcMar>
              <w:top w:w="0" w:type="dxa"/>
              <w:left w:w="108" w:type="dxa"/>
              <w:bottom w:w="0" w:type="dxa"/>
              <w:right w:w="108" w:type="dxa"/>
            </w:tcMar>
            <w:vAlign w:val="center"/>
          </w:tcPr>
          <w:p w14:paraId="33567808">
            <w:pPr>
              <w:spacing w:line="440" w:lineRule="exact"/>
              <w:jc w:val="center"/>
              <w:rPr>
                <w:rFonts w:ascii="宋体" w:hAnsi="宋体" w:cs="宋体"/>
                <w:color w:val="auto"/>
                <w:sz w:val="24"/>
                <w:szCs w:val="24"/>
                <w:highlight w:val="none"/>
              </w:rPr>
            </w:pPr>
            <w:r>
              <w:rPr>
                <w:rFonts w:hint="eastAsia" w:ascii="宋体" w:hAnsi="宋体" w:cs="宋体"/>
                <w:color w:val="auto"/>
                <w:sz w:val="24"/>
                <w:szCs w:val="24"/>
                <w:highlight w:val="none"/>
              </w:rPr>
              <w:t>10</w:t>
            </w:r>
          </w:p>
        </w:tc>
        <w:tc>
          <w:tcPr>
            <w:tcW w:w="1020" w:type="dxa"/>
            <w:tcMar>
              <w:top w:w="0" w:type="dxa"/>
              <w:left w:w="108" w:type="dxa"/>
              <w:bottom w:w="0" w:type="dxa"/>
              <w:right w:w="108" w:type="dxa"/>
            </w:tcMar>
            <w:vAlign w:val="center"/>
          </w:tcPr>
          <w:p w14:paraId="30FDADE3">
            <w:pPr>
              <w:spacing w:line="440" w:lineRule="exact"/>
              <w:jc w:val="center"/>
              <w:rPr>
                <w:rFonts w:ascii="宋体" w:hAnsi="宋体" w:cs="宋体"/>
                <w:color w:val="auto"/>
                <w:sz w:val="24"/>
                <w:szCs w:val="24"/>
                <w:highlight w:val="none"/>
              </w:rPr>
            </w:pPr>
          </w:p>
        </w:tc>
        <w:tc>
          <w:tcPr>
            <w:tcW w:w="7813" w:type="dxa"/>
            <w:tcMar>
              <w:top w:w="0" w:type="dxa"/>
              <w:left w:w="108" w:type="dxa"/>
              <w:bottom w:w="0" w:type="dxa"/>
              <w:right w:w="108" w:type="dxa"/>
            </w:tcMar>
            <w:vAlign w:val="center"/>
          </w:tcPr>
          <w:p w14:paraId="2E8E0869">
            <w:pPr>
              <w:spacing w:line="440" w:lineRule="exact"/>
              <w:ind w:firstLine="0" w:firstLineChars="0"/>
              <w:rPr>
                <w:rFonts w:ascii="宋体" w:hAnsi="宋体" w:cs="宋体"/>
                <w:color w:val="auto"/>
                <w:kern w:val="0"/>
                <w:sz w:val="24"/>
                <w:szCs w:val="24"/>
                <w:highlight w:val="none"/>
              </w:rPr>
            </w:pPr>
            <w:r>
              <w:rPr>
                <w:rFonts w:hint="eastAsia" w:ascii="宋体" w:hAnsi="宋体" w:cs="宋体"/>
                <w:color w:val="auto"/>
                <w:sz w:val="24"/>
                <w:szCs w:val="24"/>
                <w:highlight w:val="none"/>
              </w:rPr>
              <w:t>采购代理服务费标准及缴纳方式：</w:t>
            </w:r>
            <w:r>
              <w:rPr>
                <w:rFonts w:hint="eastAsia" w:ascii="宋体" w:hAnsi="宋体" w:cs="宋体"/>
                <w:color w:val="auto"/>
                <w:sz w:val="24"/>
                <w:szCs w:val="24"/>
                <w:highlight w:val="none"/>
                <w:lang w:val="en-US" w:eastAsia="zh-CN"/>
              </w:rPr>
              <w:t>具体费用由采购人支付。</w:t>
            </w:r>
          </w:p>
        </w:tc>
      </w:tr>
      <w:tr w14:paraId="1DA3CD8E">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0" w:type="dxa"/>
            <w:bottom w:w="0" w:type="dxa"/>
            <w:right w:w="0" w:type="dxa"/>
          </w:tblCellMar>
        </w:tblPrEx>
        <w:trPr>
          <w:trHeight w:val="291" w:hRule="atLeast"/>
          <w:jc w:val="center"/>
        </w:trPr>
        <w:tc>
          <w:tcPr>
            <w:tcW w:w="795" w:type="dxa"/>
            <w:tcMar>
              <w:top w:w="0" w:type="dxa"/>
              <w:left w:w="108" w:type="dxa"/>
              <w:bottom w:w="0" w:type="dxa"/>
              <w:right w:w="108" w:type="dxa"/>
            </w:tcMar>
            <w:vAlign w:val="center"/>
          </w:tcPr>
          <w:p w14:paraId="4C067048">
            <w:pPr>
              <w:spacing w:line="440" w:lineRule="exact"/>
              <w:jc w:val="center"/>
              <w:rPr>
                <w:rFonts w:ascii="宋体" w:hAnsi="宋体" w:cs="宋体"/>
                <w:color w:val="auto"/>
                <w:sz w:val="24"/>
                <w:szCs w:val="24"/>
                <w:highlight w:val="none"/>
              </w:rPr>
            </w:pPr>
            <w:bookmarkStart w:id="9" w:name="_Toc398284535"/>
            <w:bookmarkStart w:id="10" w:name="_Toc398504591"/>
            <w:bookmarkStart w:id="11" w:name="_Toc431190639"/>
            <w:bookmarkStart w:id="12" w:name="_Toc526873902"/>
            <w:r>
              <w:rPr>
                <w:rFonts w:hint="eastAsia" w:ascii="宋体" w:hAnsi="宋体" w:cs="宋体"/>
                <w:color w:val="auto"/>
                <w:sz w:val="24"/>
                <w:szCs w:val="24"/>
                <w:highlight w:val="none"/>
              </w:rPr>
              <w:t>11</w:t>
            </w:r>
          </w:p>
        </w:tc>
        <w:tc>
          <w:tcPr>
            <w:tcW w:w="1020" w:type="dxa"/>
            <w:tcMar>
              <w:top w:w="0" w:type="dxa"/>
              <w:left w:w="108" w:type="dxa"/>
              <w:bottom w:w="0" w:type="dxa"/>
              <w:right w:w="108" w:type="dxa"/>
            </w:tcMar>
            <w:vAlign w:val="center"/>
          </w:tcPr>
          <w:p w14:paraId="62E13E96">
            <w:pPr>
              <w:spacing w:line="440" w:lineRule="exact"/>
              <w:jc w:val="center"/>
              <w:rPr>
                <w:rFonts w:ascii="宋体" w:hAnsi="宋体" w:cs="宋体"/>
                <w:color w:val="auto"/>
                <w:sz w:val="24"/>
                <w:szCs w:val="24"/>
                <w:highlight w:val="none"/>
              </w:rPr>
            </w:pPr>
          </w:p>
        </w:tc>
        <w:tc>
          <w:tcPr>
            <w:tcW w:w="7813" w:type="dxa"/>
            <w:tcMar>
              <w:top w:w="0" w:type="dxa"/>
              <w:left w:w="108" w:type="dxa"/>
              <w:bottom w:w="0" w:type="dxa"/>
              <w:right w:w="108" w:type="dxa"/>
            </w:tcMar>
            <w:vAlign w:val="center"/>
          </w:tcPr>
          <w:p w14:paraId="4513412D">
            <w:pPr>
              <w:spacing w:line="440" w:lineRule="exact"/>
              <w:rPr>
                <w:rFonts w:ascii="宋体" w:hAnsi="宋体" w:cs="宋体"/>
                <w:color w:val="auto"/>
                <w:kern w:val="0"/>
                <w:sz w:val="24"/>
                <w:highlight w:val="none"/>
              </w:rPr>
            </w:pPr>
            <w:r>
              <w:rPr>
                <w:rFonts w:hint="eastAsia" w:ascii="宋体" w:hAnsi="宋体" w:cs="宋体"/>
                <w:color w:val="auto"/>
                <w:kern w:val="0"/>
                <w:sz w:val="24"/>
                <w:highlight w:val="none"/>
              </w:rPr>
              <w:t>询价文件的质疑</w:t>
            </w:r>
          </w:p>
          <w:p w14:paraId="2B8E80D8">
            <w:pPr>
              <w:spacing w:line="440" w:lineRule="exact"/>
              <w:rPr>
                <w:rFonts w:ascii="宋体" w:hAnsi="宋体" w:cs="宋体"/>
                <w:color w:val="auto"/>
                <w:kern w:val="0"/>
                <w:sz w:val="24"/>
                <w:highlight w:val="none"/>
              </w:rPr>
            </w:pPr>
            <w:r>
              <w:rPr>
                <w:rFonts w:hint="eastAsia" w:ascii="宋体" w:hAnsi="宋体" w:cs="宋体"/>
                <w:color w:val="auto"/>
                <w:kern w:val="0"/>
                <w:sz w:val="24"/>
                <w:highlight w:val="none"/>
              </w:rPr>
              <w:t>1.潜在供应商可在质疑时效期间内对询价文件以书面形式提出质疑。</w:t>
            </w:r>
          </w:p>
          <w:p w14:paraId="6A8A7A66">
            <w:pPr>
              <w:spacing w:line="440" w:lineRule="exact"/>
              <w:rPr>
                <w:rFonts w:ascii="宋体" w:hAnsi="宋体" w:cs="宋体"/>
                <w:color w:val="auto"/>
                <w:kern w:val="0"/>
                <w:sz w:val="24"/>
                <w:highlight w:val="none"/>
              </w:rPr>
            </w:pPr>
            <w:r>
              <w:rPr>
                <w:rFonts w:hint="eastAsia" w:ascii="宋体" w:hAnsi="宋体" w:cs="宋体"/>
                <w:color w:val="auto"/>
                <w:kern w:val="0"/>
                <w:sz w:val="24"/>
                <w:highlight w:val="none"/>
              </w:rPr>
              <w:t>2.质疑时效期间：自</w:t>
            </w:r>
            <w:r>
              <w:rPr>
                <w:rFonts w:hint="eastAsia" w:ascii="宋体" w:hAnsi="宋体" w:cs="宋体"/>
                <w:color w:val="auto"/>
                <w:kern w:val="0"/>
                <w:sz w:val="24"/>
                <w:highlight w:val="none"/>
                <w:lang w:eastAsia="zh-CN"/>
              </w:rPr>
              <w:t>询价邀请发出</w:t>
            </w:r>
            <w:r>
              <w:rPr>
                <w:rFonts w:hint="eastAsia" w:ascii="宋体" w:hAnsi="宋体" w:cs="宋体"/>
                <w:color w:val="auto"/>
                <w:kern w:val="0"/>
                <w:sz w:val="24"/>
                <w:highlight w:val="none"/>
              </w:rPr>
              <w:t>之日起3个工作日内向采购代理机构提出。</w:t>
            </w:r>
          </w:p>
          <w:p w14:paraId="2949B0C3">
            <w:pPr>
              <w:spacing w:line="440" w:lineRule="exact"/>
              <w:rPr>
                <w:rFonts w:ascii="宋体" w:hAnsi="宋体" w:cs="宋体"/>
                <w:color w:val="auto"/>
                <w:kern w:val="0"/>
                <w:sz w:val="24"/>
                <w:highlight w:val="none"/>
              </w:rPr>
            </w:pPr>
            <w:r>
              <w:rPr>
                <w:rFonts w:hint="eastAsia" w:ascii="宋体" w:hAnsi="宋体" w:cs="宋体"/>
                <w:color w:val="auto"/>
                <w:kern w:val="0"/>
                <w:sz w:val="24"/>
                <w:highlight w:val="none"/>
              </w:rPr>
              <w:t>3.质疑函应采用下列方式之一提交：</w:t>
            </w:r>
          </w:p>
          <w:p w14:paraId="7D1C54A0">
            <w:pPr>
              <w:spacing w:line="440" w:lineRule="exact"/>
              <w:rPr>
                <w:rFonts w:ascii="宋体" w:hAnsi="宋体" w:cs="宋体"/>
                <w:color w:val="auto"/>
                <w:kern w:val="0"/>
                <w:sz w:val="24"/>
                <w:highlight w:val="none"/>
              </w:rPr>
            </w:pPr>
            <w:r>
              <w:rPr>
                <w:rFonts w:hint="eastAsia" w:ascii="宋体" w:hAnsi="宋体" w:cs="宋体"/>
                <w:color w:val="auto"/>
                <w:kern w:val="0"/>
                <w:sz w:val="24"/>
                <w:highlight w:val="none"/>
              </w:rPr>
              <w:t>（1）邮件形式：将异议函原件扫描发送至邮箱：</w:t>
            </w:r>
            <w:r>
              <w:rPr>
                <w:rFonts w:hint="eastAsia" w:ascii="宋体" w:hAnsi="宋体" w:cs="宋体"/>
                <w:color w:val="auto"/>
                <w:kern w:val="0"/>
                <w:sz w:val="24"/>
                <w:highlight w:val="none"/>
                <w:lang w:val="en-US" w:eastAsia="zh-CN"/>
              </w:rPr>
              <w:t>2722054837@qq.com</w:t>
            </w:r>
            <w:r>
              <w:rPr>
                <w:rFonts w:hint="eastAsia" w:ascii="宋体" w:hAnsi="宋体" w:cs="宋体"/>
                <w:color w:val="auto"/>
                <w:kern w:val="0"/>
                <w:sz w:val="24"/>
                <w:highlight w:val="none"/>
              </w:rPr>
              <w:t>。收到异议函的时间以邮箱显示的收到时间为准。异议答复过程中需要核对原件的，异议人应提供原件核查，否则相关资料可能不被认可。</w:t>
            </w:r>
          </w:p>
          <w:p w14:paraId="676F8ACD">
            <w:pPr>
              <w:spacing w:line="440" w:lineRule="exact"/>
              <w:rPr>
                <w:rFonts w:ascii="宋体" w:hAnsi="宋体" w:cs="宋体"/>
                <w:color w:val="auto"/>
                <w:kern w:val="0"/>
                <w:sz w:val="24"/>
                <w:highlight w:val="none"/>
              </w:rPr>
            </w:pPr>
            <w:r>
              <w:rPr>
                <w:rFonts w:hint="eastAsia" w:ascii="宋体" w:hAnsi="宋体" w:cs="宋体"/>
                <w:color w:val="auto"/>
                <w:kern w:val="0"/>
                <w:sz w:val="24"/>
                <w:highlight w:val="none"/>
              </w:rPr>
              <w:t>（2）快递形式：将质疑函原件快递至</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eastAsia="zh-CN"/>
              </w:rPr>
              <w:t>厦门市</w:t>
            </w:r>
            <w:r>
              <w:rPr>
                <w:rFonts w:hint="eastAsia" w:ascii="宋体" w:hAnsi="宋体" w:cs="宋体"/>
                <w:color w:val="auto"/>
                <w:sz w:val="24"/>
                <w:highlight w:val="none"/>
                <w:u w:val="single"/>
                <w:lang w:val="en-US" w:eastAsia="zh-CN"/>
              </w:rPr>
              <w:t>园山南路798号湖里国投商务中心A座8楼</w:t>
            </w:r>
            <w:r>
              <w:rPr>
                <w:rFonts w:hint="eastAsia" w:ascii="宋体" w:hAnsi="宋体" w:cs="宋体"/>
                <w:color w:val="auto"/>
                <w:kern w:val="0"/>
                <w:sz w:val="24"/>
                <w:highlight w:val="none"/>
              </w:rPr>
              <w:t>，收件人：</w:t>
            </w:r>
            <w:r>
              <w:rPr>
                <w:rFonts w:hint="eastAsia" w:ascii="宋体" w:hAnsi="宋体" w:cs="宋体"/>
                <w:color w:val="auto"/>
                <w:kern w:val="0"/>
                <w:sz w:val="24"/>
                <w:highlight w:val="none"/>
                <w:lang w:val="en-US" w:eastAsia="zh-CN"/>
              </w:rPr>
              <w:t>林</w:t>
            </w:r>
            <w:r>
              <w:rPr>
                <w:rFonts w:hint="eastAsia" w:ascii="宋体" w:hAnsi="宋体" w:cs="宋体"/>
                <w:color w:val="auto"/>
                <w:kern w:val="0"/>
                <w:sz w:val="24"/>
                <w:highlight w:val="none"/>
                <w:lang w:eastAsia="zh-CN"/>
              </w:rPr>
              <w:t>工</w:t>
            </w:r>
            <w:r>
              <w:rPr>
                <w:rFonts w:hint="eastAsia" w:ascii="宋体" w:hAnsi="宋体" w:cs="宋体"/>
                <w:color w:val="auto"/>
                <w:kern w:val="0"/>
                <w:sz w:val="24"/>
                <w:highlight w:val="none"/>
              </w:rPr>
              <w:t>，电话：</w:t>
            </w:r>
            <w:r>
              <w:rPr>
                <w:rFonts w:hint="eastAsia" w:ascii="宋体" w:hAnsi="宋体" w:cs="宋体"/>
                <w:color w:val="auto"/>
                <w:kern w:val="0"/>
                <w:sz w:val="24"/>
                <w:highlight w:val="none"/>
                <w:lang w:eastAsia="zh-CN"/>
              </w:rPr>
              <w:t>0592-</w:t>
            </w:r>
            <w:r>
              <w:rPr>
                <w:rFonts w:hint="eastAsia" w:ascii="宋体" w:hAnsi="宋体" w:cs="宋体"/>
                <w:color w:val="auto"/>
                <w:kern w:val="0"/>
                <w:sz w:val="24"/>
                <w:highlight w:val="none"/>
                <w:lang w:val="en-US" w:eastAsia="zh-CN"/>
              </w:rPr>
              <w:t>5736955</w:t>
            </w:r>
            <w:r>
              <w:rPr>
                <w:rFonts w:hint="eastAsia" w:ascii="宋体" w:hAnsi="宋体" w:cs="宋体"/>
                <w:color w:val="auto"/>
                <w:kern w:val="0"/>
                <w:sz w:val="24"/>
                <w:highlight w:val="none"/>
              </w:rPr>
              <w:t>。收到质疑函的时间以快递签收时间为准。</w:t>
            </w:r>
          </w:p>
          <w:p w14:paraId="728F5E69">
            <w:pPr>
              <w:spacing w:line="440" w:lineRule="exact"/>
              <w:rPr>
                <w:rFonts w:ascii="宋体" w:hAnsi="宋体" w:cs="宋体"/>
                <w:color w:val="auto"/>
                <w:kern w:val="0"/>
                <w:sz w:val="24"/>
                <w:highlight w:val="none"/>
              </w:rPr>
            </w:pPr>
            <w:r>
              <w:rPr>
                <w:rFonts w:hint="eastAsia" w:ascii="宋体" w:hAnsi="宋体" w:cs="宋体"/>
                <w:color w:val="auto"/>
                <w:kern w:val="0"/>
                <w:sz w:val="24"/>
                <w:highlight w:val="none"/>
              </w:rPr>
              <w:t>（3）现场送达：将质疑函原件现场送至</w:t>
            </w:r>
            <w:r>
              <w:rPr>
                <w:rFonts w:hint="eastAsia" w:ascii="宋体" w:hAnsi="宋体" w:cs="宋体"/>
                <w:color w:val="auto"/>
                <w:sz w:val="24"/>
                <w:highlight w:val="none"/>
                <w:u w:val="single"/>
                <w:lang w:eastAsia="zh-CN"/>
              </w:rPr>
              <w:t>厦门市</w:t>
            </w:r>
            <w:r>
              <w:rPr>
                <w:rFonts w:hint="eastAsia" w:ascii="宋体" w:hAnsi="宋体" w:cs="宋体"/>
                <w:color w:val="auto"/>
                <w:sz w:val="24"/>
                <w:highlight w:val="none"/>
                <w:u w:val="single"/>
                <w:lang w:val="en-US" w:eastAsia="zh-CN"/>
              </w:rPr>
              <w:t>园山南路798号湖里国投商务中心A座8楼</w:t>
            </w:r>
            <w:r>
              <w:rPr>
                <w:rFonts w:hint="eastAsia" w:ascii="宋体" w:hAnsi="宋体" w:cs="宋体"/>
                <w:color w:val="auto"/>
                <w:kern w:val="0"/>
                <w:sz w:val="24"/>
                <w:highlight w:val="none"/>
              </w:rPr>
              <w:t>。收到质疑函的时间以前台签收时间为准。</w:t>
            </w:r>
          </w:p>
          <w:p w14:paraId="38F8AEDC">
            <w:pPr>
              <w:spacing w:line="440" w:lineRule="exact"/>
              <w:ind w:firstLine="0" w:firstLineChars="0"/>
              <w:rPr>
                <w:rFonts w:hint="eastAsia" w:ascii="宋体" w:hAnsi="宋体" w:cs="宋体"/>
                <w:b/>
                <w:bCs/>
                <w:color w:val="auto"/>
                <w:kern w:val="0"/>
                <w:sz w:val="24"/>
                <w:highlight w:val="none"/>
              </w:rPr>
            </w:pPr>
            <w:r>
              <w:rPr>
                <w:rFonts w:hint="eastAsia" w:ascii="宋体" w:hAnsi="宋体" w:cs="宋体"/>
                <w:b/>
                <w:bCs/>
                <w:color w:val="auto"/>
                <w:kern w:val="0"/>
                <w:sz w:val="24"/>
                <w:highlight w:val="none"/>
              </w:rPr>
              <w:t>注：不管何种方式提交，均需与代理电话联系，以便及时确认避免错漏。</w:t>
            </w:r>
          </w:p>
          <w:p w14:paraId="6995064B">
            <w:pPr>
              <w:spacing w:line="440" w:lineRule="exact"/>
              <w:ind w:firstLine="0" w:firstLineChars="0"/>
              <w:rPr>
                <w:rFonts w:hint="eastAsia" w:ascii="宋体" w:hAnsi="宋体" w:cs="宋体"/>
                <w:b/>
                <w:bCs/>
                <w:color w:val="auto"/>
                <w:kern w:val="0"/>
                <w:sz w:val="24"/>
                <w:highlight w:val="none"/>
              </w:rPr>
            </w:pPr>
          </w:p>
        </w:tc>
      </w:tr>
      <w:tr w14:paraId="1EDF40DB">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0" w:type="dxa"/>
            <w:bottom w:w="0" w:type="dxa"/>
            <w:right w:w="0" w:type="dxa"/>
          </w:tblCellMar>
        </w:tblPrEx>
        <w:trPr>
          <w:trHeight w:val="291" w:hRule="atLeast"/>
          <w:jc w:val="center"/>
        </w:trPr>
        <w:tc>
          <w:tcPr>
            <w:tcW w:w="795" w:type="dxa"/>
            <w:tcMar>
              <w:top w:w="0" w:type="dxa"/>
              <w:left w:w="108" w:type="dxa"/>
              <w:bottom w:w="0" w:type="dxa"/>
              <w:right w:w="108" w:type="dxa"/>
            </w:tcMar>
            <w:vAlign w:val="center"/>
          </w:tcPr>
          <w:p w14:paraId="68AE0224">
            <w:pPr>
              <w:spacing w:line="440" w:lineRule="exact"/>
              <w:jc w:val="center"/>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12</w:t>
            </w:r>
          </w:p>
        </w:tc>
        <w:tc>
          <w:tcPr>
            <w:tcW w:w="1020" w:type="dxa"/>
            <w:tcMar>
              <w:top w:w="0" w:type="dxa"/>
              <w:left w:w="108" w:type="dxa"/>
              <w:bottom w:w="0" w:type="dxa"/>
              <w:right w:w="108" w:type="dxa"/>
            </w:tcMar>
            <w:vAlign w:val="center"/>
          </w:tcPr>
          <w:p w14:paraId="7F91376E">
            <w:pPr>
              <w:spacing w:line="440" w:lineRule="exact"/>
              <w:jc w:val="center"/>
              <w:rPr>
                <w:rFonts w:ascii="宋体" w:hAnsi="宋体" w:cs="宋体"/>
                <w:color w:val="auto"/>
                <w:sz w:val="24"/>
                <w:szCs w:val="24"/>
                <w:highlight w:val="none"/>
              </w:rPr>
            </w:pPr>
          </w:p>
        </w:tc>
        <w:tc>
          <w:tcPr>
            <w:tcW w:w="7813" w:type="dxa"/>
            <w:tcMar>
              <w:top w:w="0" w:type="dxa"/>
              <w:left w:w="108" w:type="dxa"/>
              <w:bottom w:w="0" w:type="dxa"/>
              <w:right w:w="108" w:type="dxa"/>
            </w:tcMar>
            <w:vAlign w:val="center"/>
          </w:tcPr>
          <w:p w14:paraId="1B84CDEB">
            <w:pPr>
              <w:pStyle w:val="23"/>
              <w:adjustRightInd w:val="0"/>
              <w:snapToGrid w:val="0"/>
              <w:spacing w:line="360" w:lineRule="auto"/>
              <w:ind w:right="-42" w:firstLine="0" w:firstLineChars="0"/>
              <w:jc w:val="left"/>
              <w:rPr>
                <w:rFonts w:hint="eastAsia" w:ascii="宋体" w:hAnsi="宋体" w:cs="宋体"/>
                <w:color w:val="auto"/>
                <w:kern w:val="0"/>
                <w:sz w:val="24"/>
                <w:highlight w:val="none"/>
              </w:rPr>
            </w:pPr>
            <w:r>
              <w:rPr>
                <w:rFonts w:hint="eastAsia" w:ascii="宋体" w:hAnsi="宋体" w:cs="宋体"/>
                <w:color w:val="auto"/>
                <w:kern w:val="0"/>
                <w:sz w:val="24"/>
                <w:highlight w:val="none"/>
              </w:rPr>
              <w:t>本</w:t>
            </w:r>
            <w:r>
              <w:rPr>
                <w:rFonts w:hint="eastAsia" w:ascii="宋体" w:hAnsi="宋体" w:cs="宋体"/>
                <w:color w:val="auto"/>
                <w:kern w:val="0"/>
                <w:sz w:val="24"/>
                <w:highlight w:val="none"/>
                <w:lang w:val="en-US" w:eastAsia="zh-CN"/>
              </w:rPr>
              <w:t>项目</w:t>
            </w:r>
            <w:r>
              <w:rPr>
                <w:rFonts w:hint="eastAsia" w:ascii="宋体" w:hAnsi="宋体" w:cs="宋体"/>
                <w:color w:val="auto"/>
                <w:kern w:val="0"/>
                <w:sz w:val="24"/>
                <w:highlight w:val="none"/>
              </w:rPr>
              <w:t>履约保证金为合同金额的5%</w:t>
            </w:r>
          </w:p>
          <w:p w14:paraId="6F6A61B4">
            <w:pPr>
              <w:pStyle w:val="23"/>
              <w:adjustRightInd w:val="0"/>
              <w:snapToGrid w:val="0"/>
              <w:spacing w:line="360" w:lineRule="auto"/>
              <w:ind w:right="-42" w:firstLine="0" w:firstLineChars="0"/>
              <w:jc w:val="left"/>
              <w:rPr>
                <w:rFonts w:hint="eastAsia" w:ascii="宋体" w:hAnsi="宋体" w:cs="宋体"/>
                <w:color w:val="auto"/>
                <w:kern w:val="0"/>
                <w:sz w:val="24"/>
                <w:highlight w:val="none"/>
              </w:rPr>
            </w:pPr>
            <w:r>
              <w:rPr>
                <w:rFonts w:hint="eastAsia" w:ascii="宋体" w:hAnsi="宋体" w:cs="宋体"/>
                <w:color w:val="auto"/>
                <w:kern w:val="0"/>
                <w:sz w:val="24"/>
                <w:highlight w:val="none"/>
              </w:rPr>
              <w:t>缴纳方式：银行转账，支票/汇票/本票，保函/保险</w:t>
            </w:r>
          </w:p>
          <w:p w14:paraId="72E9296C">
            <w:pPr>
              <w:spacing w:line="440" w:lineRule="exact"/>
              <w:ind w:firstLine="0" w:firstLineChars="0"/>
              <w:rPr>
                <w:rFonts w:hint="eastAsia" w:ascii="宋体" w:hAnsi="宋体" w:cs="宋体"/>
                <w:b/>
                <w:bCs/>
                <w:color w:val="auto"/>
                <w:kern w:val="0"/>
                <w:sz w:val="24"/>
                <w:highlight w:val="none"/>
              </w:rPr>
            </w:pPr>
            <w:r>
              <w:rPr>
                <w:rFonts w:hint="eastAsia" w:ascii="宋体" w:hAnsi="宋体" w:cs="宋体"/>
                <w:b/>
                <w:bCs/>
                <w:color w:val="auto"/>
                <w:kern w:val="0"/>
                <w:sz w:val="24"/>
                <w:highlight w:val="none"/>
              </w:rPr>
              <w:t>说明：</w:t>
            </w:r>
            <w:r>
              <w:rPr>
                <w:rFonts w:hint="eastAsia" w:ascii="宋体" w:hAnsi="宋体" w:cs="宋体"/>
                <w:color w:val="auto"/>
                <w:kern w:val="0"/>
                <w:sz w:val="24"/>
                <w:highlight w:val="none"/>
              </w:rPr>
              <w:t>履约保证金在合同签订后5个工作日之内，以银行保函等形式提交给采购人（缴交方式不限，具体按双方合同约定），服务期满无合同履约相关问题后</w:t>
            </w:r>
            <w:r>
              <w:rPr>
                <w:rFonts w:hint="eastAsia" w:ascii="宋体" w:hAnsi="宋体" w:cs="宋体"/>
                <w:color w:val="auto"/>
                <w:kern w:val="0"/>
                <w:sz w:val="24"/>
                <w:highlight w:val="none"/>
                <w:lang w:val="en-US" w:eastAsia="zh-CN"/>
              </w:rPr>
              <w:t>15</w:t>
            </w:r>
            <w:r>
              <w:rPr>
                <w:rFonts w:hint="eastAsia" w:ascii="宋体" w:hAnsi="宋体" w:cs="宋体"/>
                <w:color w:val="auto"/>
                <w:kern w:val="0"/>
                <w:sz w:val="24"/>
                <w:highlight w:val="none"/>
              </w:rPr>
              <w:t>个工作日内无息退还。</w:t>
            </w:r>
          </w:p>
        </w:tc>
      </w:tr>
      <w:tr w14:paraId="244727CC">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0" w:type="dxa"/>
            <w:bottom w:w="0" w:type="dxa"/>
            <w:right w:w="0" w:type="dxa"/>
          </w:tblCellMar>
        </w:tblPrEx>
        <w:trPr>
          <w:trHeight w:val="291" w:hRule="atLeast"/>
          <w:jc w:val="center"/>
        </w:trPr>
        <w:tc>
          <w:tcPr>
            <w:tcW w:w="795" w:type="dxa"/>
            <w:tcMar>
              <w:top w:w="0" w:type="dxa"/>
              <w:left w:w="108" w:type="dxa"/>
              <w:bottom w:w="0" w:type="dxa"/>
              <w:right w:w="108" w:type="dxa"/>
            </w:tcMar>
            <w:vAlign w:val="center"/>
          </w:tcPr>
          <w:p w14:paraId="414E45AD">
            <w:pPr>
              <w:spacing w:line="440" w:lineRule="exact"/>
              <w:jc w:val="center"/>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13</w:t>
            </w:r>
          </w:p>
        </w:tc>
        <w:tc>
          <w:tcPr>
            <w:tcW w:w="1020" w:type="dxa"/>
            <w:tcMar>
              <w:top w:w="0" w:type="dxa"/>
              <w:left w:w="108" w:type="dxa"/>
              <w:bottom w:w="0" w:type="dxa"/>
              <w:right w:w="108" w:type="dxa"/>
            </w:tcMar>
            <w:vAlign w:val="center"/>
          </w:tcPr>
          <w:p w14:paraId="6AEBE4FC">
            <w:pPr>
              <w:spacing w:line="440" w:lineRule="exact"/>
              <w:jc w:val="center"/>
              <w:rPr>
                <w:rFonts w:ascii="宋体" w:hAnsi="宋体" w:cs="宋体"/>
                <w:color w:val="auto"/>
                <w:sz w:val="24"/>
                <w:szCs w:val="24"/>
                <w:highlight w:val="none"/>
              </w:rPr>
            </w:pPr>
          </w:p>
        </w:tc>
        <w:tc>
          <w:tcPr>
            <w:tcW w:w="7813" w:type="dxa"/>
            <w:shd w:val="clear" w:color="auto" w:fill="auto"/>
            <w:tcMar>
              <w:top w:w="0" w:type="dxa"/>
              <w:left w:w="108" w:type="dxa"/>
              <w:bottom w:w="0" w:type="dxa"/>
              <w:right w:w="108" w:type="dxa"/>
            </w:tcMar>
            <w:vAlign w:val="center"/>
          </w:tcPr>
          <w:p w14:paraId="064DC673">
            <w:pPr>
              <w:pStyle w:val="23"/>
              <w:adjustRightInd w:val="0"/>
              <w:snapToGrid w:val="0"/>
              <w:spacing w:line="360" w:lineRule="auto"/>
              <w:ind w:right="-42" w:rightChars="0" w:firstLine="0" w:firstLineChars="0"/>
              <w:jc w:val="left"/>
              <w:rPr>
                <w:rFonts w:hint="eastAsia" w:ascii="宋体" w:hAnsi="宋体" w:eastAsia="宋体" w:cs="宋体"/>
                <w:b/>
                <w:bCs/>
                <w:color w:val="auto"/>
                <w:kern w:val="0"/>
                <w:sz w:val="24"/>
                <w:szCs w:val="24"/>
                <w:highlight w:val="none"/>
                <w:lang w:val="en-US" w:eastAsia="zh-CN" w:bidi="ar-SA"/>
              </w:rPr>
            </w:pPr>
            <w:r>
              <w:rPr>
                <w:rFonts w:hint="eastAsia" w:ascii="宋体" w:hAnsi="宋体" w:cs="宋体"/>
                <w:b w:val="0"/>
                <w:bCs w:val="0"/>
                <w:color w:val="auto"/>
                <w:kern w:val="0"/>
                <w:sz w:val="24"/>
                <w:highlight w:val="none"/>
                <w:lang w:val="en-US" w:eastAsia="zh-CN"/>
              </w:rPr>
              <w:t>其他：</w:t>
            </w:r>
            <w:r>
              <w:rPr>
                <w:rFonts w:hint="eastAsia" w:ascii="宋体" w:hAnsi="宋体" w:cs="宋体"/>
                <w:b w:val="0"/>
                <w:bCs w:val="0"/>
                <w:color w:val="auto"/>
                <w:kern w:val="0"/>
                <w:sz w:val="24"/>
                <w:highlight w:val="none"/>
              </w:rPr>
              <w:t>对于出现中标后无故放弃、提供虚假材料谋取成交、严重偏离合同约定影响项目目标、或因供应商责任导致重大安全事故等严重违约行为的供应商，自违约行为发生之日起两年内</w:t>
            </w:r>
            <w:r>
              <w:rPr>
                <w:rFonts w:hint="eastAsia" w:ascii="宋体" w:hAnsi="宋体" w:cs="宋体"/>
                <w:b w:val="0"/>
                <w:bCs w:val="0"/>
                <w:color w:val="auto"/>
                <w:kern w:val="0"/>
                <w:sz w:val="24"/>
                <w:highlight w:val="none"/>
                <w:lang w:eastAsia="zh-CN"/>
              </w:rPr>
              <w:t>，</w:t>
            </w:r>
            <w:r>
              <w:rPr>
                <w:rFonts w:hint="eastAsia" w:ascii="宋体" w:hAnsi="宋体" w:cs="宋体"/>
                <w:b w:val="0"/>
                <w:bCs w:val="0"/>
                <w:color w:val="auto"/>
                <w:kern w:val="0"/>
                <w:sz w:val="24"/>
                <w:highlight w:val="none"/>
              </w:rPr>
              <w:t>我司及下属子公司所有采购活动</w:t>
            </w:r>
            <w:r>
              <w:rPr>
                <w:rFonts w:hint="eastAsia" w:ascii="宋体" w:hAnsi="宋体" w:cs="宋体"/>
                <w:b w:val="0"/>
                <w:bCs w:val="0"/>
                <w:color w:val="auto"/>
                <w:kern w:val="0"/>
                <w:sz w:val="24"/>
                <w:highlight w:val="none"/>
                <w:lang w:val="en-US" w:eastAsia="zh-CN"/>
              </w:rPr>
              <w:t>时将重点评估上述问题造成的不良影响，并在招标时予以运用。</w:t>
            </w:r>
          </w:p>
        </w:tc>
      </w:tr>
    </w:tbl>
    <w:p w14:paraId="2E5448F2">
      <w:pPr>
        <w:keepNext/>
        <w:keepLines/>
        <w:pageBreakBefore/>
        <w:spacing w:before="260" w:after="260" w:line="400" w:lineRule="exact"/>
        <w:jc w:val="center"/>
        <w:outlineLvl w:val="1"/>
        <w:rPr>
          <w:rFonts w:ascii="宋体" w:hAnsi="宋体" w:cs="宋体"/>
          <w:b/>
          <w:bCs/>
          <w:color w:val="auto"/>
          <w:sz w:val="30"/>
          <w:szCs w:val="32"/>
          <w:highlight w:val="none"/>
        </w:rPr>
      </w:pPr>
      <w:r>
        <w:rPr>
          <w:rFonts w:hint="eastAsia" w:ascii="宋体" w:hAnsi="宋体" w:cs="宋体"/>
          <w:b/>
          <w:bCs/>
          <w:color w:val="auto"/>
          <w:sz w:val="30"/>
          <w:szCs w:val="32"/>
          <w:highlight w:val="none"/>
        </w:rPr>
        <w:t>供应商须知前附表2：资格性、符合性检查表</w:t>
      </w:r>
      <w:bookmarkEnd w:id="9"/>
      <w:bookmarkEnd w:id="10"/>
      <w:bookmarkEnd w:id="11"/>
      <w:bookmarkEnd w:id="12"/>
    </w:p>
    <w:p w14:paraId="531CA90E">
      <w:pPr>
        <w:tabs>
          <w:tab w:val="left" w:pos="1080"/>
        </w:tabs>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本须知前附表2集中列示了资格性、符合性检查的所有条款，其内容是</w:t>
      </w:r>
      <w:r>
        <w:rPr>
          <w:rFonts w:hint="eastAsia" w:ascii="宋体" w:hAnsi="宋体" w:cs="宋体"/>
          <w:color w:val="auto"/>
          <w:sz w:val="24"/>
          <w:highlight w:val="none"/>
          <w:lang w:eastAsia="zh-CN"/>
        </w:rPr>
        <w:t>询价小组</w:t>
      </w:r>
      <w:r>
        <w:rPr>
          <w:rFonts w:hint="eastAsia" w:ascii="宋体" w:hAnsi="宋体" w:cs="宋体"/>
          <w:color w:val="auto"/>
          <w:sz w:val="24"/>
          <w:highlight w:val="none"/>
        </w:rPr>
        <w:t>判断供应商的报价是否有效的重要依据。 </w:t>
      </w:r>
    </w:p>
    <w:tbl>
      <w:tblPr>
        <w:tblStyle w:val="42"/>
        <w:tblW w:w="9957" w:type="dxa"/>
        <w:tblInd w:w="-330" w:type="dxa"/>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0" w:type="dxa"/>
          <w:bottom w:w="0" w:type="dxa"/>
          <w:right w:w="0" w:type="dxa"/>
        </w:tblCellMar>
      </w:tblPr>
      <w:tblGrid>
        <w:gridCol w:w="704"/>
        <w:gridCol w:w="415"/>
        <w:gridCol w:w="1027"/>
        <w:gridCol w:w="7811"/>
      </w:tblGrid>
      <w:tr w14:paraId="01DE6B62">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0" w:type="dxa"/>
            <w:bottom w:w="0" w:type="dxa"/>
            <w:right w:w="0" w:type="dxa"/>
          </w:tblCellMar>
        </w:tblPrEx>
        <w:trPr>
          <w:trHeight w:val="319" w:hRule="atLeast"/>
        </w:trPr>
        <w:tc>
          <w:tcPr>
            <w:tcW w:w="9957" w:type="dxa"/>
            <w:gridSpan w:val="4"/>
            <w:tcMar>
              <w:top w:w="0" w:type="dxa"/>
              <w:left w:w="108" w:type="dxa"/>
              <w:bottom w:w="0" w:type="dxa"/>
              <w:right w:w="108" w:type="dxa"/>
            </w:tcMar>
            <w:vAlign w:val="center"/>
          </w:tcPr>
          <w:p w14:paraId="215F167D">
            <w:pPr>
              <w:widowControl/>
              <w:spacing w:line="440" w:lineRule="exact"/>
              <w:jc w:val="center"/>
              <w:rPr>
                <w:rFonts w:ascii="宋体" w:hAnsi="宋体" w:cs="宋体"/>
                <w:color w:val="auto"/>
                <w:kern w:val="0"/>
                <w:sz w:val="24"/>
                <w:szCs w:val="24"/>
                <w:highlight w:val="none"/>
              </w:rPr>
            </w:pPr>
            <w:bookmarkStart w:id="13" w:name="_Toc398504592"/>
            <w:bookmarkStart w:id="14" w:name="_Toc398284536"/>
            <w:bookmarkStart w:id="15" w:name="_Toc431190640"/>
            <w:bookmarkStart w:id="16" w:name="_Toc526873903"/>
            <w:r>
              <w:rPr>
                <w:rFonts w:hint="eastAsia" w:ascii="宋体" w:hAnsi="宋体" w:cs="宋体"/>
                <w:b/>
                <w:bCs/>
                <w:color w:val="auto"/>
                <w:kern w:val="0"/>
                <w:sz w:val="24"/>
                <w:szCs w:val="24"/>
                <w:highlight w:val="none"/>
              </w:rPr>
              <w:t>资格性要求</w:t>
            </w:r>
          </w:p>
        </w:tc>
      </w:tr>
      <w:tr w14:paraId="578B0B1C">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0" w:type="dxa"/>
            <w:bottom w:w="0" w:type="dxa"/>
            <w:right w:w="0" w:type="dxa"/>
          </w:tblCellMar>
        </w:tblPrEx>
        <w:trPr>
          <w:trHeight w:val="90" w:hRule="atLeast"/>
        </w:trPr>
        <w:tc>
          <w:tcPr>
            <w:tcW w:w="704" w:type="dxa"/>
            <w:tcMar>
              <w:top w:w="0" w:type="dxa"/>
              <w:left w:w="108" w:type="dxa"/>
              <w:bottom w:w="0" w:type="dxa"/>
              <w:right w:w="108" w:type="dxa"/>
            </w:tcMar>
            <w:vAlign w:val="center"/>
          </w:tcPr>
          <w:p w14:paraId="0F7C2518">
            <w:pPr>
              <w:widowControl/>
              <w:spacing w:line="440" w:lineRule="exact"/>
              <w:jc w:val="center"/>
              <w:rPr>
                <w:rFonts w:ascii="宋体" w:hAnsi="宋体" w:cs="宋体"/>
                <w:color w:val="auto"/>
                <w:kern w:val="0"/>
                <w:sz w:val="24"/>
                <w:szCs w:val="24"/>
                <w:highlight w:val="none"/>
              </w:rPr>
            </w:pPr>
            <w:r>
              <w:rPr>
                <w:rFonts w:hint="eastAsia" w:ascii="宋体" w:hAnsi="宋体" w:cs="宋体"/>
                <w:color w:val="auto"/>
                <w:kern w:val="0"/>
                <w:sz w:val="24"/>
                <w:szCs w:val="24"/>
                <w:highlight w:val="none"/>
              </w:rPr>
              <w:t>项号</w:t>
            </w:r>
          </w:p>
        </w:tc>
        <w:tc>
          <w:tcPr>
            <w:tcW w:w="415" w:type="dxa"/>
            <w:tcMar>
              <w:top w:w="0" w:type="dxa"/>
              <w:left w:w="108" w:type="dxa"/>
              <w:bottom w:w="0" w:type="dxa"/>
              <w:right w:w="108" w:type="dxa"/>
            </w:tcMar>
            <w:vAlign w:val="center"/>
          </w:tcPr>
          <w:p w14:paraId="2A405E54">
            <w:pPr>
              <w:widowControl/>
              <w:spacing w:line="440" w:lineRule="exact"/>
              <w:jc w:val="center"/>
              <w:rPr>
                <w:rFonts w:ascii="宋体" w:hAnsi="宋体" w:cs="宋体"/>
                <w:color w:val="auto"/>
                <w:kern w:val="0"/>
                <w:sz w:val="24"/>
                <w:szCs w:val="24"/>
                <w:highlight w:val="none"/>
              </w:rPr>
            </w:pPr>
            <w:r>
              <w:rPr>
                <w:rFonts w:hint="eastAsia" w:ascii="宋体" w:hAnsi="宋体" w:cs="宋体"/>
                <w:color w:val="auto"/>
                <w:kern w:val="0"/>
                <w:sz w:val="24"/>
                <w:szCs w:val="24"/>
                <w:highlight w:val="none"/>
              </w:rPr>
              <w:t>章</w:t>
            </w:r>
          </w:p>
        </w:tc>
        <w:tc>
          <w:tcPr>
            <w:tcW w:w="1027" w:type="dxa"/>
            <w:tcMar>
              <w:top w:w="0" w:type="dxa"/>
              <w:left w:w="108" w:type="dxa"/>
              <w:bottom w:w="0" w:type="dxa"/>
              <w:right w:w="108" w:type="dxa"/>
            </w:tcMar>
            <w:vAlign w:val="center"/>
          </w:tcPr>
          <w:p w14:paraId="5BC29C3B">
            <w:pPr>
              <w:widowControl/>
              <w:spacing w:line="440" w:lineRule="exact"/>
              <w:jc w:val="center"/>
              <w:rPr>
                <w:rFonts w:ascii="宋体" w:hAnsi="宋体" w:cs="宋体"/>
                <w:color w:val="auto"/>
                <w:kern w:val="0"/>
                <w:sz w:val="24"/>
                <w:szCs w:val="24"/>
                <w:highlight w:val="none"/>
              </w:rPr>
            </w:pPr>
            <w:r>
              <w:rPr>
                <w:rFonts w:hint="eastAsia" w:ascii="宋体" w:hAnsi="宋体" w:cs="宋体"/>
                <w:color w:val="auto"/>
                <w:kern w:val="0"/>
                <w:sz w:val="24"/>
                <w:szCs w:val="24"/>
                <w:highlight w:val="none"/>
              </w:rPr>
              <w:t>条款号</w:t>
            </w:r>
          </w:p>
        </w:tc>
        <w:tc>
          <w:tcPr>
            <w:tcW w:w="7811" w:type="dxa"/>
            <w:tcMar>
              <w:top w:w="0" w:type="dxa"/>
              <w:left w:w="108" w:type="dxa"/>
              <w:bottom w:w="0" w:type="dxa"/>
              <w:right w:w="108" w:type="dxa"/>
            </w:tcMar>
            <w:vAlign w:val="center"/>
          </w:tcPr>
          <w:p w14:paraId="3DB71E15">
            <w:pPr>
              <w:widowControl/>
              <w:spacing w:line="440" w:lineRule="exact"/>
              <w:jc w:val="center"/>
              <w:rPr>
                <w:rFonts w:ascii="宋体" w:hAnsi="宋体" w:cs="宋体"/>
                <w:color w:val="auto"/>
                <w:kern w:val="0"/>
                <w:sz w:val="24"/>
                <w:szCs w:val="24"/>
                <w:highlight w:val="none"/>
              </w:rPr>
            </w:pPr>
            <w:r>
              <w:rPr>
                <w:rFonts w:hint="eastAsia" w:ascii="宋体" w:hAnsi="宋体" w:cs="宋体"/>
                <w:color w:val="auto"/>
                <w:kern w:val="0"/>
                <w:sz w:val="24"/>
                <w:szCs w:val="24"/>
                <w:highlight w:val="none"/>
              </w:rPr>
              <w:t>具体内容</w:t>
            </w:r>
          </w:p>
        </w:tc>
      </w:tr>
      <w:tr w14:paraId="69D7006F">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0" w:type="dxa"/>
            <w:bottom w:w="0" w:type="dxa"/>
            <w:right w:w="0" w:type="dxa"/>
          </w:tblCellMar>
        </w:tblPrEx>
        <w:trPr>
          <w:trHeight w:val="321" w:hRule="atLeast"/>
        </w:trPr>
        <w:tc>
          <w:tcPr>
            <w:tcW w:w="704" w:type="dxa"/>
            <w:tcMar>
              <w:top w:w="0" w:type="dxa"/>
              <w:left w:w="108" w:type="dxa"/>
              <w:bottom w:w="0" w:type="dxa"/>
              <w:right w:w="108" w:type="dxa"/>
            </w:tcMar>
            <w:vAlign w:val="center"/>
          </w:tcPr>
          <w:p w14:paraId="75CB8B5A">
            <w:pPr>
              <w:widowControl/>
              <w:spacing w:line="440" w:lineRule="exact"/>
              <w:jc w:val="center"/>
              <w:rPr>
                <w:rFonts w:ascii="宋体" w:hAnsi="宋体" w:cs="宋体"/>
                <w:color w:val="auto"/>
                <w:kern w:val="0"/>
                <w:sz w:val="24"/>
                <w:szCs w:val="24"/>
                <w:highlight w:val="none"/>
              </w:rPr>
            </w:pPr>
            <w:r>
              <w:rPr>
                <w:rFonts w:hint="eastAsia" w:ascii="宋体" w:hAnsi="宋体" w:cs="宋体"/>
                <w:color w:val="auto"/>
                <w:kern w:val="0"/>
                <w:sz w:val="24"/>
                <w:szCs w:val="24"/>
                <w:highlight w:val="none"/>
              </w:rPr>
              <w:t>1</w:t>
            </w:r>
          </w:p>
        </w:tc>
        <w:tc>
          <w:tcPr>
            <w:tcW w:w="415" w:type="dxa"/>
            <w:tcMar>
              <w:top w:w="0" w:type="dxa"/>
              <w:left w:w="108" w:type="dxa"/>
              <w:bottom w:w="0" w:type="dxa"/>
              <w:right w:w="108" w:type="dxa"/>
            </w:tcMar>
            <w:vAlign w:val="center"/>
          </w:tcPr>
          <w:p w14:paraId="3E9E7EA7">
            <w:pPr>
              <w:widowControl/>
              <w:spacing w:line="440" w:lineRule="exact"/>
              <w:jc w:val="center"/>
              <w:rPr>
                <w:rFonts w:ascii="宋体" w:hAnsi="宋体" w:cs="宋体"/>
                <w:color w:val="auto"/>
                <w:kern w:val="0"/>
                <w:sz w:val="24"/>
                <w:szCs w:val="24"/>
                <w:highlight w:val="none"/>
              </w:rPr>
            </w:pPr>
            <w:r>
              <w:rPr>
                <w:rFonts w:hint="eastAsia" w:ascii="宋体" w:hAnsi="宋体" w:cs="宋体"/>
                <w:color w:val="auto"/>
                <w:kern w:val="0"/>
                <w:sz w:val="24"/>
                <w:szCs w:val="24"/>
                <w:highlight w:val="none"/>
              </w:rPr>
              <w:t>二</w:t>
            </w:r>
          </w:p>
        </w:tc>
        <w:tc>
          <w:tcPr>
            <w:tcW w:w="1027" w:type="dxa"/>
            <w:tcMar>
              <w:top w:w="0" w:type="dxa"/>
              <w:left w:w="108" w:type="dxa"/>
              <w:bottom w:w="0" w:type="dxa"/>
              <w:right w:w="108" w:type="dxa"/>
            </w:tcMar>
            <w:vAlign w:val="center"/>
          </w:tcPr>
          <w:p w14:paraId="7F826FB1">
            <w:pPr>
              <w:widowControl/>
              <w:spacing w:line="440" w:lineRule="exact"/>
              <w:jc w:val="center"/>
              <w:rPr>
                <w:rFonts w:ascii="宋体" w:hAnsi="宋体" w:cs="宋体"/>
                <w:color w:val="auto"/>
                <w:kern w:val="0"/>
                <w:sz w:val="24"/>
                <w:szCs w:val="24"/>
                <w:highlight w:val="none"/>
              </w:rPr>
            </w:pPr>
            <w:r>
              <w:rPr>
                <w:rFonts w:hint="eastAsia" w:ascii="宋体" w:hAnsi="宋体" w:cs="宋体"/>
                <w:color w:val="auto"/>
                <w:kern w:val="0"/>
                <w:sz w:val="24"/>
                <w:szCs w:val="24"/>
                <w:highlight w:val="none"/>
              </w:rPr>
              <w:t>3</w:t>
            </w:r>
          </w:p>
        </w:tc>
        <w:tc>
          <w:tcPr>
            <w:tcW w:w="7811" w:type="dxa"/>
            <w:tcMar>
              <w:top w:w="0" w:type="dxa"/>
              <w:left w:w="108" w:type="dxa"/>
              <w:bottom w:w="0" w:type="dxa"/>
              <w:right w:w="108" w:type="dxa"/>
            </w:tcMar>
            <w:vAlign w:val="top"/>
          </w:tcPr>
          <w:p w14:paraId="24E80C5D">
            <w:pPr>
              <w:spacing w:line="440" w:lineRule="exact"/>
              <w:rPr>
                <w:rFonts w:ascii="宋体" w:hAnsi="宋体" w:cs="宋体"/>
                <w:color w:val="auto"/>
                <w:sz w:val="24"/>
                <w:szCs w:val="24"/>
                <w:highlight w:val="none"/>
              </w:rPr>
            </w:pPr>
            <w:r>
              <w:rPr>
                <w:rFonts w:hint="eastAsia" w:ascii="宋体" w:hAnsi="宋体" w:cs="宋体"/>
                <w:color w:val="auto"/>
                <w:sz w:val="24"/>
                <w:szCs w:val="24"/>
                <w:highlight w:val="none"/>
              </w:rPr>
              <w:t>合格的供应商：具体内容详见第二章第 3 条“合格的供应商 ”</w:t>
            </w:r>
          </w:p>
        </w:tc>
      </w:tr>
      <w:tr w14:paraId="3FBC7FD8">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0" w:type="dxa"/>
            <w:bottom w:w="0" w:type="dxa"/>
            <w:right w:w="0" w:type="dxa"/>
          </w:tblCellMar>
        </w:tblPrEx>
        <w:trPr>
          <w:trHeight w:val="310" w:hRule="atLeast"/>
        </w:trPr>
        <w:tc>
          <w:tcPr>
            <w:tcW w:w="704" w:type="dxa"/>
            <w:tcMar>
              <w:top w:w="0" w:type="dxa"/>
              <w:left w:w="108" w:type="dxa"/>
              <w:bottom w:w="0" w:type="dxa"/>
              <w:right w:w="108" w:type="dxa"/>
            </w:tcMar>
            <w:vAlign w:val="center"/>
          </w:tcPr>
          <w:p w14:paraId="5D59B14C">
            <w:pPr>
              <w:widowControl/>
              <w:spacing w:line="440" w:lineRule="exact"/>
              <w:jc w:val="center"/>
              <w:rPr>
                <w:rFonts w:ascii="宋体" w:hAnsi="宋体" w:cs="宋体"/>
                <w:color w:val="auto"/>
                <w:kern w:val="0"/>
                <w:sz w:val="24"/>
                <w:szCs w:val="24"/>
                <w:highlight w:val="none"/>
              </w:rPr>
            </w:pPr>
            <w:r>
              <w:rPr>
                <w:rFonts w:hint="eastAsia" w:ascii="宋体" w:hAnsi="宋体" w:cs="宋体"/>
                <w:color w:val="auto"/>
                <w:kern w:val="0"/>
                <w:sz w:val="24"/>
                <w:szCs w:val="24"/>
                <w:highlight w:val="none"/>
              </w:rPr>
              <w:t>2</w:t>
            </w:r>
          </w:p>
        </w:tc>
        <w:tc>
          <w:tcPr>
            <w:tcW w:w="415" w:type="dxa"/>
            <w:tcMar>
              <w:top w:w="0" w:type="dxa"/>
              <w:left w:w="108" w:type="dxa"/>
              <w:bottom w:w="0" w:type="dxa"/>
              <w:right w:w="108" w:type="dxa"/>
            </w:tcMar>
            <w:vAlign w:val="center"/>
          </w:tcPr>
          <w:p w14:paraId="0B25144E">
            <w:pPr>
              <w:widowControl/>
              <w:spacing w:line="440" w:lineRule="exact"/>
              <w:jc w:val="center"/>
              <w:rPr>
                <w:rFonts w:ascii="宋体" w:hAnsi="宋体" w:cs="宋体"/>
                <w:color w:val="auto"/>
                <w:kern w:val="0"/>
                <w:sz w:val="24"/>
                <w:szCs w:val="24"/>
                <w:highlight w:val="none"/>
              </w:rPr>
            </w:pPr>
            <w:r>
              <w:rPr>
                <w:rFonts w:hint="eastAsia" w:ascii="宋体" w:hAnsi="宋体" w:cs="宋体"/>
                <w:color w:val="auto"/>
                <w:kern w:val="0"/>
                <w:sz w:val="24"/>
                <w:szCs w:val="24"/>
                <w:highlight w:val="none"/>
              </w:rPr>
              <w:t>二</w:t>
            </w:r>
          </w:p>
        </w:tc>
        <w:tc>
          <w:tcPr>
            <w:tcW w:w="1027" w:type="dxa"/>
            <w:tcMar>
              <w:top w:w="0" w:type="dxa"/>
              <w:left w:w="108" w:type="dxa"/>
              <w:bottom w:w="0" w:type="dxa"/>
              <w:right w:w="108" w:type="dxa"/>
            </w:tcMar>
            <w:vAlign w:val="center"/>
          </w:tcPr>
          <w:p w14:paraId="589AA2AE">
            <w:pPr>
              <w:widowControl/>
              <w:spacing w:line="440" w:lineRule="exact"/>
              <w:jc w:val="center"/>
              <w:rPr>
                <w:rFonts w:ascii="宋体" w:hAnsi="宋体" w:cs="宋体"/>
                <w:color w:val="auto"/>
                <w:kern w:val="0"/>
                <w:sz w:val="24"/>
                <w:szCs w:val="24"/>
                <w:highlight w:val="none"/>
              </w:rPr>
            </w:pPr>
            <w:r>
              <w:rPr>
                <w:rFonts w:hint="eastAsia" w:ascii="宋体" w:hAnsi="宋体" w:cs="宋体"/>
                <w:color w:val="auto"/>
                <w:kern w:val="0"/>
                <w:sz w:val="24"/>
                <w:szCs w:val="24"/>
                <w:highlight w:val="none"/>
              </w:rPr>
              <w:t>3.1</w:t>
            </w:r>
          </w:p>
        </w:tc>
        <w:tc>
          <w:tcPr>
            <w:tcW w:w="7811" w:type="dxa"/>
            <w:tcMar>
              <w:top w:w="0" w:type="dxa"/>
              <w:left w:w="108" w:type="dxa"/>
              <w:bottom w:w="0" w:type="dxa"/>
              <w:right w:w="108" w:type="dxa"/>
            </w:tcMar>
            <w:vAlign w:val="top"/>
          </w:tcPr>
          <w:p w14:paraId="71DE9764">
            <w:pPr>
              <w:pStyle w:val="95"/>
              <w:spacing w:before="154" w:line="440" w:lineRule="exact"/>
              <w:ind w:right="23" w:firstLine="510" w:firstLineChars="200"/>
              <w:rPr>
                <w:color w:val="auto"/>
                <w:spacing w:val="7"/>
                <w:highlight w:val="none"/>
                <w:lang w:eastAsia="zh-CN"/>
              </w:rPr>
            </w:pPr>
            <w:r>
              <w:rPr>
                <w:rFonts w:hint="eastAsia"/>
                <w:b/>
                <w:bCs/>
                <w:color w:val="auto"/>
                <w:spacing w:val="7"/>
                <w:highlight w:val="none"/>
                <w:lang w:eastAsia="zh-CN"/>
              </w:rPr>
              <w:t>参加政府采购活动的询价供应商应当具备《中华人民共和国政府采购法》第</w:t>
            </w:r>
            <w:r>
              <w:rPr>
                <w:rFonts w:hint="eastAsia"/>
                <w:b/>
                <w:bCs/>
                <w:color w:val="auto"/>
                <w:spacing w:val="7"/>
                <w:highlight w:val="none"/>
                <w:lang w:val="en-US" w:eastAsia="zh-CN"/>
              </w:rPr>
              <w:t>十七</w:t>
            </w:r>
            <w:r>
              <w:rPr>
                <w:rFonts w:hint="eastAsia"/>
                <w:b/>
                <w:bCs/>
                <w:color w:val="auto"/>
                <w:spacing w:val="7"/>
                <w:highlight w:val="none"/>
                <w:lang w:eastAsia="zh-CN"/>
              </w:rPr>
              <w:t>条第一款规定的条件，提供下列材料：</w:t>
            </w:r>
          </w:p>
          <w:p w14:paraId="5DE55640">
            <w:pPr>
              <w:numPr>
                <w:ilvl w:val="0"/>
                <w:numId w:val="10"/>
              </w:numPr>
              <w:spacing w:line="360" w:lineRule="auto"/>
              <w:ind w:firstLine="480" w:firstLineChars="200"/>
              <w:rPr>
                <w:rFonts w:hint="eastAsia" w:ascii="宋体" w:hAnsi="宋体" w:cs="宋体"/>
                <w:color w:val="auto"/>
                <w:sz w:val="24"/>
                <w:szCs w:val="24"/>
                <w:highlight w:val="none"/>
                <w:lang w:eastAsia="zh-CN"/>
              </w:rPr>
            </w:pPr>
            <w:r>
              <w:rPr>
                <w:rFonts w:hint="eastAsia" w:ascii="宋体" w:hAnsi="宋体" w:eastAsia="宋体" w:cs="宋体"/>
                <w:color w:val="auto"/>
                <w:sz w:val="24"/>
                <w:szCs w:val="24"/>
                <w:highlight w:val="none"/>
              </w:rPr>
              <w:t>营业执照等证明文件：</w:t>
            </w:r>
            <w:r>
              <w:rPr>
                <w:rFonts w:hint="eastAsia" w:ascii="宋体" w:hAnsi="宋体" w:cs="宋体"/>
                <w:color w:val="auto"/>
                <w:sz w:val="24"/>
                <w:szCs w:val="24"/>
                <w:highlight w:val="none"/>
                <w:lang w:eastAsia="zh-CN"/>
              </w:rPr>
              <w:t>供应商</w:t>
            </w:r>
            <w:r>
              <w:rPr>
                <w:rFonts w:hint="eastAsia" w:ascii="宋体" w:hAnsi="宋体" w:eastAsia="宋体" w:cs="宋体"/>
                <w:color w:val="auto"/>
                <w:sz w:val="24"/>
                <w:szCs w:val="24"/>
                <w:highlight w:val="none"/>
              </w:rPr>
              <w:t>应具有独立承担民事责任的能力，营业执照处于有效期内，并提供营业执照等证明文件的复印件</w:t>
            </w:r>
          </w:p>
          <w:p w14:paraId="4BED2A6F">
            <w:pPr>
              <w:numPr>
                <w:ilvl w:val="0"/>
                <w:numId w:val="10"/>
              </w:num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lang w:val="en-US" w:eastAsia="zh-CN"/>
              </w:rPr>
              <w:t>供应商</w:t>
            </w:r>
            <w:r>
              <w:rPr>
                <w:rFonts w:hint="eastAsia" w:ascii="宋体" w:hAnsi="宋体" w:eastAsia="宋体" w:cs="宋体"/>
                <w:color w:val="auto"/>
                <w:sz w:val="24"/>
                <w:szCs w:val="24"/>
                <w:highlight w:val="none"/>
                <w:lang w:val="en-US" w:eastAsia="zh-CN"/>
              </w:rPr>
              <w:t>具备公安机关核发的保安服务许可证，须提供有效证书复印件并加盖供应商公章</w:t>
            </w:r>
            <w:r>
              <w:rPr>
                <w:rFonts w:hint="eastAsia" w:ascii="宋体" w:hAnsi="宋体" w:cs="宋体"/>
                <w:color w:val="auto"/>
                <w:sz w:val="24"/>
                <w:szCs w:val="24"/>
                <w:highlight w:val="none"/>
                <w:lang w:val="en-US" w:eastAsia="zh-CN"/>
              </w:rPr>
              <w:t>。</w:t>
            </w:r>
          </w:p>
          <w:p w14:paraId="737DDEA7">
            <w:pPr>
              <w:numPr>
                <w:ilvl w:val="0"/>
                <w:numId w:val="10"/>
              </w:numPr>
              <w:spacing w:line="360" w:lineRule="auto"/>
              <w:ind w:firstLine="480" w:firstLineChars="200"/>
              <w:rPr>
                <w:rFonts w:ascii="宋体" w:hAnsi="宋体" w:cs="宋体"/>
                <w:color w:val="auto"/>
                <w:sz w:val="24"/>
                <w:szCs w:val="24"/>
                <w:highlight w:val="none"/>
              </w:rPr>
            </w:pPr>
            <w:r>
              <w:rPr>
                <w:rFonts w:hint="eastAsia" w:ascii="宋体" w:hAnsi="宋体" w:cs="宋体"/>
                <w:color w:val="auto"/>
                <w:kern w:val="0"/>
                <w:sz w:val="24"/>
                <w:szCs w:val="24"/>
                <w:highlight w:val="none"/>
              </w:rPr>
              <w:t>单位负责人授权书（若有）：若</w:t>
            </w:r>
            <w:r>
              <w:rPr>
                <w:rFonts w:hint="eastAsia" w:ascii="宋体" w:hAnsi="宋体" w:cs="宋体"/>
                <w:color w:val="auto"/>
                <w:kern w:val="0"/>
                <w:sz w:val="24"/>
                <w:szCs w:val="24"/>
                <w:highlight w:val="none"/>
                <w:lang w:eastAsia="zh-CN"/>
              </w:rPr>
              <w:t>供应商</w:t>
            </w:r>
            <w:r>
              <w:rPr>
                <w:rFonts w:hint="eastAsia" w:ascii="宋体" w:hAnsi="宋体" w:cs="宋体"/>
                <w:color w:val="auto"/>
                <w:kern w:val="0"/>
                <w:sz w:val="24"/>
                <w:szCs w:val="24"/>
                <w:highlight w:val="none"/>
              </w:rPr>
              <w:t>代表为单位负责人授权的委托代理人，应提供本授权书；若</w:t>
            </w:r>
            <w:r>
              <w:rPr>
                <w:rFonts w:hint="eastAsia" w:ascii="宋体" w:hAnsi="宋体" w:cs="宋体"/>
                <w:color w:val="auto"/>
                <w:kern w:val="0"/>
                <w:sz w:val="24"/>
                <w:szCs w:val="24"/>
                <w:highlight w:val="none"/>
                <w:lang w:eastAsia="zh-CN"/>
              </w:rPr>
              <w:t>供应商</w:t>
            </w:r>
            <w:r>
              <w:rPr>
                <w:rFonts w:hint="eastAsia" w:ascii="宋体" w:hAnsi="宋体" w:cs="宋体"/>
                <w:color w:val="auto"/>
                <w:kern w:val="0"/>
                <w:sz w:val="24"/>
                <w:szCs w:val="24"/>
                <w:highlight w:val="none"/>
              </w:rPr>
              <w:t>代表为单位负责人，无需提供本授权书</w:t>
            </w:r>
            <w:r>
              <w:rPr>
                <w:rFonts w:hint="eastAsia" w:ascii="宋体" w:hAnsi="宋体" w:cs="宋体"/>
                <w:color w:val="auto"/>
                <w:sz w:val="24"/>
                <w:szCs w:val="24"/>
                <w:highlight w:val="none"/>
              </w:rPr>
              <w:t>。</w:t>
            </w:r>
          </w:p>
          <w:p w14:paraId="4784E190">
            <w:pPr>
              <w:spacing w:line="360" w:lineRule="auto"/>
              <w:ind w:firstLine="480" w:firstLineChars="200"/>
              <w:rPr>
                <w:rFonts w:ascii="宋体" w:hAnsi="宋体" w:cs="宋体"/>
                <w:color w:val="auto"/>
                <w:kern w:val="0"/>
                <w:sz w:val="24"/>
                <w:szCs w:val="24"/>
                <w:highlight w:val="none"/>
              </w:rPr>
            </w:pPr>
            <w:r>
              <w:rPr>
                <w:rFonts w:hint="eastAsia" w:ascii="宋体" w:hAnsi="宋体" w:cs="宋体"/>
                <w:color w:val="auto"/>
                <w:kern w:val="0"/>
                <w:sz w:val="24"/>
                <w:szCs w:val="24"/>
                <w:highlight w:val="none"/>
                <w:lang w:val="en-US" w:eastAsia="zh-CN"/>
              </w:rPr>
              <w:t>4</w:t>
            </w:r>
            <w:r>
              <w:rPr>
                <w:rFonts w:hint="eastAsia" w:ascii="宋体" w:hAnsi="宋体" w:cs="宋体"/>
                <w:color w:val="auto"/>
                <w:kern w:val="0"/>
                <w:sz w:val="24"/>
                <w:szCs w:val="24"/>
                <w:highlight w:val="none"/>
              </w:rPr>
              <w:t>、财务状况报告：</w:t>
            </w:r>
            <w:r>
              <w:rPr>
                <w:rFonts w:hint="eastAsia" w:ascii="宋体" w:hAnsi="宋体" w:cs="宋体"/>
                <w:color w:val="auto"/>
                <w:kern w:val="0"/>
                <w:sz w:val="24"/>
                <w:szCs w:val="24"/>
                <w:highlight w:val="none"/>
                <w:lang w:eastAsia="zh-CN"/>
              </w:rPr>
              <w:t>供应商</w:t>
            </w:r>
            <w:r>
              <w:rPr>
                <w:rFonts w:hint="eastAsia" w:ascii="宋体" w:hAnsi="宋体" w:cs="宋体"/>
                <w:color w:val="auto"/>
                <w:kern w:val="0"/>
                <w:sz w:val="24"/>
                <w:szCs w:val="24"/>
                <w:highlight w:val="none"/>
              </w:rPr>
              <w:t>应提供上一年度（</w:t>
            </w:r>
            <w:r>
              <w:rPr>
                <w:rFonts w:hint="eastAsia" w:ascii="宋体" w:hAnsi="宋体" w:cs="宋体"/>
                <w:color w:val="auto"/>
                <w:kern w:val="0"/>
                <w:sz w:val="24"/>
                <w:szCs w:val="24"/>
                <w:highlight w:val="none"/>
                <w:lang w:eastAsia="zh-CN"/>
              </w:rPr>
              <w:t>响应</w:t>
            </w:r>
            <w:r>
              <w:rPr>
                <w:rFonts w:hint="eastAsia" w:ascii="宋体" w:hAnsi="宋体" w:cs="宋体"/>
                <w:color w:val="auto"/>
                <w:kern w:val="0"/>
                <w:sz w:val="24"/>
                <w:szCs w:val="24"/>
                <w:highlight w:val="none"/>
              </w:rPr>
              <w:t>截止时间为1-6月的也可提供上上年度）财务报告复印件或银行资信证明复印件或</w:t>
            </w:r>
            <w:r>
              <w:rPr>
                <w:rFonts w:hint="eastAsia" w:ascii="宋体" w:hAnsi="宋体" w:cs="宋体"/>
                <w:color w:val="auto"/>
                <w:kern w:val="0"/>
                <w:sz w:val="24"/>
                <w:szCs w:val="24"/>
                <w:highlight w:val="none"/>
                <w:lang w:eastAsia="zh-CN"/>
              </w:rPr>
              <w:t>询价</w:t>
            </w:r>
            <w:r>
              <w:rPr>
                <w:rFonts w:hint="eastAsia" w:ascii="宋体" w:hAnsi="宋体" w:cs="宋体"/>
                <w:color w:val="auto"/>
                <w:kern w:val="0"/>
                <w:sz w:val="24"/>
                <w:szCs w:val="24"/>
                <w:highlight w:val="none"/>
              </w:rPr>
              <w:t>担保函复印件。</w:t>
            </w:r>
          </w:p>
          <w:p w14:paraId="0242865C">
            <w:pPr>
              <w:pStyle w:val="15"/>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lang w:val="en-US" w:eastAsia="zh-CN"/>
              </w:rPr>
              <w:t>5</w:t>
            </w:r>
            <w:r>
              <w:rPr>
                <w:rFonts w:hint="eastAsia" w:ascii="宋体" w:hAnsi="宋体" w:cs="宋体"/>
                <w:color w:val="auto"/>
                <w:sz w:val="24"/>
                <w:highlight w:val="none"/>
              </w:rPr>
              <w:t>、依法缴纳税收证明材料：</w:t>
            </w:r>
            <w:r>
              <w:rPr>
                <w:rFonts w:hint="eastAsia" w:ascii="宋体" w:hAnsi="宋体" w:cs="宋体"/>
                <w:color w:val="auto"/>
                <w:sz w:val="24"/>
                <w:highlight w:val="none"/>
                <w:lang w:eastAsia="zh-CN"/>
              </w:rPr>
              <w:t>供应商</w:t>
            </w:r>
            <w:r>
              <w:rPr>
                <w:rFonts w:hint="eastAsia" w:ascii="宋体" w:hAnsi="宋体" w:cs="宋体"/>
                <w:color w:val="auto"/>
                <w:sz w:val="24"/>
                <w:highlight w:val="none"/>
              </w:rPr>
              <w:t>应提供</w:t>
            </w:r>
            <w:r>
              <w:rPr>
                <w:rFonts w:hint="eastAsia" w:ascii="宋体" w:hAnsi="宋体" w:cs="宋体"/>
                <w:color w:val="auto"/>
                <w:sz w:val="24"/>
                <w:highlight w:val="none"/>
                <w:lang w:eastAsia="zh-CN"/>
              </w:rPr>
              <w:t>响应</w:t>
            </w:r>
            <w:r>
              <w:rPr>
                <w:rFonts w:hint="eastAsia" w:ascii="宋体" w:hAnsi="宋体" w:cs="宋体"/>
                <w:color w:val="auto"/>
                <w:sz w:val="24"/>
                <w:highlight w:val="none"/>
              </w:rPr>
              <w:t>截止时间前六个月（不含</w:t>
            </w:r>
            <w:r>
              <w:rPr>
                <w:rFonts w:hint="eastAsia" w:ascii="宋体" w:hAnsi="宋体" w:cs="宋体"/>
                <w:color w:val="auto"/>
                <w:sz w:val="24"/>
                <w:highlight w:val="none"/>
                <w:lang w:eastAsia="zh-CN"/>
              </w:rPr>
              <w:t>响应</w:t>
            </w:r>
            <w:r>
              <w:rPr>
                <w:rFonts w:hint="eastAsia" w:ascii="宋体" w:hAnsi="宋体" w:cs="宋体"/>
                <w:color w:val="auto"/>
                <w:sz w:val="24"/>
                <w:highlight w:val="none"/>
              </w:rPr>
              <w:t>截止时间的当月）中任一月份依法缴纳税收的证明复印件，享受税收减免政策或因疫情影响享受缓缴或免缴税款的企业，提供依法缴纳税收承诺书原件（格式自拟）。</w:t>
            </w:r>
          </w:p>
          <w:p w14:paraId="6D4DC6E6">
            <w:pPr>
              <w:spacing w:line="360" w:lineRule="auto"/>
              <w:ind w:firstLine="480" w:firstLineChars="200"/>
              <w:rPr>
                <w:rFonts w:ascii="宋体" w:hAnsi="宋体" w:cs="宋体"/>
                <w:color w:val="auto"/>
                <w:sz w:val="24"/>
                <w:szCs w:val="24"/>
                <w:highlight w:val="none"/>
              </w:rPr>
            </w:pPr>
            <w:r>
              <w:rPr>
                <w:rFonts w:hint="eastAsia" w:ascii="宋体" w:hAnsi="宋体" w:cs="宋体"/>
                <w:color w:val="auto"/>
                <w:kern w:val="0"/>
                <w:sz w:val="24"/>
                <w:szCs w:val="24"/>
                <w:highlight w:val="none"/>
                <w:lang w:val="en-US" w:eastAsia="zh-CN"/>
              </w:rPr>
              <w:t>6</w:t>
            </w:r>
            <w:r>
              <w:rPr>
                <w:rFonts w:hint="eastAsia" w:ascii="宋体" w:hAnsi="宋体" w:cs="宋体"/>
                <w:color w:val="auto"/>
                <w:kern w:val="0"/>
                <w:sz w:val="24"/>
                <w:szCs w:val="24"/>
                <w:highlight w:val="none"/>
              </w:rPr>
              <w:t>、依法缴纳社会保障资金证明材料：</w:t>
            </w:r>
            <w:r>
              <w:rPr>
                <w:rFonts w:hint="eastAsia" w:ascii="宋体" w:hAnsi="宋体" w:cs="宋体"/>
                <w:color w:val="auto"/>
                <w:kern w:val="0"/>
                <w:sz w:val="24"/>
                <w:szCs w:val="24"/>
                <w:highlight w:val="none"/>
                <w:lang w:eastAsia="zh-CN"/>
              </w:rPr>
              <w:t>供应商</w:t>
            </w:r>
            <w:r>
              <w:rPr>
                <w:rFonts w:hint="eastAsia" w:ascii="宋体" w:hAnsi="宋体" w:cs="宋体"/>
                <w:color w:val="auto"/>
                <w:kern w:val="0"/>
                <w:sz w:val="24"/>
                <w:szCs w:val="24"/>
                <w:highlight w:val="none"/>
              </w:rPr>
              <w:t>应提供</w:t>
            </w:r>
            <w:r>
              <w:rPr>
                <w:rFonts w:hint="eastAsia" w:ascii="宋体" w:hAnsi="宋体" w:cs="宋体"/>
                <w:color w:val="auto"/>
                <w:kern w:val="0"/>
                <w:sz w:val="24"/>
                <w:szCs w:val="24"/>
                <w:highlight w:val="none"/>
                <w:lang w:eastAsia="zh-CN"/>
              </w:rPr>
              <w:t>响应</w:t>
            </w:r>
            <w:r>
              <w:rPr>
                <w:rFonts w:hint="eastAsia" w:ascii="宋体" w:hAnsi="宋体" w:cs="宋体"/>
                <w:color w:val="auto"/>
                <w:kern w:val="0"/>
                <w:sz w:val="24"/>
                <w:szCs w:val="24"/>
                <w:highlight w:val="none"/>
              </w:rPr>
              <w:t>截止时间前六个月（不含</w:t>
            </w:r>
            <w:r>
              <w:rPr>
                <w:rFonts w:hint="eastAsia" w:ascii="宋体" w:hAnsi="宋体" w:cs="宋体"/>
                <w:color w:val="auto"/>
                <w:kern w:val="0"/>
                <w:sz w:val="24"/>
                <w:szCs w:val="24"/>
                <w:highlight w:val="none"/>
                <w:lang w:eastAsia="zh-CN"/>
              </w:rPr>
              <w:t>响应</w:t>
            </w:r>
            <w:r>
              <w:rPr>
                <w:rFonts w:hint="eastAsia" w:ascii="宋体" w:hAnsi="宋体" w:cs="宋体"/>
                <w:color w:val="auto"/>
                <w:kern w:val="0"/>
                <w:sz w:val="24"/>
                <w:szCs w:val="24"/>
                <w:highlight w:val="none"/>
              </w:rPr>
              <w:t>截止时间的当月）中任一月份依法缴纳社会保障资金的证明复印件，享受社保减免政策或因疫情影响享受缓缴或免缴社保的企业，提供依法缴纳社会保障资金承诺书原件（格式自拟）。</w:t>
            </w:r>
          </w:p>
          <w:p w14:paraId="5C9937F7">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lang w:val="en-US" w:eastAsia="zh-CN"/>
              </w:rPr>
              <w:t>7</w:t>
            </w:r>
            <w:r>
              <w:rPr>
                <w:rFonts w:hint="eastAsia" w:ascii="宋体" w:hAnsi="宋体" w:cs="宋体"/>
                <w:color w:val="auto"/>
                <w:sz w:val="24"/>
                <w:szCs w:val="24"/>
                <w:highlight w:val="none"/>
              </w:rPr>
              <w:t>、</w:t>
            </w:r>
            <w:r>
              <w:rPr>
                <w:rFonts w:hint="eastAsia" w:ascii="宋体" w:hAnsi="宋体" w:cs="宋体"/>
                <w:color w:val="auto"/>
                <w:kern w:val="0"/>
                <w:sz w:val="24"/>
                <w:szCs w:val="24"/>
                <w:highlight w:val="none"/>
                <w:lang w:eastAsia="zh-CN"/>
              </w:rPr>
              <w:t>供应商</w:t>
            </w:r>
            <w:r>
              <w:rPr>
                <w:rFonts w:hint="eastAsia" w:ascii="宋体" w:hAnsi="宋体" w:cs="宋体"/>
                <w:color w:val="auto"/>
                <w:kern w:val="0"/>
                <w:sz w:val="24"/>
                <w:szCs w:val="24"/>
                <w:highlight w:val="none"/>
              </w:rPr>
              <w:t>应提供具备履行合同所必需设备和专业技术能力的声明函</w:t>
            </w:r>
            <w:r>
              <w:rPr>
                <w:rFonts w:hint="eastAsia" w:ascii="宋体" w:hAnsi="宋体" w:cs="宋体"/>
                <w:color w:val="auto"/>
                <w:sz w:val="24"/>
                <w:szCs w:val="24"/>
                <w:highlight w:val="none"/>
              </w:rPr>
              <w:t>；</w:t>
            </w:r>
          </w:p>
          <w:p w14:paraId="47E528F7">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lang w:val="en-US" w:eastAsia="zh-CN"/>
              </w:rPr>
              <w:t>8</w:t>
            </w:r>
            <w:r>
              <w:rPr>
                <w:rFonts w:hint="eastAsia" w:ascii="宋体" w:hAnsi="宋体" w:cs="宋体"/>
                <w:color w:val="auto"/>
                <w:sz w:val="24"/>
                <w:szCs w:val="24"/>
                <w:highlight w:val="none"/>
              </w:rPr>
              <w:t>、</w:t>
            </w:r>
            <w:r>
              <w:rPr>
                <w:rFonts w:hint="eastAsia" w:ascii="宋体" w:hAnsi="宋体" w:cs="宋体"/>
                <w:color w:val="auto"/>
                <w:kern w:val="0"/>
                <w:sz w:val="24"/>
                <w:szCs w:val="24"/>
                <w:highlight w:val="none"/>
                <w:lang w:eastAsia="zh-CN"/>
              </w:rPr>
              <w:t>供应商</w:t>
            </w:r>
            <w:r>
              <w:rPr>
                <w:rFonts w:hint="eastAsia" w:ascii="宋体" w:hAnsi="宋体" w:cs="宋体"/>
                <w:color w:val="auto"/>
                <w:kern w:val="0"/>
                <w:sz w:val="24"/>
                <w:szCs w:val="24"/>
                <w:highlight w:val="none"/>
              </w:rPr>
              <w:t>应提供</w:t>
            </w:r>
            <w:r>
              <w:rPr>
                <w:rFonts w:hint="eastAsia" w:ascii="宋体" w:hAnsi="宋体" w:cs="宋体"/>
                <w:color w:val="auto"/>
                <w:sz w:val="24"/>
                <w:szCs w:val="24"/>
                <w:highlight w:val="none"/>
              </w:rPr>
              <w:t>参加本次采购活动前三年内在经营活动中没有重大违法记录的声明函；</w:t>
            </w:r>
          </w:p>
          <w:p w14:paraId="2FE30B24">
            <w:pPr>
              <w:spacing w:line="440" w:lineRule="exact"/>
              <w:ind w:firstLine="482" w:firstLineChars="200"/>
              <w:rPr>
                <w:rFonts w:ascii="宋体" w:hAnsi="宋体" w:cs="宋体"/>
                <w:color w:val="auto"/>
                <w:sz w:val="24"/>
                <w:szCs w:val="24"/>
                <w:highlight w:val="none"/>
              </w:rPr>
            </w:pPr>
            <w:r>
              <w:rPr>
                <w:rFonts w:hint="eastAsia" w:ascii="宋体" w:hAnsi="宋体" w:cs="宋体"/>
                <w:b/>
                <w:bCs/>
                <w:color w:val="auto"/>
                <w:sz w:val="24"/>
                <w:szCs w:val="24"/>
                <w:highlight w:val="none"/>
              </w:rPr>
              <w:t>注：本项目允许采用“资格承诺制”，根据《福建省财政厅关于印发推行政府采购供应商资格承诺制指导意见的通知》(闽财购(2024)6号)规定，响应供应商在响应文件中提供《福建省政府采购供应商资格承诺函》的，可不提供《中华人民共和国政府采购法实施条例》第</w:t>
            </w:r>
            <w:r>
              <w:rPr>
                <w:rFonts w:hint="eastAsia" w:ascii="宋体" w:hAnsi="宋体" w:cs="宋体"/>
                <w:b/>
                <w:bCs/>
                <w:color w:val="auto"/>
                <w:sz w:val="24"/>
                <w:szCs w:val="24"/>
                <w:highlight w:val="none"/>
                <w:lang w:val="en-US" w:eastAsia="zh-CN"/>
              </w:rPr>
              <w:t>十七</w:t>
            </w:r>
            <w:r>
              <w:rPr>
                <w:rFonts w:hint="eastAsia" w:ascii="宋体" w:hAnsi="宋体" w:cs="宋体"/>
                <w:b/>
                <w:bCs/>
                <w:color w:val="auto"/>
                <w:sz w:val="24"/>
                <w:szCs w:val="24"/>
                <w:highlight w:val="none"/>
              </w:rPr>
              <w:t>条第一款规定的资格条件证明材料，承诺函格式详见第五章响应文件格式。响应供应商应当遵循诚实信用原则，并对其承诺内容的真实性、合法性、有效性负责。响应供应商承诺不实的，属于提供虚假材料谋取中标、成交，依照《中华人民共和国政府采购法》第七十七条和政府采购法律法规有关规定处理。响应供应商可自行选择是否提供资格承诺函，若不提供资格承诺函的，应按</w:t>
            </w:r>
            <w:r>
              <w:rPr>
                <w:rFonts w:hint="eastAsia" w:ascii="宋体" w:hAnsi="宋体" w:cs="宋体"/>
                <w:b/>
                <w:bCs/>
                <w:color w:val="auto"/>
                <w:sz w:val="24"/>
                <w:szCs w:val="24"/>
                <w:highlight w:val="none"/>
                <w:lang w:eastAsia="zh-CN"/>
              </w:rPr>
              <w:t>询价文件</w:t>
            </w:r>
            <w:r>
              <w:rPr>
                <w:rFonts w:hint="eastAsia" w:ascii="宋体" w:hAnsi="宋体" w:cs="宋体"/>
                <w:b/>
                <w:bCs/>
                <w:color w:val="auto"/>
                <w:sz w:val="24"/>
                <w:szCs w:val="24"/>
                <w:highlight w:val="none"/>
              </w:rPr>
              <w:t>要求提供相应的证明材料。</w:t>
            </w:r>
          </w:p>
          <w:p w14:paraId="487FCAD2">
            <w:pPr>
              <w:spacing w:line="44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lang w:val="en-US" w:eastAsia="zh-CN"/>
              </w:rPr>
              <w:t>9</w:t>
            </w:r>
            <w:r>
              <w:rPr>
                <w:rFonts w:hint="eastAsia" w:ascii="宋体" w:hAnsi="宋体" w:cs="宋体"/>
                <w:color w:val="auto"/>
                <w:sz w:val="24"/>
                <w:szCs w:val="24"/>
                <w:highlight w:val="none"/>
              </w:rPr>
              <w:t>、信用信息查询渠道：通过“信用中国”网站（www.creditchina.gov.cn）、中国政府采购网（www.ccgp.gov.cn）、“信用厦门”网站（credit.xm.gov.cn）查询所有供应商的信用信息。 因查询渠道网站原因导致查无供应商信息的，不认定供应商资格审查不合格；评审结束后，通过其他渠道发现供应商存在不良信用记录的，不认定为资格审查错误，将依照有关规定进行调查处理。供应商无需提供信用信息查询结果。若供应商自行提供查询结果的，仍以评审当天查询结果为准。</w:t>
            </w:r>
          </w:p>
          <w:p w14:paraId="49461F0B">
            <w:pPr>
              <w:spacing w:line="44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lang w:val="en-US" w:eastAsia="zh-CN"/>
              </w:rPr>
              <w:t>10</w:t>
            </w:r>
            <w:r>
              <w:rPr>
                <w:rFonts w:hint="eastAsia" w:ascii="宋体" w:hAnsi="宋体" w:cs="宋体"/>
                <w:color w:val="auto"/>
                <w:sz w:val="24"/>
                <w:szCs w:val="24"/>
                <w:highlight w:val="none"/>
              </w:rPr>
              <w:t>、本项目不接受联合体</w:t>
            </w:r>
            <w:r>
              <w:rPr>
                <w:rFonts w:hint="eastAsia" w:ascii="宋体" w:hAnsi="宋体" w:cs="宋体"/>
                <w:color w:val="auto"/>
                <w:sz w:val="24"/>
                <w:szCs w:val="24"/>
                <w:highlight w:val="none"/>
                <w:lang w:eastAsia="zh-CN"/>
              </w:rPr>
              <w:t>响应</w:t>
            </w:r>
            <w:r>
              <w:rPr>
                <w:rFonts w:hint="eastAsia" w:ascii="宋体" w:hAnsi="宋体" w:cs="宋体"/>
                <w:color w:val="auto"/>
                <w:sz w:val="24"/>
                <w:szCs w:val="24"/>
                <w:highlight w:val="none"/>
              </w:rPr>
              <w:t>。</w:t>
            </w:r>
          </w:p>
          <w:p w14:paraId="313675EA">
            <w:pPr>
              <w:spacing w:line="440" w:lineRule="exact"/>
              <w:ind w:firstLine="480" w:firstLineChars="200"/>
              <w:rPr>
                <w:rFonts w:ascii="宋体" w:hAnsi="宋体" w:cs="宋体"/>
                <w:b/>
                <w:color w:val="auto"/>
                <w:sz w:val="24"/>
                <w:szCs w:val="24"/>
                <w:highlight w:val="none"/>
              </w:rPr>
            </w:pPr>
            <w:r>
              <w:rPr>
                <w:rFonts w:hint="eastAsia" w:ascii="宋体" w:hAnsi="宋体" w:cs="宋体"/>
                <w:color w:val="auto"/>
                <w:sz w:val="24"/>
                <w:szCs w:val="24"/>
                <w:highlight w:val="none"/>
              </w:rPr>
              <w:t>说明：供应商的资格条件在评审时进行检查。供应商应在响应文件中 按询价文件的规定和要求附上所有的资格证明文件，提供的复印件必须加盖供应商公章，并在必要时提供原件备查。若供应商提供的资格证明文件不全或不实，其响应文件将按无效响应或成交资格被取消处理。</w:t>
            </w:r>
          </w:p>
        </w:tc>
      </w:tr>
      <w:tr w14:paraId="1CF2F6E6">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0" w:type="dxa"/>
            <w:bottom w:w="0" w:type="dxa"/>
            <w:right w:w="0" w:type="dxa"/>
          </w:tblCellMar>
        </w:tblPrEx>
        <w:trPr>
          <w:trHeight w:val="275" w:hRule="atLeast"/>
        </w:trPr>
        <w:tc>
          <w:tcPr>
            <w:tcW w:w="9957" w:type="dxa"/>
            <w:gridSpan w:val="4"/>
            <w:tcMar>
              <w:top w:w="0" w:type="dxa"/>
              <w:left w:w="108" w:type="dxa"/>
              <w:bottom w:w="0" w:type="dxa"/>
              <w:right w:w="108" w:type="dxa"/>
            </w:tcMar>
            <w:vAlign w:val="center"/>
          </w:tcPr>
          <w:p w14:paraId="35316C8A">
            <w:pPr>
              <w:widowControl/>
              <w:spacing w:line="440" w:lineRule="exact"/>
              <w:jc w:val="center"/>
              <w:rPr>
                <w:rFonts w:ascii="宋体" w:hAnsi="宋体" w:cs="宋体"/>
                <w:color w:val="auto"/>
                <w:kern w:val="0"/>
                <w:sz w:val="24"/>
                <w:szCs w:val="24"/>
                <w:highlight w:val="none"/>
              </w:rPr>
            </w:pPr>
            <w:r>
              <w:rPr>
                <w:rFonts w:hint="eastAsia" w:ascii="宋体" w:hAnsi="宋体" w:cs="宋体"/>
                <w:b/>
                <w:bCs/>
                <w:color w:val="auto"/>
                <w:kern w:val="0"/>
                <w:sz w:val="24"/>
                <w:szCs w:val="24"/>
                <w:highlight w:val="none"/>
              </w:rPr>
              <w:t>符合性要求</w:t>
            </w:r>
          </w:p>
        </w:tc>
      </w:tr>
      <w:tr w14:paraId="42519B9C">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0" w:type="dxa"/>
            <w:bottom w:w="0" w:type="dxa"/>
            <w:right w:w="0" w:type="dxa"/>
          </w:tblCellMar>
        </w:tblPrEx>
        <w:trPr>
          <w:trHeight w:val="334" w:hRule="atLeast"/>
        </w:trPr>
        <w:tc>
          <w:tcPr>
            <w:tcW w:w="704" w:type="dxa"/>
            <w:tcMar>
              <w:top w:w="0" w:type="dxa"/>
              <w:left w:w="108" w:type="dxa"/>
              <w:bottom w:w="0" w:type="dxa"/>
              <w:right w:w="108" w:type="dxa"/>
            </w:tcMar>
            <w:vAlign w:val="center"/>
          </w:tcPr>
          <w:p w14:paraId="1DC6C1D0">
            <w:pPr>
              <w:widowControl/>
              <w:spacing w:line="440" w:lineRule="exact"/>
              <w:jc w:val="center"/>
              <w:rPr>
                <w:rFonts w:ascii="宋体" w:hAnsi="宋体" w:cs="宋体"/>
                <w:color w:val="auto"/>
                <w:kern w:val="0"/>
                <w:sz w:val="24"/>
                <w:szCs w:val="24"/>
                <w:highlight w:val="none"/>
              </w:rPr>
            </w:pPr>
            <w:r>
              <w:rPr>
                <w:rFonts w:hint="eastAsia" w:ascii="宋体" w:hAnsi="宋体" w:cs="宋体"/>
                <w:color w:val="auto"/>
                <w:kern w:val="0"/>
                <w:sz w:val="24"/>
                <w:szCs w:val="24"/>
                <w:highlight w:val="none"/>
              </w:rPr>
              <w:t>项号</w:t>
            </w:r>
          </w:p>
        </w:tc>
        <w:tc>
          <w:tcPr>
            <w:tcW w:w="415" w:type="dxa"/>
            <w:tcMar>
              <w:top w:w="0" w:type="dxa"/>
              <w:left w:w="108" w:type="dxa"/>
              <w:bottom w:w="0" w:type="dxa"/>
              <w:right w:w="108" w:type="dxa"/>
            </w:tcMar>
            <w:vAlign w:val="center"/>
          </w:tcPr>
          <w:p w14:paraId="30A044F5">
            <w:pPr>
              <w:widowControl/>
              <w:spacing w:line="440" w:lineRule="exact"/>
              <w:jc w:val="center"/>
              <w:rPr>
                <w:rFonts w:ascii="宋体" w:hAnsi="宋体" w:cs="宋体"/>
                <w:color w:val="auto"/>
                <w:kern w:val="0"/>
                <w:sz w:val="24"/>
                <w:szCs w:val="24"/>
                <w:highlight w:val="none"/>
              </w:rPr>
            </w:pPr>
            <w:r>
              <w:rPr>
                <w:rFonts w:hint="eastAsia" w:ascii="宋体" w:hAnsi="宋体" w:cs="宋体"/>
                <w:color w:val="auto"/>
                <w:kern w:val="0"/>
                <w:sz w:val="24"/>
                <w:szCs w:val="24"/>
                <w:highlight w:val="none"/>
              </w:rPr>
              <w:t>章</w:t>
            </w:r>
          </w:p>
        </w:tc>
        <w:tc>
          <w:tcPr>
            <w:tcW w:w="1027" w:type="dxa"/>
            <w:tcMar>
              <w:top w:w="0" w:type="dxa"/>
              <w:left w:w="108" w:type="dxa"/>
              <w:bottom w:w="0" w:type="dxa"/>
              <w:right w:w="108" w:type="dxa"/>
            </w:tcMar>
            <w:vAlign w:val="center"/>
          </w:tcPr>
          <w:p w14:paraId="5102844C">
            <w:pPr>
              <w:widowControl/>
              <w:spacing w:line="440" w:lineRule="exact"/>
              <w:jc w:val="center"/>
              <w:rPr>
                <w:rFonts w:ascii="宋体" w:hAnsi="宋体" w:cs="宋体"/>
                <w:color w:val="auto"/>
                <w:kern w:val="0"/>
                <w:sz w:val="24"/>
                <w:szCs w:val="24"/>
                <w:highlight w:val="none"/>
              </w:rPr>
            </w:pPr>
            <w:r>
              <w:rPr>
                <w:rFonts w:hint="eastAsia" w:ascii="宋体" w:hAnsi="宋体" w:cs="宋体"/>
                <w:color w:val="auto"/>
                <w:kern w:val="0"/>
                <w:sz w:val="24"/>
                <w:szCs w:val="24"/>
                <w:highlight w:val="none"/>
              </w:rPr>
              <w:t>条款号</w:t>
            </w:r>
          </w:p>
        </w:tc>
        <w:tc>
          <w:tcPr>
            <w:tcW w:w="7811" w:type="dxa"/>
            <w:tcMar>
              <w:top w:w="0" w:type="dxa"/>
              <w:left w:w="108" w:type="dxa"/>
              <w:bottom w:w="0" w:type="dxa"/>
              <w:right w:w="108" w:type="dxa"/>
            </w:tcMar>
            <w:vAlign w:val="center"/>
          </w:tcPr>
          <w:p w14:paraId="0D636442">
            <w:pPr>
              <w:widowControl/>
              <w:spacing w:line="440" w:lineRule="exact"/>
              <w:jc w:val="center"/>
              <w:rPr>
                <w:rFonts w:ascii="宋体" w:hAnsi="宋体" w:cs="宋体"/>
                <w:color w:val="auto"/>
                <w:kern w:val="0"/>
                <w:sz w:val="24"/>
                <w:szCs w:val="24"/>
                <w:highlight w:val="none"/>
              </w:rPr>
            </w:pPr>
            <w:r>
              <w:rPr>
                <w:rFonts w:hint="eastAsia" w:ascii="宋体" w:hAnsi="宋体" w:cs="宋体"/>
                <w:color w:val="auto"/>
                <w:kern w:val="0"/>
                <w:sz w:val="24"/>
                <w:szCs w:val="24"/>
                <w:highlight w:val="none"/>
              </w:rPr>
              <w:t>具体内容</w:t>
            </w:r>
          </w:p>
        </w:tc>
      </w:tr>
      <w:tr w14:paraId="7D5F2254">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0" w:type="dxa"/>
            <w:bottom w:w="0" w:type="dxa"/>
            <w:right w:w="0" w:type="dxa"/>
          </w:tblCellMar>
        </w:tblPrEx>
        <w:tc>
          <w:tcPr>
            <w:tcW w:w="704" w:type="dxa"/>
            <w:tcMar>
              <w:top w:w="0" w:type="dxa"/>
              <w:left w:w="108" w:type="dxa"/>
              <w:bottom w:w="0" w:type="dxa"/>
              <w:right w:w="108" w:type="dxa"/>
            </w:tcMar>
            <w:vAlign w:val="center"/>
          </w:tcPr>
          <w:p w14:paraId="602D7C45">
            <w:pPr>
              <w:widowControl/>
              <w:spacing w:line="440" w:lineRule="exact"/>
              <w:jc w:val="center"/>
              <w:rPr>
                <w:rFonts w:ascii="宋体" w:hAnsi="宋体" w:cs="宋体"/>
                <w:color w:val="auto"/>
                <w:kern w:val="0"/>
                <w:sz w:val="24"/>
                <w:szCs w:val="24"/>
                <w:highlight w:val="none"/>
              </w:rPr>
            </w:pPr>
            <w:r>
              <w:rPr>
                <w:rFonts w:hint="eastAsia" w:ascii="宋体" w:hAnsi="宋体" w:cs="宋体"/>
                <w:color w:val="auto"/>
                <w:kern w:val="0"/>
                <w:sz w:val="24"/>
                <w:szCs w:val="24"/>
                <w:highlight w:val="none"/>
              </w:rPr>
              <w:t>1</w:t>
            </w:r>
          </w:p>
        </w:tc>
        <w:tc>
          <w:tcPr>
            <w:tcW w:w="415" w:type="dxa"/>
            <w:tcMar>
              <w:top w:w="0" w:type="dxa"/>
              <w:left w:w="108" w:type="dxa"/>
              <w:bottom w:w="0" w:type="dxa"/>
              <w:right w:w="108" w:type="dxa"/>
            </w:tcMar>
            <w:vAlign w:val="center"/>
          </w:tcPr>
          <w:p w14:paraId="33CED0E4">
            <w:pPr>
              <w:widowControl/>
              <w:spacing w:line="440" w:lineRule="exact"/>
              <w:jc w:val="center"/>
              <w:rPr>
                <w:rFonts w:ascii="宋体" w:hAnsi="宋体" w:cs="宋体"/>
                <w:color w:val="auto"/>
                <w:kern w:val="0"/>
                <w:sz w:val="24"/>
                <w:szCs w:val="24"/>
                <w:highlight w:val="none"/>
              </w:rPr>
            </w:pPr>
            <w:r>
              <w:rPr>
                <w:rFonts w:hint="eastAsia" w:ascii="宋体" w:hAnsi="宋体" w:cs="宋体"/>
                <w:color w:val="auto"/>
                <w:kern w:val="0"/>
                <w:sz w:val="24"/>
                <w:szCs w:val="24"/>
                <w:highlight w:val="none"/>
              </w:rPr>
              <w:t>二</w:t>
            </w:r>
          </w:p>
        </w:tc>
        <w:tc>
          <w:tcPr>
            <w:tcW w:w="1027" w:type="dxa"/>
            <w:tcMar>
              <w:top w:w="0" w:type="dxa"/>
              <w:left w:w="108" w:type="dxa"/>
              <w:bottom w:w="0" w:type="dxa"/>
              <w:right w:w="108" w:type="dxa"/>
            </w:tcMar>
            <w:vAlign w:val="center"/>
          </w:tcPr>
          <w:p w14:paraId="174BC7B8">
            <w:pPr>
              <w:widowControl/>
              <w:spacing w:line="440" w:lineRule="exact"/>
              <w:jc w:val="center"/>
              <w:rPr>
                <w:rFonts w:ascii="宋体" w:hAnsi="宋体" w:cs="宋体"/>
                <w:color w:val="auto"/>
                <w:kern w:val="0"/>
                <w:sz w:val="24"/>
                <w:szCs w:val="24"/>
                <w:highlight w:val="none"/>
              </w:rPr>
            </w:pPr>
            <w:r>
              <w:rPr>
                <w:rFonts w:hint="eastAsia" w:ascii="宋体" w:hAnsi="宋体" w:cs="宋体"/>
                <w:color w:val="auto"/>
                <w:kern w:val="0"/>
                <w:sz w:val="24"/>
                <w:szCs w:val="24"/>
                <w:highlight w:val="none"/>
              </w:rPr>
              <w:t>10.1</w:t>
            </w:r>
          </w:p>
        </w:tc>
        <w:tc>
          <w:tcPr>
            <w:tcW w:w="7811" w:type="dxa"/>
            <w:tcMar>
              <w:top w:w="0" w:type="dxa"/>
              <w:left w:w="108" w:type="dxa"/>
              <w:bottom w:w="0" w:type="dxa"/>
              <w:right w:w="108" w:type="dxa"/>
            </w:tcMar>
            <w:vAlign w:val="top"/>
          </w:tcPr>
          <w:p w14:paraId="0980E287">
            <w:pPr>
              <w:spacing w:line="44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lang w:eastAsia="zh-CN"/>
              </w:rPr>
              <w:t>响应文件有效期</w:t>
            </w:r>
            <w:r>
              <w:rPr>
                <w:rFonts w:hint="eastAsia" w:ascii="宋体" w:hAnsi="宋体" w:cs="宋体"/>
                <w:color w:val="auto"/>
                <w:sz w:val="24"/>
                <w:szCs w:val="24"/>
                <w:highlight w:val="none"/>
              </w:rPr>
              <w:t>：响应文件须在提交响应文件截止期结束后90个日历日内保持有效。有效期不足将导致其响应文件被拒绝。</w:t>
            </w:r>
          </w:p>
        </w:tc>
      </w:tr>
      <w:tr w14:paraId="27B11C4F">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0" w:type="dxa"/>
            <w:bottom w:w="0" w:type="dxa"/>
            <w:right w:w="0" w:type="dxa"/>
          </w:tblCellMar>
        </w:tblPrEx>
        <w:tc>
          <w:tcPr>
            <w:tcW w:w="704" w:type="dxa"/>
            <w:tcMar>
              <w:top w:w="0" w:type="dxa"/>
              <w:left w:w="108" w:type="dxa"/>
              <w:bottom w:w="0" w:type="dxa"/>
              <w:right w:w="108" w:type="dxa"/>
            </w:tcMar>
            <w:vAlign w:val="center"/>
          </w:tcPr>
          <w:p w14:paraId="4DD3434C">
            <w:pPr>
              <w:widowControl/>
              <w:spacing w:line="440" w:lineRule="exact"/>
              <w:jc w:val="center"/>
              <w:rPr>
                <w:rFonts w:ascii="宋体" w:hAnsi="宋体" w:cs="宋体"/>
                <w:color w:val="auto"/>
                <w:kern w:val="0"/>
                <w:sz w:val="24"/>
                <w:szCs w:val="24"/>
                <w:highlight w:val="none"/>
              </w:rPr>
            </w:pPr>
            <w:r>
              <w:rPr>
                <w:rFonts w:hint="eastAsia" w:ascii="宋体" w:hAnsi="宋体" w:cs="宋体"/>
                <w:color w:val="auto"/>
                <w:kern w:val="0"/>
                <w:sz w:val="24"/>
                <w:szCs w:val="24"/>
                <w:highlight w:val="none"/>
              </w:rPr>
              <w:t>2</w:t>
            </w:r>
          </w:p>
        </w:tc>
        <w:tc>
          <w:tcPr>
            <w:tcW w:w="415" w:type="dxa"/>
            <w:tcMar>
              <w:top w:w="0" w:type="dxa"/>
              <w:left w:w="108" w:type="dxa"/>
              <w:bottom w:w="0" w:type="dxa"/>
              <w:right w:w="108" w:type="dxa"/>
            </w:tcMar>
            <w:vAlign w:val="center"/>
          </w:tcPr>
          <w:p w14:paraId="408BCB4C">
            <w:pPr>
              <w:widowControl/>
              <w:spacing w:line="440" w:lineRule="exact"/>
              <w:jc w:val="center"/>
              <w:rPr>
                <w:rFonts w:ascii="宋体" w:hAnsi="宋体" w:cs="宋体"/>
                <w:color w:val="auto"/>
                <w:kern w:val="0"/>
                <w:sz w:val="24"/>
                <w:szCs w:val="24"/>
                <w:highlight w:val="none"/>
              </w:rPr>
            </w:pPr>
            <w:r>
              <w:rPr>
                <w:rFonts w:hint="eastAsia" w:ascii="宋体" w:hAnsi="宋体" w:cs="宋体"/>
                <w:color w:val="auto"/>
                <w:kern w:val="0"/>
                <w:sz w:val="24"/>
                <w:szCs w:val="24"/>
                <w:highlight w:val="none"/>
              </w:rPr>
              <w:t>二</w:t>
            </w:r>
          </w:p>
        </w:tc>
        <w:tc>
          <w:tcPr>
            <w:tcW w:w="1027" w:type="dxa"/>
            <w:tcMar>
              <w:top w:w="0" w:type="dxa"/>
              <w:left w:w="108" w:type="dxa"/>
              <w:bottom w:w="0" w:type="dxa"/>
              <w:right w:w="108" w:type="dxa"/>
            </w:tcMar>
            <w:vAlign w:val="center"/>
          </w:tcPr>
          <w:p w14:paraId="6287D882">
            <w:pPr>
              <w:widowControl/>
              <w:spacing w:line="440" w:lineRule="exact"/>
              <w:jc w:val="center"/>
              <w:rPr>
                <w:rFonts w:ascii="宋体" w:hAnsi="宋体" w:cs="宋体"/>
                <w:color w:val="auto"/>
                <w:kern w:val="0"/>
                <w:sz w:val="24"/>
                <w:szCs w:val="24"/>
                <w:highlight w:val="none"/>
              </w:rPr>
            </w:pPr>
            <w:r>
              <w:rPr>
                <w:rFonts w:hint="eastAsia" w:ascii="宋体" w:hAnsi="宋体" w:cs="宋体"/>
                <w:color w:val="auto"/>
                <w:kern w:val="0"/>
                <w:sz w:val="24"/>
                <w:szCs w:val="24"/>
                <w:highlight w:val="none"/>
              </w:rPr>
              <w:t>16.6.2</w:t>
            </w:r>
          </w:p>
        </w:tc>
        <w:tc>
          <w:tcPr>
            <w:tcW w:w="7811" w:type="dxa"/>
            <w:tcMar>
              <w:top w:w="0" w:type="dxa"/>
              <w:left w:w="108" w:type="dxa"/>
              <w:bottom w:w="0" w:type="dxa"/>
              <w:right w:w="108" w:type="dxa"/>
            </w:tcMar>
            <w:vAlign w:val="top"/>
          </w:tcPr>
          <w:p w14:paraId="6371859F">
            <w:pPr>
              <w:spacing w:line="44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供应商有下列情况之一者，响应文件将被视为未实质性响应</w:t>
            </w:r>
            <w:r>
              <w:rPr>
                <w:rFonts w:hint="eastAsia" w:ascii="宋体" w:hAnsi="宋体" w:cs="宋体"/>
                <w:color w:val="auto"/>
                <w:sz w:val="24"/>
                <w:szCs w:val="24"/>
                <w:highlight w:val="none"/>
                <w:lang w:eastAsia="zh-CN"/>
              </w:rPr>
              <w:t>询价文件</w:t>
            </w:r>
            <w:r>
              <w:rPr>
                <w:rFonts w:hint="eastAsia" w:ascii="宋体" w:hAnsi="宋体" w:cs="宋体"/>
                <w:color w:val="auto"/>
                <w:sz w:val="24"/>
                <w:szCs w:val="24"/>
                <w:highlight w:val="none"/>
              </w:rPr>
              <w:t>要求：</w:t>
            </w:r>
          </w:p>
          <w:p w14:paraId="2686DAC5">
            <w:pPr>
              <w:spacing w:line="44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(1)响应文件未按照本须知规定进行密封、标记的；</w:t>
            </w:r>
          </w:p>
          <w:p w14:paraId="43088EC1">
            <w:pPr>
              <w:spacing w:line="44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(2)未按规定由供应商的法定代表人或其授权代表签字；或未加盖供应商公章的；或授权代表未提供法定代表人有效授权委托书的；</w:t>
            </w:r>
          </w:p>
          <w:p w14:paraId="1A080F22">
            <w:pPr>
              <w:spacing w:line="44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(3)</w:t>
            </w:r>
            <w:r>
              <w:rPr>
                <w:rFonts w:hint="eastAsia" w:ascii="宋体" w:hAnsi="宋体" w:cs="宋体"/>
                <w:color w:val="auto"/>
                <w:sz w:val="24"/>
                <w:szCs w:val="24"/>
                <w:highlight w:val="none"/>
                <w:lang w:eastAsia="zh-CN"/>
              </w:rPr>
              <w:t>响应文件响应文件有效期</w:t>
            </w:r>
            <w:r>
              <w:rPr>
                <w:rFonts w:hint="eastAsia" w:ascii="宋体" w:hAnsi="宋体" w:cs="宋体"/>
                <w:color w:val="auto"/>
                <w:sz w:val="24"/>
                <w:szCs w:val="24"/>
                <w:highlight w:val="none"/>
              </w:rPr>
              <w:t>不满足</w:t>
            </w:r>
            <w:r>
              <w:rPr>
                <w:rFonts w:hint="eastAsia" w:ascii="宋体" w:hAnsi="宋体" w:cs="宋体"/>
                <w:color w:val="auto"/>
                <w:sz w:val="24"/>
                <w:szCs w:val="24"/>
                <w:highlight w:val="none"/>
                <w:lang w:eastAsia="zh-CN"/>
              </w:rPr>
              <w:t>询价文件</w:t>
            </w:r>
            <w:r>
              <w:rPr>
                <w:rFonts w:hint="eastAsia" w:ascii="宋体" w:hAnsi="宋体" w:cs="宋体"/>
                <w:color w:val="auto"/>
                <w:sz w:val="24"/>
                <w:szCs w:val="24"/>
                <w:highlight w:val="none"/>
              </w:rPr>
              <w:t>要求的；</w:t>
            </w:r>
          </w:p>
          <w:p w14:paraId="29BB1E79">
            <w:pPr>
              <w:spacing w:line="44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(4)响应文件内容与采购内容及要求有重大偏离或保留的；</w:t>
            </w:r>
          </w:p>
          <w:p w14:paraId="1C4EB11F">
            <w:pPr>
              <w:spacing w:line="44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(5)供应商提交的是可选择的报价；</w:t>
            </w:r>
          </w:p>
          <w:p w14:paraId="7F83336E">
            <w:pPr>
              <w:spacing w:line="44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(6)供应商未按</w:t>
            </w:r>
            <w:r>
              <w:rPr>
                <w:rFonts w:hint="eastAsia" w:ascii="宋体" w:hAnsi="宋体" w:cs="宋体"/>
                <w:color w:val="auto"/>
                <w:sz w:val="24"/>
                <w:szCs w:val="24"/>
                <w:highlight w:val="none"/>
                <w:lang w:eastAsia="zh-CN"/>
              </w:rPr>
              <w:t>询价文件</w:t>
            </w:r>
            <w:r>
              <w:rPr>
                <w:rFonts w:hint="eastAsia" w:ascii="宋体" w:hAnsi="宋体" w:cs="宋体"/>
                <w:color w:val="auto"/>
                <w:sz w:val="24"/>
                <w:szCs w:val="24"/>
                <w:highlight w:val="none"/>
              </w:rPr>
              <w:t>要求进行分项报价；</w:t>
            </w:r>
          </w:p>
          <w:p w14:paraId="3B378FE8">
            <w:pPr>
              <w:spacing w:line="44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(7)响应文件中提供虚假或失实资料的；</w:t>
            </w:r>
          </w:p>
          <w:p w14:paraId="42AB0953">
            <w:pPr>
              <w:spacing w:line="44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(8)对</w:t>
            </w:r>
            <w:r>
              <w:rPr>
                <w:rFonts w:hint="eastAsia" w:ascii="宋体" w:hAnsi="宋体" w:cs="宋体"/>
                <w:color w:val="auto"/>
                <w:sz w:val="24"/>
                <w:szCs w:val="24"/>
                <w:highlight w:val="none"/>
                <w:lang w:eastAsia="zh-CN"/>
              </w:rPr>
              <w:t>询价文件</w:t>
            </w:r>
            <w:r>
              <w:rPr>
                <w:rFonts w:hint="eastAsia" w:ascii="宋体" w:hAnsi="宋体" w:cs="宋体"/>
                <w:color w:val="auto"/>
                <w:sz w:val="24"/>
                <w:szCs w:val="24"/>
                <w:highlight w:val="none"/>
              </w:rPr>
              <w:t>中带“</w:t>
            </w:r>
            <w:r>
              <w:rPr>
                <w:rFonts w:hint="eastAsia" w:ascii="宋体" w:hAnsi="宋体" w:cs="宋体"/>
                <w:b/>
                <w:color w:val="auto"/>
                <w:sz w:val="24"/>
                <w:szCs w:val="24"/>
                <w:highlight w:val="none"/>
              </w:rPr>
              <w:t>★</w:t>
            </w:r>
            <w:r>
              <w:rPr>
                <w:rFonts w:hint="eastAsia" w:ascii="宋体" w:hAnsi="宋体" w:cs="宋体"/>
                <w:color w:val="auto"/>
                <w:sz w:val="24"/>
                <w:szCs w:val="24"/>
                <w:highlight w:val="none"/>
              </w:rPr>
              <w:t>”的条款的有任何负偏离或不满足的；</w:t>
            </w:r>
          </w:p>
          <w:p w14:paraId="1174F831">
            <w:pPr>
              <w:spacing w:line="44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(9)未完整地提供标段要求的所有货物</w:t>
            </w:r>
            <w:r>
              <w:rPr>
                <w:rFonts w:hint="eastAsia" w:ascii="宋体" w:hAnsi="宋体" w:cs="宋体"/>
                <w:color w:val="auto"/>
                <w:sz w:val="24"/>
                <w:szCs w:val="24"/>
                <w:highlight w:val="none"/>
                <w:lang w:eastAsia="zh-CN"/>
              </w:rPr>
              <w:t>或</w:t>
            </w:r>
            <w:r>
              <w:rPr>
                <w:rFonts w:hint="eastAsia" w:ascii="宋体" w:hAnsi="宋体" w:cs="宋体"/>
                <w:color w:val="auto"/>
                <w:sz w:val="24"/>
                <w:szCs w:val="24"/>
                <w:highlight w:val="none"/>
              </w:rPr>
              <w:t>服务的；</w:t>
            </w:r>
          </w:p>
          <w:p w14:paraId="1732D078">
            <w:pPr>
              <w:spacing w:line="44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(10)不符合</w:t>
            </w:r>
            <w:r>
              <w:rPr>
                <w:rFonts w:hint="eastAsia" w:ascii="宋体" w:hAnsi="宋体" w:cs="宋体"/>
                <w:color w:val="auto"/>
                <w:sz w:val="24"/>
                <w:szCs w:val="24"/>
                <w:highlight w:val="none"/>
                <w:lang w:eastAsia="zh-CN"/>
              </w:rPr>
              <w:t>询价文件</w:t>
            </w:r>
            <w:r>
              <w:rPr>
                <w:rFonts w:hint="eastAsia" w:ascii="宋体" w:hAnsi="宋体" w:cs="宋体"/>
                <w:color w:val="auto"/>
                <w:sz w:val="24"/>
                <w:szCs w:val="24"/>
                <w:highlight w:val="none"/>
              </w:rPr>
              <w:t>中规定的其它实质性条款；</w:t>
            </w:r>
          </w:p>
          <w:p w14:paraId="3B5CBC09">
            <w:pPr>
              <w:spacing w:line="44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(11)</w:t>
            </w:r>
            <w:r>
              <w:rPr>
                <w:rFonts w:hint="eastAsia" w:ascii="宋体" w:hAnsi="宋体" w:cs="宋体"/>
                <w:color w:val="auto"/>
                <w:kern w:val="0"/>
                <w:sz w:val="24"/>
                <w:szCs w:val="24"/>
                <w:highlight w:val="none"/>
              </w:rPr>
              <w:t>报价或最终报价超过采购预算或控制价的；</w:t>
            </w:r>
          </w:p>
          <w:p w14:paraId="16B33FA8">
            <w:pPr>
              <w:spacing w:line="44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(12)实质性影响合同的范围、质量和履行；</w:t>
            </w:r>
          </w:p>
          <w:p w14:paraId="4C4D20E5">
            <w:pPr>
              <w:spacing w:line="440" w:lineRule="exact"/>
              <w:ind w:firstLine="480" w:firstLineChars="200"/>
              <w:rPr>
                <w:rFonts w:ascii="宋体" w:hAnsi="宋体" w:cs="宋体"/>
                <w:color w:val="auto"/>
                <w:sz w:val="24"/>
                <w:szCs w:val="24"/>
                <w:highlight w:val="none"/>
              </w:rPr>
            </w:pPr>
            <w:r>
              <w:rPr>
                <w:rFonts w:hint="eastAsia" w:ascii="宋体" w:hAnsi="宋体" w:cs="宋体"/>
                <w:color w:val="auto"/>
                <w:kern w:val="0"/>
                <w:sz w:val="24"/>
                <w:szCs w:val="24"/>
                <w:highlight w:val="none"/>
              </w:rPr>
              <w:t>(13)</w:t>
            </w:r>
            <w:r>
              <w:rPr>
                <w:rFonts w:hint="eastAsia" w:ascii="宋体" w:hAnsi="宋体" w:cs="宋体"/>
                <w:color w:val="auto"/>
                <w:sz w:val="24"/>
                <w:szCs w:val="24"/>
                <w:highlight w:val="none"/>
              </w:rPr>
              <w:t>响应文件载明的项目完成期限或质保期不满足</w:t>
            </w:r>
            <w:r>
              <w:rPr>
                <w:rFonts w:hint="eastAsia" w:ascii="宋体" w:hAnsi="宋体" w:cs="宋体"/>
                <w:color w:val="auto"/>
                <w:sz w:val="24"/>
                <w:szCs w:val="24"/>
                <w:highlight w:val="none"/>
                <w:lang w:eastAsia="zh-CN"/>
              </w:rPr>
              <w:t>询价文件</w:t>
            </w:r>
            <w:r>
              <w:rPr>
                <w:rFonts w:hint="eastAsia" w:ascii="宋体" w:hAnsi="宋体" w:cs="宋体"/>
                <w:color w:val="auto"/>
                <w:sz w:val="24"/>
                <w:szCs w:val="24"/>
                <w:highlight w:val="none"/>
              </w:rPr>
              <w:t>规定的；</w:t>
            </w:r>
          </w:p>
          <w:p w14:paraId="0AA9513A">
            <w:pPr>
              <w:spacing w:line="44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(14)实质性违背</w:t>
            </w:r>
            <w:r>
              <w:rPr>
                <w:rFonts w:hint="eastAsia" w:ascii="宋体" w:hAnsi="宋体" w:cs="宋体"/>
                <w:color w:val="auto"/>
                <w:sz w:val="24"/>
                <w:szCs w:val="24"/>
                <w:highlight w:val="none"/>
                <w:lang w:eastAsia="zh-CN"/>
              </w:rPr>
              <w:t>询价文件</w:t>
            </w:r>
            <w:r>
              <w:rPr>
                <w:rFonts w:hint="eastAsia" w:ascii="宋体" w:hAnsi="宋体" w:cs="宋体"/>
                <w:color w:val="auto"/>
                <w:sz w:val="24"/>
                <w:szCs w:val="24"/>
                <w:highlight w:val="none"/>
              </w:rPr>
              <w:t>，限制了采购人的权利和成交供应商合同项下的义务；</w:t>
            </w:r>
          </w:p>
          <w:p w14:paraId="78FEFD17">
            <w:pPr>
              <w:spacing w:line="44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(15)不公正地影响了其他作出实质性响应的供应商的竞争地位；</w:t>
            </w:r>
          </w:p>
          <w:p w14:paraId="57F0CBEB">
            <w:pPr>
              <w:spacing w:line="44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询价小组会决定报价的响应有效性只根据响应文件本身的内容，而不寻求其他的外部证据。</w:t>
            </w:r>
          </w:p>
        </w:tc>
      </w:tr>
      <w:tr w14:paraId="7DA7412F">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0" w:type="dxa"/>
            <w:bottom w:w="0" w:type="dxa"/>
            <w:right w:w="0" w:type="dxa"/>
          </w:tblCellMar>
        </w:tblPrEx>
        <w:tc>
          <w:tcPr>
            <w:tcW w:w="9957" w:type="dxa"/>
            <w:gridSpan w:val="4"/>
            <w:tcMar>
              <w:top w:w="0" w:type="dxa"/>
              <w:left w:w="108" w:type="dxa"/>
              <w:bottom w:w="0" w:type="dxa"/>
              <w:right w:w="108" w:type="dxa"/>
            </w:tcMar>
            <w:vAlign w:val="center"/>
          </w:tcPr>
          <w:p w14:paraId="27B2896D">
            <w:pPr>
              <w:spacing w:line="440" w:lineRule="exact"/>
              <w:jc w:val="center"/>
              <w:rPr>
                <w:rFonts w:ascii="宋体" w:hAnsi="宋体" w:cs="宋体"/>
                <w:color w:val="auto"/>
                <w:sz w:val="24"/>
                <w:szCs w:val="24"/>
                <w:highlight w:val="none"/>
              </w:rPr>
            </w:pPr>
            <w:r>
              <w:rPr>
                <w:rFonts w:hint="eastAsia" w:ascii="宋体" w:hAnsi="宋体" w:cs="宋体"/>
                <w:b/>
                <w:color w:val="auto"/>
                <w:sz w:val="24"/>
                <w:szCs w:val="24"/>
                <w:highlight w:val="none"/>
              </w:rPr>
              <w:t>符合性要求附表：带“★”号条款汇总表</w:t>
            </w:r>
          </w:p>
        </w:tc>
      </w:tr>
      <w:tr w14:paraId="1A02D0A0">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0" w:type="dxa"/>
            <w:bottom w:w="0" w:type="dxa"/>
            <w:right w:w="0" w:type="dxa"/>
          </w:tblCellMar>
        </w:tblPrEx>
        <w:trPr>
          <w:trHeight w:val="262" w:hRule="atLeast"/>
        </w:trPr>
        <w:tc>
          <w:tcPr>
            <w:tcW w:w="704" w:type="dxa"/>
            <w:tcMar>
              <w:top w:w="0" w:type="dxa"/>
              <w:left w:w="108" w:type="dxa"/>
              <w:bottom w:w="0" w:type="dxa"/>
              <w:right w:w="108" w:type="dxa"/>
            </w:tcMar>
            <w:vAlign w:val="center"/>
          </w:tcPr>
          <w:p w14:paraId="0DBD4473">
            <w:pPr>
              <w:spacing w:line="440" w:lineRule="exact"/>
              <w:jc w:val="center"/>
              <w:rPr>
                <w:rFonts w:ascii="宋体" w:hAnsi="宋体" w:cs="宋体"/>
                <w:color w:val="auto"/>
                <w:sz w:val="24"/>
                <w:szCs w:val="24"/>
                <w:highlight w:val="none"/>
              </w:rPr>
            </w:pPr>
            <w:r>
              <w:rPr>
                <w:rFonts w:hint="eastAsia" w:ascii="宋体" w:hAnsi="宋体" w:cs="宋体"/>
                <w:color w:val="auto"/>
                <w:sz w:val="24"/>
                <w:szCs w:val="24"/>
                <w:highlight w:val="none"/>
              </w:rPr>
              <w:t>项号</w:t>
            </w:r>
          </w:p>
        </w:tc>
        <w:tc>
          <w:tcPr>
            <w:tcW w:w="415" w:type="dxa"/>
            <w:tcMar>
              <w:top w:w="0" w:type="dxa"/>
              <w:left w:w="108" w:type="dxa"/>
              <w:bottom w:w="0" w:type="dxa"/>
              <w:right w:w="108" w:type="dxa"/>
            </w:tcMar>
            <w:vAlign w:val="center"/>
          </w:tcPr>
          <w:p w14:paraId="366211B0">
            <w:pPr>
              <w:spacing w:line="440" w:lineRule="exact"/>
              <w:jc w:val="center"/>
              <w:rPr>
                <w:rFonts w:ascii="宋体" w:hAnsi="宋体" w:cs="宋体"/>
                <w:color w:val="auto"/>
                <w:sz w:val="24"/>
                <w:szCs w:val="24"/>
                <w:highlight w:val="none"/>
              </w:rPr>
            </w:pPr>
            <w:r>
              <w:rPr>
                <w:rFonts w:hint="eastAsia" w:ascii="宋体" w:hAnsi="宋体" w:cs="宋体"/>
                <w:color w:val="auto"/>
                <w:sz w:val="24"/>
                <w:szCs w:val="24"/>
                <w:highlight w:val="none"/>
              </w:rPr>
              <w:t>章</w:t>
            </w:r>
          </w:p>
        </w:tc>
        <w:tc>
          <w:tcPr>
            <w:tcW w:w="1027" w:type="dxa"/>
            <w:tcMar>
              <w:top w:w="0" w:type="dxa"/>
              <w:left w:w="108" w:type="dxa"/>
              <w:bottom w:w="0" w:type="dxa"/>
              <w:right w:w="108" w:type="dxa"/>
            </w:tcMar>
            <w:vAlign w:val="center"/>
          </w:tcPr>
          <w:p w14:paraId="27CD7723">
            <w:pPr>
              <w:spacing w:line="440" w:lineRule="exact"/>
              <w:jc w:val="center"/>
              <w:rPr>
                <w:rFonts w:ascii="宋体" w:hAnsi="宋体" w:cs="宋体"/>
                <w:color w:val="auto"/>
                <w:sz w:val="24"/>
                <w:szCs w:val="24"/>
                <w:highlight w:val="none"/>
              </w:rPr>
            </w:pPr>
            <w:r>
              <w:rPr>
                <w:rFonts w:hint="eastAsia" w:ascii="宋体" w:hAnsi="宋体" w:cs="宋体"/>
                <w:color w:val="auto"/>
                <w:sz w:val="24"/>
                <w:szCs w:val="24"/>
                <w:highlight w:val="none"/>
              </w:rPr>
              <w:t>条款号</w:t>
            </w:r>
          </w:p>
        </w:tc>
        <w:tc>
          <w:tcPr>
            <w:tcW w:w="7811" w:type="dxa"/>
            <w:tcMar>
              <w:top w:w="0" w:type="dxa"/>
              <w:left w:w="108" w:type="dxa"/>
              <w:bottom w:w="0" w:type="dxa"/>
              <w:right w:w="108" w:type="dxa"/>
            </w:tcMar>
            <w:vAlign w:val="center"/>
          </w:tcPr>
          <w:p w14:paraId="19E2C203">
            <w:pPr>
              <w:spacing w:line="440" w:lineRule="exact"/>
              <w:jc w:val="center"/>
              <w:rPr>
                <w:rFonts w:ascii="宋体" w:hAnsi="宋体" w:cs="宋体"/>
                <w:color w:val="auto"/>
                <w:sz w:val="24"/>
                <w:szCs w:val="24"/>
                <w:highlight w:val="none"/>
              </w:rPr>
            </w:pPr>
            <w:r>
              <w:rPr>
                <w:rFonts w:hint="eastAsia" w:ascii="宋体" w:hAnsi="宋体" w:cs="宋体"/>
                <w:color w:val="auto"/>
                <w:sz w:val="24"/>
                <w:szCs w:val="24"/>
                <w:highlight w:val="none"/>
              </w:rPr>
              <w:t>具体内容</w:t>
            </w:r>
          </w:p>
        </w:tc>
      </w:tr>
      <w:tr w14:paraId="65B33239">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0" w:type="dxa"/>
            <w:bottom w:w="0" w:type="dxa"/>
            <w:right w:w="0" w:type="dxa"/>
          </w:tblCellMar>
        </w:tblPrEx>
        <w:trPr>
          <w:trHeight w:val="330" w:hRule="atLeast"/>
        </w:trPr>
        <w:tc>
          <w:tcPr>
            <w:tcW w:w="704" w:type="dxa"/>
            <w:tcMar>
              <w:top w:w="0" w:type="dxa"/>
              <w:left w:w="108" w:type="dxa"/>
              <w:bottom w:w="0" w:type="dxa"/>
              <w:right w:w="108" w:type="dxa"/>
            </w:tcMar>
            <w:vAlign w:val="center"/>
          </w:tcPr>
          <w:p w14:paraId="261D6393">
            <w:pPr>
              <w:spacing w:line="440" w:lineRule="exact"/>
              <w:jc w:val="center"/>
              <w:rPr>
                <w:rFonts w:ascii="宋体" w:hAnsi="宋体" w:cs="宋体"/>
                <w:color w:val="auto"/>
                <w:sz w:val="24"/>
                <w:szCs w:val="24"/>
                <w:highlight w:val="none"/>
              </w:rPr>
            </w:pPr>
            <w:r>
              <w:rPr>
                <w:rFonts w:hint="eastAsia" w:ascii="宋体" w:hAnsi="宋体" w:cs="宋体"/>
                <w:color w:val="auto"/>
                <w:sz w:val="24"/>
                <w:szCs w:val="24"/>
                <w:highlight w:val="none"/>
              </w:rPr>
              <w:t>1</w:t>
            </w:r>
          </w:p>
        </w:tc>
        <w:tc>
          <w:tcPr>
            <w:tcW w:w="415" w:type="dxa"/>
            <w:tcMar>
              <w:top w:w="0" w:type="dxa"/>
              <w:left w:w="108" w:type="dxa"/>
              <w:bottom w:w="0" w:type="dxa"/>
              <w:right w:w="108" w:type="dxa"/>
            </w:tcMar>
            <w:vAlign w:val="center"/>
          </w:tcPr>
          <w:p w14:paraId="2A1F4932">
            <w:pPr>
              <w:spacing w:line="440" w:lineRule="exact"/>
              <w:jc w:val="center"/>
              <w:rPr>
                <w:rFonts w:ascii="宋体" w:hAnsi="宋体" w:cs="宋体"/>
                <w:color w:val="auto"/>
                <w:sz w:val="24"/>
                <w:szCs w:val="24"/>
                <w:highlight w:val="none"/>
              </w:rPr>
            </w:pPr>
            <w:r>
              <w:rPr>
                <w:rFonts w:hint="eastAsia" w:ascii="宋体" w:hAnsi="宋体" w:cs="宋体"/>
                <w:color w:val="auto"/>
                <w:sz w:val="24"/>
                <w:szCs w:val="24"/>
                <w:highlight w:val="none"/>
              </w:rPr>
              <w:t>3</w:t>
            </w:r>
          </w:p>
        </w:tc>
        <w:tc>
          <w:tcPr>
            <w:tcW w:w="1027" w:type="dxa"/>
            <w:tcMar>
              <w:top w:w="0" w:type="dxa"/>
              <w:left w:w="108" w:type="dxa"/>
              <w:bottom w:w="0" w:type="dxa"/>
              <w:right w:w="108" w:type="dxa"/>
            </w:tcMar>
            <w:vAlign w:val="center"/>
          </w:tcPr>
          <w:p w14:paraId="3E799E7F">
            <w:pPr>
              <w:spacing w:line="440" w:lineRule="exact"/>
              <w:jc w:val="center"/>
              <w:rPr>
                <w:rFonts w:ascii="宋体" w:hAnsi="宋体" w:cs="宋体"/>
                <w:color w:val="auto"/>
                <w:sz w:val="24"/>
                <w:szCs w:val="24"/>
                <w:highlight w:val="none"/>
              </w:rPr>
            </w:pPr>
          </w:p>
        </w:tc>
        <w:tc>
          <w:tcPr>
            <w:tcW w:w="7811" w:type="dxa"/>
            <w:tcMar>
              <w:top w:w="0" w:type="dxa"/>
              <w:left w:w="108" w:type="dxa"/>
              <w:bottom w:w="0" w:type="dxa"/>
              <w:right w:w="108" w:type="dxa"/>
            </w:tcMar>
            <w:vAlign w:val="center"/>
          </w:tcPr>
          <w:p w14:paraId="2894699B">
            <w:pPr>
              <w:spacing w:line="440" w:lineRule="exact"/>
              <w:rPr>
                <w:rFonts w:ascii="宋体" w:hAnsi="宋体" w:cs="宋体"/>
                <w:color w:val="auto"/>
                <w:sz w:val="24"/>
                <w:szCs w:val="24"/>
                <w:highlight w:val="none"/>
              </w:rPr>
            </w:pPr>
            <w:r>
              <w:rPr>
                <w:rFonts w:hint="eastAsia" w:ascii="宋体" w:hAnsi="宋体" w:cs="宋体"/>
                <w:color w:val="auto"/>
                <w:sz w:val="24"/>
                <w:szCs w:val="24"/>
                <w:highlight w:val="none"/>
              </w:rPr>
              <w:t>★本采购项目的采购预算为人民币</w:t>
            </w:r>
            <w:r>
              <w:rPr>
                <w:rFonts w:hint="eastAsia" w:ascii="宋体" w:hAnsi="宋体" w:cs="宋体"/>
                <w:color w:val="auto"/>
                <w:sz w:val="24"/>
                <w:szCs w:val="24"/>
                <w:highlight w:val="none"/>
                <w:lang w:val="en-US" w:eastAsia="zh-CN"/>
              </w:rPr>
              <w:t>玖拾玖万捌仟肆佰</w:t>
            </w:r>
            <w:r>
              <w:rPr>
                <w:rFonts w:hint="eastAsia" w:ascii="宋体" w:hAnsi="宋体" w:cs="宋体"/>
                <w:color w:val="auto"/>
                <w:sz w:val="24"/>
                <w:szCs w:val="24"/>
                <w:highlight w:val="none"/>
                <w:lang w:eastAsia="zh-CN"/>
              </w:rPr>
              <w:t>元整</w:t>
            </w:r>
            <w:r>
              <w:rPr>
                <w:rFonts w:hint="eastAsia" w:ascii="宋体" w:hAnsi="宋体" w:cs="宋体"/>
                <w:color w:val="auto"/>
                <w:sz w:val="24"/>
                <w:szCs w:val="24"/>
                <w:highlight w:val="none"/>
              </w:rPr>
              <w:t>（￥</w:t>
            </w:r>
            <w:r>
              <w:rPr>
                <w:rFonts w:hint="eastAsia" w:ascii="宋体" w:hAnsi="宋体" w:cs="宋体"/>
                <w:color w:val="auto"/>
                <w:sz w:val="24"/>
                <w:szCs w:val="24"/>
                <w:highlight w:val="none"/>
                <w:lang w:val="en-US" w:eastAsia="zh-CN"/>
              </w:rPr>
              <w:t>998400</w:t>
            </w:r>
            <w:r>
              <w:rPr>
                <w:rFonts w:hint="eastAsia" w:ascii="宋体" w:hAnsi="宋体" w:cs="宋体"/>
                <w:color w:val="auto"/>
                <w:sz w:val="24"/>
                <w:szCs w:val="24"/>
                <w:highlight w:val="none"/>
              </w:rPr>
              <w:t>），采购预算为总报价的最高限价。</w:t>
            </w:r>
            <w:r>
              <w:rPr>
                <w:rFonts w:hint="eastAsia" w:ascii="宋体" w:hAnsi="宋体" w:cs="宋体"/>
                <w:color w:val="auto"/>
                <w:sz w:val="24"/>
                <w:szCs w:val="24"/>
                <w:highlight w:val="none"/>
                <w:lang w:val="en-US" w:eastAsia="zh-CN"/>
              </w:rPr>
              <w:t>其中源昌国际城项目</w:t>
            </w:r>
            <w:r>
              <w:rPr>
                <w:rFonts w:hint="eastAsia" w:cs="宋体"/>
                <w:color w:val="auto"/>
                <w:sz w:val="24"/>
                <w:szCs w:val="24"/>
                <w:highlight w:val="none"/>
                <w:lang w:val="en-US" w:eastAsia="zh-CN"/>
              </w:rPr>
              <w:t>维序服务费普通岗11700元/月/个（含税），消控岗13000元/月/个（含税），月服务费合计83200元（含税），年服务费合计998400元（含税），最高限价</w:t>
            </w:r>
            <w:r>
              <w:rPr>
                <w:rFonts w:hint="eastAsia" w:ascii="宋体" w:hAnsi="宋体" w:cs="宋体"/>
                <w:color w:val="auto"/>
                <w:sz w:val="24"/>
                <w:szCs w:val="24"/>
                <w:highlight w:val="none"/>
                <w:lang w:val="en-US" w:eastAsia="zh-CN"/>
              </w:rPr>
              <w:t>998400元</w:t>
            </w:r>
            <w:r>
              <w:rPr>
                <w:rFonts w:hint="eastAsia" w:ascii="宋体" w:hAnsi="宋体" w:cs="宋体"/>
                <w:color w:val="auto"/>
                <w:kern w:val="0"/>
                <w:sz w:val="24"/>
                <w:highlight w:val="none"/>
                <w:lang w:val="en-US" w:eastAsia="zh-CN"/>
              </w:rPr>
              <w:t>。</w:t>
            </w:r>
          </w:p>
        </w:tc>
      </w:tr>
      <w:tr w14:paraId="4BE28188">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0" w:type="dxa"/>
            <w:bottom w:w="0" w:type="dxa"/>
            <w:right w:w="0" w:type="dxa"/>
          </w:tblCellMar>
        </w:tblPrEx>
        <w:tc>
          <w:tcPr>
            <w:tcW w:w="9957" w:type="dxa"/>
            <w:gridSpan w:val="4"/>
            <w:tcMar>
              <w:top w:w="0" w:type="dxa"/>
              <w:left w:w="108" w:type="dxa"/>
              <w:bottom w:w="0" w:type="dxa"/>
              <w:right w:w="108" w:type="dxa"/>
            </w:tcMar>
            <w:vAlign w:val="center"/>
          </w:tcPr>
          <w:p w14:paraId="1FF1BA4E">
            <w:pPr>
              <w:pStyle w:val="23"/>
              <w:tabs>
                <w:tab w:val="left" w:pos="0"/>
                <w:tab w:val="left" w:pos="28"/>
                <w:tab w:val="left" w:pos="56"/>
                <w:tab w:val="clear" w:pos="1140"/>
              </w:tabs>
              <w:spacing w:line="440" w:lineRule="exact"/>
              <w:ind w:firstLine="482"/>
              <w:rPr>
                <w:rFonts w:ascii="宋体" w:hAnsi="宋体" w:cs="宋体"/>
                <w:b/>
                <w:bCs/>
                <w:color w:val="auto"/>
                <w:sz w:val="24"/>
                <w:highlight w:val="none"/>
              </w:rPr>
            </w:pPr>
            <w:r>
              <w:rPr>
                <w:rFonts w:hint="eastAsia" w:ascii="宋体" w:hAnsi="宋体" w:cs="宋体"/>
                <w:b/>
                <w:bCs/>
                <w:color w:val="auto"/>
                <w:sz w:val="24"/>
                <w:highlight w:val="none"/>
              </w:rPr>
              <w:t>上述带“★ ”号条款供应商应逐条进行响应，并逐条填写带“★”号条款响应表。其中，项号</w:t>
            </w:r>
            <w:r>
              <w:rPr>
                <w:rFonts w:hint="eastAsia" w:ascii="宋体" w:hAnsi="宋体" w:cs="宋体"/>
                <w:b/>
                <w:bCs/>
                <w:color w:val="auto"/>
                <w:sz w:val="24"/>
                <w:highlight w:val="none"/>
                <w:u w:val="single"/>
              </w:rPr>
              <w:t xml:space="preserve"> </w:t>
            </w:r>
            <w:r>
              <w:rPr>
                <w:rFonts w:hint="eastAsia" w:ascii="宋体" w:hAnsi="宋体" w:cs="宋体"/>
                <w:b/>
                <w:bCs/>
                <w:color w:val="auto"/>
                <w:sz w:val="24"/>
                <w:highlight w:val="none"/>
                <w:u w:val="single"/>
                <w:lang w:val="en-US" w:eastAsia="zh-CN"/>
              </w:rPr>
              <w:t>1</w:t>
            </w:r>
            <w:r>
              <w:rPr>
                <w:rFonts w:hint="eastAsia" w:ascii="宋体" w:hAnsi="宋体" w:cs="宋体"/>
                <w:b/>
                <w:bCs/>
                <w:color w:val="auto"/>
                <w:sz w:val="24"/>
                <w:highlight w:val="none"/>
              </w:rPr>
              <w:t>的条款，要求供应商应在响应文中提供实质性满足询价文件要求的客观证据以作佐证，否则询价小组将认定为不满足。</w:t>
            </w:r>
          </w:p>
          <w:p w14:paraId="3A4BC215">
            <w:pPr>
              <w:pStyle w:val="23"/>
              <w:tabs>
                <w:tab w:val="left" w:pos="0"/>
                <w:tab w:val="left" w:pos="28"/>
                <w:tab w:val="left" w:pos="56"/>
                <w:tab w:val="clear" w:pos="1140"/>
              </w:tabs>
              <w:spacing w:line="440" w:lineRule="exact"/>
              <w:ind w:firstLine="482"/>
              <w:rPr>
                <w:rFonts w:ascii="宋体" w:hAnsi="宋体" w:cs="宋体"/>
                <w:b/>
                <w:bCs/>
                <w:color w:val="auto"/>
                <w:sz w:val="24"/>
                <w:highlight w:val="none"/>
              </w:rPr>
            </w:pPr>
          </w:p>
        </w:tc>
      </w:tr>
    </w:tbl>
    <w:p w14:paraId="52834C16">
      <w:pPr>
        <w:keepNext/>
        <w:keepLines/>
        <w:pageBreakBefore/>
        <w:spacing w:before="260" w:after="260" w:line="360" w:lineRule="auto"/>
        <w:jc w:val="center"/>
        <w:outlineLvl w:val="1"/>
        <w:rPr>
          <w:rFonts w:ascii="宋体" w:hAnsi="宋体" w:cs="宋体"/>
          <w:b/>
          <w:bCs/>
          <w:color w:val="auto"/>
          <w:sz w:val="30"/>
          <w:szCs w:val="32"/>
          <w:highlight w:val="none"/>
        </w:rPr>
      </w:pPr>
      <w:r>
        <w:rPr>
          <w:rFonts w:hint="eastAsia" w:ascii="宋体" w:hAnsi="宋体" w:cs="宋体"/>
          <w:b/>
          <w:bCs/>
          <w:color w:val="auto"/>
          <w:sz w:val="30"/>
          <w:szCs w:val="32"/>
          <w:highlight w:val="none"/>
        </w:rPr>
        <w:t>供应商须知前附表3：</w:t>
      </w:r>
      <w:bookmarkEnd w:id="13"/>
      <w:bookmarkEnd w:id="14"/>
      <w:bookmarkEnd w:id="15"/>
      <w:r>
        <w:rPr>
          <w:rFonts w:hint="eastAsia" w:ascii="宋体" w:hAnsi="宋体" w:cs="宋体"/>
          <w:b/>
          <w:bCs/>
          <w:color w:val="auto"/>
          <w:sz w:val="30"/>
          <w:szCs w:val="32"/>
          <w:highlight w:val="none"/>
          <w:lang w:eastAsia="zh-CN"/>
        </w:rPr>
        <w:t>响应</w:t>
      </w:r>
      <w:r>
        <w:rPr>
          <w:rFonts w:hint="eastAsia" w:ascii="宋体" w:hAnsi="宋体" w:cs="宋体"/>
          <w:b/>
          <w:bCs/>
          <w:color w:val="auto"/>
          <w:sz w:val="30"/>
          <w:szCs w:val="32"/>
          <w:highlight w:val="none"/>
        </w:rPr>
        <w:t>规则、评审标准</w:t>
      </w:r>
      <w:bookmarkEnd w:id="16"/>
    </w:p>
    <w:tbl>
      <w:tblPr>
        <w:tblStyle w:val="42"/>
        <w:tblW w:w="10017"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17"/>
      </w:tblGrid>
      <w:tr w14:paraId="0FBF4C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17" w:type="dxa"/>
            <w:tcBorders>
              <w:top w:val="single" w:color="auto" w:sz="4" w:space="0"/>
              <w:left w:val="single" w:color="auto" w:sz="4" w:space="0"/>
              <w:bottom w:val="single" w:color="auto" w:sz="4" w:space="0"/>
              <w:right w:val="single" w:color="auto" w:sz="4" w:space="0"/>
            </w:tcBorders>
            <w:vAlign w:val="top"/>
          </w:tcPr>
          <w:p w14:paraId="0BA269BE">
            <w:pPr>
              <w:pStyle w:val="9"/>
              <w:numPr>
                <w:ilvl w:val="0"/>
                <w:numId w:val="11"/>
              </w:numPr>
              <w:snapToGrid w:val="0"/>
              <w:spacing w:line="360" w:lineRule="auto"/>
              <w:rPr>
                <w:rFonts w:ascii="宋体" w:hAnsi="宋体" w:cs="宋体"/>
                <w:color w:val="auto"/>
                <w:sz w:val="24"/>
                <w:highlight w:val="none"/>
              </w:rPr>
            </w:pPr>
            <w:r>
              <w:rPr>
                <w:rFonts w:hint="eastAsia" w:ascii="宋体" w:hAnsi="宋体" w:cs="宋体"/>
                <w:color w:val="auto"/>
                <w:sz w:val="24"/>
                <w:highlight w:val="none"/>
                <w:lang w:eastAsia="zh-CN"/>
              </w:rPr>
              <w:t>评审</w:t>
            </w:r>
            <w:r>
              <w:rPr>
                <w:rFonts w:hint="eastAsia" w:ascii="宋体" w:hAnsi="宋体" w:cs="宋体"/>
                <w:color w:val="auto"/>
                <w:sz w:val="24"/>
                <w:highlight w:val="none"/>
              </w:rPr>
              <w:t>方法：</w:t>
            </w:r>
          </w:p>
          <w:p w14:paraId="6ED3AC73">
            <w:pPr>
              <w:pStyle w:val="9"/>
              <w:snapToGrid w:val="0"/>
              <w:spacing w:line="360" w:lineRule="auto"/>
              <w:ind w:left="480" w:firstLine="0"/>
              <w:rPr>
                <w:rFonts w:ascii="宋体" w:hAnsi="宋体" w:cs="宋体"/>
                <w:color w:val="auto"/>
                <w:sz w:val="24"/>
                <w:highlight w:val="none"/>
              </w:rPr>
            </w:pPr>
            <w:r>
              <w:rPr>
                <w:rFonts w:hint="eastAsia" w:ascii="宋体" w:hAnsi="宋体" w:cs="宋体"/>
                <w:color w:val="auto"/>
                <w:sz w:val="24"/>
                <w:highlight w:val="none"/>
              </w:rPr>
              <w:t xml:space="preserve"> ☑ 最低评标价法 </w:t>
            </w:r>
          </w:p>
        </w:tc>
      </w:tr>
      <w:tr w14:paraId="782777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40" w:hRule="atLeast"/>
        </w:trPr>
        <w:tc>
          <w:tcPr>
            <w:tcW w:w="10017" w:type="dxa"/>
            <w:tcBorders>
              <w:top w:val="single" w:color="auto" w:sz="4" w:space="0"/>
              <w:left w:val="single" w:color="auto" w:sz="4" w:space="0"/>
              <w:bottom w:val="single" w:color="auto" w:sz="4" w:space="0"/>
              <w:right w:val="single" w:color="auto" w:sz="4" w:space="0"/>
            </w:tcBorders>
            <w:vAlign w:val="top"/>
          </w:tcPr>
          <w:p w14:paraId="19328CE9">
            <w:pPr>
              <w:widowControl/>
              <w:snapToGrid w:val="0"/>
              <w:spacing w:line="360" w:lineRule="auto"/>
              <w:jc w:val="left"/>
              <w:rPr>
                <w:rFonts w:ascii="宋体" w:hAnsi="宋体" w:cs="宋体"/>
                <w:color w:val="auto"/>
                <w:sz w:val="24"/>
                <w:szCs w:val="24"/>
                <w:highlight w:val="none"/>
              </w:rPr>
            </w:pPr>
            <w:r>
              <w:rPr>
                <w:rFonts w:hint="eastAsia" w:ascii="宋体" w:hAnsi="宋体" w:cs="宋体"/>
                <w:color w:val="auto"/>
                <w:sz w:val="24"/>
                <w:szCs w:val="24"/>
                <w:highlight w:val="none"/>
              </w:rPr>
              <w:t>二、</w:t>
            </w:r>
            <w:r>
              <w:rPr>
                <w:rFonts w:hint="eastAsia" w:ascii="宋体" w:hAnsi="宋体" w:cs="宋体"/>
                <w:color w:val="auto"/>
                <w:sz w:val="24"/>
                <w:szCs w:val="24"/>
                <w:highlight w:val="none"/>
                <w:lang w:eastAsia="zh-CN"/>
              </w:rPr>
              <w:t>评审</w:t>
            </w:r>
            <w:r>
              <w:rPr>
                <w:rFonts w:hint="eastAsia" w:ascii="宋体" w:hAnsi="宋体" w:cs="宋体"/>
                <w:color w:val="auto"/>
                <w:sz w:val="24"/>
                <w:szCs w:val="24"/>
                <w:highlight w:val="none"/>
              </w:rPr>
              <w:t>标准：</w:t>
            </w:r>
          </w:p>
          <w:p w14:paraId="5EF2FAC0">
            <w:pPr>
              <w:widowControl/>
              <w:adjustRightInd w:val="0"/>
              <w:snapToGrid w:val="0"/>
              <w:spacing w:line="360" w:lineRule="auto"/>
              <w:ind w:firstLine="480" w:firstLineChars="200"/>
              <w:jc w:val="left"/>
              <w:rPr>
                <w:rFonts w:ascii="宋体" w:hAnsi="宋体" w:cs="宋体"/>
                <w:color w:val="auto"/>
                <w:sz w:val="24"/>
                <w:szCs w:val="24"/>
                <w:highlight w:val="none"/>
              </w:rPr>
            </w:pPr>
            <w:r>
              <w:rPr>
                <w:rFonts w:hint="eastAsia" w:ascii="宋体" w:hAnsi="宋体" w:cs="宋体"/>
                <w:color w:val="auto"/>
                <w:sz w:val="24"/>
                <w:szCs w:val="24"/>
                <w:highlight w:val="none"/>
              </w:rPr>
              <w:t>（一）首先按照</w:t>
            </w:r>
            <w:r>
              <w:rPr>
                <w:rFonts w:hint="eastAsia" w:ascii="宋体" w:hAnsi="宋体" w:cs="宋体"/>
                <w:color w:val="auto"/>
                <w:sz w:val="24"/>
                <w:szCs w:val="24"/>
                <w:highlight w:val="none"/>
                <w:lang w:eastAsia="zh-CN"/>
              </w:rPr>
              <w:t>评审</w:t>
            </w:r>
            <w:r>
              <w:rPr>
                <w:rFonts w:hint="eastAsia" w:ascii="宋体" w:hAnsi="宋体" w:cs="宋体"/>
                <w:color w:val="auto"/>
                <w:sz w:val="24"/>
                <w:szCs w:val="24"/>
                <w:highlight w:val="none"/>
              </w:rPr>
              <w:t>程序的规定对各供应商的资格性以及符合性做出评审，只有资格性检查和符合性检查合格的</w:t>
            </w:r>
            <w:r>
              <w:rPr>
                <w:rFonts w:hint="eastAsia" w:ascii="宋体" w:hAnsi="宋体" w:cs="宋体"/>
                <w:color w:val="auto"/>
                <w:sz w:val="24"/>
                <w:szCs w:val="24"/>
                <w:highlight w:val="none"/>
                <w:lang w:eastAsia="zh-CN"/>
              </w:rPr>
              <w:t>响应文件</w:t>
            </w:r>
            <w:r>
              <w:rPr>
                <w:rFonts w:hint="eastAsia" w:ascii="宋体" w:hAnsi="宋体" w:cs="宋体"/>
                <w:color w:val="auto"/>
                <w:sz w:val="24"/>
                <w:szCs w:val="24"/>
                <w:highlight w:val="none"/>
              </w:rPr>
              <w:t>才能进入价格评审程序。</w:t>
            </w:r>
          </w:p>
          <w:p w14:paraId="197E1808">
            <w:pPr>
              <w:widowControl/>
              <w:adjustRightInd w:val="0"/>
              <w:snapToGrid w:val="0"/>
              <w:spacing w:line="360" w:lineRule="auto"/>
              <w:ind w:firstLine="480" w:firstLineChars="200"/>
              <w:jc w:val="left"/>
              <w:rPr>
                <w:rFonts w:ascii="宋体" w:hAnsi="宋体" w:cs="宋体"/>
                <w:b/>
                <w:bCs/>
                <w:color w:val="auto"/>
                <w:sz w:val="24"/>
                <w:szCs w:val="24"/>
                <w:highlight w:val="none"/>
              </w:rPr>
            </w:pPr>
            <w:r>
              <w:rPr>
                <w:rFonts w:hint="eastAsia" w:ascii="宋体" w:hAnsi="宋体" w:cs="宋体"/>
                <w:color w:val="auto"/>
                <w:sz w:val="24"/>
                <w:szCs w:val="24"/>
                <w:highlight w:val="none"/>
              </w:rPr>
              <w:t>询价小组对通过以上审核的有效供应商进行评审和推荐，在所有有效供应商均符合采购需求，质量和服务相等的前提下，以提出最低报价的供应商作为报价成交供应商。最低报价有二家或以上相同的，</w:t>
            </w:r>
            <w:r>
              <w:rPr>
                <w:rFonts w:hint="eastAsia" w:ascii="宋体" w:hAnsi="宋体" w:cs="宋体"/>
                <w:b w:val="0"/>
                <w:bCs w:val="0"/>
                <w:color w:val="auto"/>
                <w:sz w:val="24"/>
                <w:szCs w:val="24"/>
                <w:highlight w:val="none"/>
                <w:lang w:val="en-US" w:eastAsia="zh-CN"/>
              </w:rPr>
              <w:t>则通过随机抽取确定中标人</w:t>
            </w:r>
            <w:r>
              <w:rPr>
                <w:rFonts w:hint="eastAsia" w:ascii="宋体" w:hAnsi="宋体" w:cs="宋体"/>
                <w:b w:val="0"/>
                <w:bCs w:val="0"/>
                <w:color w:val="auto"/>
                <w:sz w:val="24"/>
                <w:szCs w:val="24"/>
                <w:highlight w:val="none"/>
              </w:rPr>
              <w:t>。</w:t>
            </w:r>
          </w:p>
          <w:p w14:paraId="2882C283">
            <w:pPr>
              <w:widowControl/>
              <w:adjustRightInd w:val="0"/>
              <w:snapToGrid w:val="0"/>
              <w:spacing w:line="360" w:lineRule="auto"/>
              <w:ind w:firstLine="480" w:firstLineChars="200"/>
              <w:jc w:val="left"/>
              <w:rPr>
                <w:rFonts w:ascii="宋体" w:hAnsi="宋体" w:cs="宋体"/>
                <w:color w:val="auto"/>
                <w:sz w:val="24"/>
                <w:szCs w:val="24"/>
                <w:highlight w:val="none"/>
              </w:rPr>
            </w:pPr>
            <w:r>
              <w:rPr>
                <w:rFonts w:hint="eastAsia" w:ascii="宋体" w:hAnsi="宋体" w:cs="宋体"/>
                <w:color w:val="auto"/>
                <w:sz w:val="24"/>
                <w:szCs w:val="24"/>
                <w:highlight w:val="none"/>
              </w:rPr>
              <w:t>（二）若本次询价为本项目采购的首次询价，当对询价文件作出实质性响应的供应商不足三家时，本次询价失败。失败后将另行公告征集</w:t>
            </w:r>
            <w:r>
              <w:rPr>
                <w:rFonts w:hint="eastAsia" w:ascii="宋体" w:hAnsi="宋体" w:cs="宋体"/>
                <w:color w:val="auto"/>
                <w:sz w:val="24"/>
                <w:szCs w:val="24"/>
                <w:highlight w:val="none"/>
                <w:lang w:eastAsia="zh-CN"/>
              </w:rPr>
              <w:t>（邀请）</w:t>
            </w:r>
            <w:r>
              <w:rPr>
                <w:rFonts w:hint="eastAsia" w:ascii="宋体" w:hAnsi="宋体" w:cs="宋体"/>
                <w:color w:val="auto"/>
                <w:sz w:val="24"/>
                <w:szCs w:val="24"/>
                <w:highlight w:val="none"/>
              </w:rPr>
              <w:t>和补充供应商或由询价小组从符合相应资格条件的供应商名单中补充参加报价的供应商，并重新组织询价。经补充后，对询价文件作出实质响应的供应商只有两家的，询价小组可以按本评审办法进行评审；只有一家的，可以采取单一来源方式采购，询价小组按照符合采购需求、报价合理的原则推荐成交供应商。</w:t>
            </w:r>
          </w:p>
          <w:p w14:paraId="3C512571">
            <w:pPr>
              <w:widowControl/>
              <w:adjustRightInd w:val="0"/>
              <w:snapToGrid w:val="0"/>
              <w:spacing w:line="360" w:lineRule="auto"/>
              <w:ind w:firstLine="480" w:firstLineChars="200"/>
              <w:jc w:val="left"/>
              <w:rPr>
                <w:rFonts w:ascii="宋体" w:hAnsi="宋体" w:cs="宋体"/>
                <w:color w:val="auto"/>
                <w:sz w:val="24"/>
                <w:szCs w:val="24"/>
                <w:highlight w:val="none"/>
              </w:rPr>
            </w:pPr>
            <w:r>
              <w:rPr>
                <w:rFonts w:hint="eastAsia" w:ascii="宋体" w:hAnsi="宋体" w:cs="宋体"/>
                <w:color w:val="auto"/>
                <w:sz w:val="24"/>
                <w:szCs w:val="24"/>
                <w:highlight w:val="none"/>
              </w:rPr>
              <w:t>（三）推荐</w:t>
            </w:r>
            <w:r>
              <w:rPr>
                <w:rFonts w:hint="eastAsia" w:ascii="宋体" w:hAnsi="宋体" w:cs="宋体"/>
                <w:color w:val="auto"/>
                <w:sz w:val="24"/>
                <w:szCs w:val="24"/>
                <w:highlight w:val="none"/>
                <w:lang w:eastAsia="zh-CN"/>
              </w:rPr>
              <w:t>成交</w:t>
            </w:r>
            <w:r>
              <w:rPr>
                <w:rFonts w:hint="eastAsia" w:ascii="宋体" w:hAnsi="宋体" w:cs="宋体"/>
                <w:color w:val="auto"/>
                <w:sz w:val="24"/>
                <w:szCs w:val="24"/>
                <w:highlight w:val="none"/>
              </w:rPr>
              <w:t>候选单位名单。</w:t>
            </w:r>
          </w:p>
          <w:p w14:paraId="00361DFA">
            <w:pPr>
              <w:widowControl/>
              <w:adjustRightInd w:val="0"/>
              <w:snapToGrid w:val="0"/>
              <w:spacing w:line="360" w:lineRule="auto"/>
              <w:ind w:firstLine="480" w:firstLineChars="200"/>
              <w:jc w:val="left"/>
              <w:rPr>
                <w:rFonts w:ascii="宋体" w:hAnsi="宋体" w:cs="宋体"/>
                <w:color w:val="auto"/>
                <w:sz w:val="24"/>
                <w:szCs w:val="24"/>
                <w:highlight w:val="none"/>
              </w:rPr>
            </w:pPr>
            <w:r>
              <w:rPr>
                <w:rFonts w:hint="eastAsia" w:ascii="宋体" w:hAnsi="宋体" w:cs="宋体"/>
                <w:color w:val="auto"/>
                <w:sz w:val="24"/>
                <w:szCs w:val="24"/>
                <w:highlight w:val="none"/>
              </w:rPr>
              <w:t>1、</w:t>
            </w:r>
            <w:r>
              <w:rPr>
                <w:rFonts w:hint="eastAsia" w:ascii="宋体" w:hAnsi="宋体" w:cs="宋体"/>
                <w:color w:val="auto"/>
                <w:sz w:val="24"/>
                <w:szCs w:val="24"/>
                <w:highlight w:val="none"/>
                <w:lang w:eastAsia="zh-CN"/>
              </w:rPr>
              <w:t>成交</w:t>
            </w:r>
            <w:r>
              <w:rPr>
                <w:rFonts w:hint="eastAsia" w:ascii="宋体" w:hAnsi="宋体" w:cs="宋体"/>
                <w:color w:val="auto"/>
                <w:sz w:val="24"/>
                <w:szCs w:val="24"/>
                <w:highlight w:val="none"/>
              </w:rPr>
              <w:t>候选单位数量：1-3个。</w:t>
            </w:r>
          </w:p>
          <w:p w14:paraId="28686591">
            <w:pPr>
              <w:adjustRightInd w:val="0"/>
              <w:snapToGrid w:val="0"/>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2、</w:t>
            </w:r>
            <w:r>
              <w:rPr>
                <w:rFonts w:hint="eastAsia" w:ascii="宋体" w:hAnsi="宋体" w:cs="宋体"/>
                <w:color w:val="auto"/>
                <w:sz w:val="24"/>
                <w:szCs w:val="24"/>
                <w:highlight w:val="none"/>
                <w:lang w:eastAsia="zh-CN"/>
              </w:rPr>
              <w:t>成交</w:t>
            </w:r>
            <w:r>
              <w:rPr>
                <w:rFonts w:hint="eastAsia" w:ascii="宋体" w:hAnsi="宋体" w:cs="宋体"/>
                <w:color w:val="auto"/>
                <w:sz w:val="24"/>
                <w:szCs w:val="24"/>
                <w:highlight w:val="none"/>
              </w:rPr>
              <w:t>候选单位排列顺序。经</w:t>
            </w:r>
            <w:r>
              <w:rPr>
                <w:rFonts w:hint="eastAsia" w:ascii="宋体" w:hAnsi="宋体" w:cs="宋体"/>
                <w:color w:val="auto"/>
                <w:sz w:val="24"/>
                <w:szCs w:val="24"/>
                <w:highlight w:val="none"/>
                <w:lang w:eastAsia="zh-CN"/>
              </w:rPr>
              <w:t>响应文件</w:t>
            </w:r>
            <w:r>
              <w:rPr>
                <w:rFonts w:hint="eastAsia" w:ascii="宋体" w:hAnsi="宋体" w:cs="宋体"/>
                <w:color w:val="auto"/>
                <w:sz w:val="24"/>
                <w:szCs w:val="24"/>
                <w:highlight w:val="none"/>
              </w:rPr>
              <w:t>初审、澄清有关问题、比较与评价</w:t>
            </w:r>
            <w:r>
              <w:rPr>
                <w:rFonts w:hint="eastAsia" w:ascii="宋体" w:hAnsi="宋体" w:cs="宋体"/>
                <w:color w:val="auto"/>
                <w:sz w:val="24"/>
                <w:szCs w:val="24"/>
                <w:highlight w:val="none"/>
                <w:lang w:eastAsia="zh-CN"/>
              </w:rPr>
              <w:t>评审</w:t>
            </w:r>
            <w:r>
              <w:rPr>
                <w:rFonts w:hint="eastAsia" w:ascii="宋体" w:hAnsi="宋体" w:cs="宋体"/>
                <w:color w:val="auto"/>
                <w:sz w:val="24"/>
                <w:szCs w:val="24"/>
                <w:highlight w:val="none"/>
              </w:rPr>
              <w:t>程序后，按以下办法推荐</w:t>
            </w:r>
            <w:r>
              <w:rPr>
                <w:rFonts w:hint="eastAsia" w:ascii="宋体" w:hAnsi="宋体" w:cs="宋体"/>
                <w:color w:val="auto"/>
                <w:sz w:val="24"/>
                <w:szCs w:val="24"/>
                <w:highlight w:val="none"/>
                <w:lang w:eastAsia="zh-CN"/>
              </w:rPr>
              <w:t>成交</w:t>
            </w:r>
            <w:r>
              <w:rPr>
                <w:rFonts w:hint="eastAsia" w:ascii="宋体" w:hAnsi="宋体" w:cs="宋体"/>
                <w:color w:val="auto"/>
                <w:sz w:val="24"/>
                <w:szCs w:val="24"/>
                <w:highlight w:val="none"/>
              </w:rPr>
              <w:t>候选单位名单的排列顺序：采用最低评标价法的，按</w:t>
            </w:r>
            <w:r>
              <w:rPr>
                <w:rFonts w:hint="eastAsia" w:ascii="宋体" w:hAnsi="宋体" w:cs="宋体"/>
                <w:color w:val="auto"/>
                <w:sz w:val="24"/>
                <w:szCs w:val="24"/>
                <w:highlight w:val="none"/>
                <w:lang w:eastAsia="zh-CN"/>
              </w:rPr>
              <w:t>响应</w:t>
            </w:r>
            <w:r>
              <w:rPr>
                <w:rFonts w:hint="eastAsia" w:ascii="宋体" w:hAnsi="宋体" w:cs="宋体"/>
                <w:color w:val="auto"/>
                <w:sz w:val="24"/>
                <w:szCs w:val="24"/>
                <w:highlight w:val="none"/>
              </w:rPr>
              <w:t>报价由低到高顺序排列。</w:t>
            </w:r>
            <w:r>
              <w:rPr>
                <w:rFonts w:hint="eastAsia" w:ascii="宋体" w:hAnsi="宋体" w:cs="宋体"/>
                <w:color w:val="auto"/>
                <w:sz w:val="24"/>
                <w:szCs w:val="24"/>
                <w:highlight w:val="none"/>
                <w:lang w:val="en-US" w:eastAsia="zh-CN"/>
              </w:rPr>
              <w:t>则通过随机抽取确认</w:t>
            </w:r>
            <w:r>
              <w:rPr>
                <w:rFonts w:hint="eastAsia" w:ascii="宋体" w:hAnsi="宋体" w:cs="宋体"/>
                <w:color w:val="auto"/>
                <w:sz w:val="24"/>
                <w:szCs w:val="24"/>
                <w:highlight w:val="none"/>
              </w:rPr>
              <w:t>。</w:t>
            </w:r>
          </w:p>
        </w:tc>
      </w:tr>
    </w:tbl>
    <w:p w14:paraId="71454C40">
      <w:pPr>
        <w:tabs>
          <w:tab w:val="left" w:pos="1080"/>
        </w:tabs>
        <w:spacing w:line="360" w:lineRule="auto"/>
        <w:rPr>
          <w:rFonts w:ascii="宋体" w:hAnsi="宋体" w:cs="宋体"/>
          <w:color w:val="auto"/>
          <w:sz w:val="24"/>
          <w:highlight w:val="none"/>
        </w:rPr>
      </w:pPr>
    </w:p>
    <w:p w14:paraId="3A48710E">
      <w:pPr>
        <w:pStyle w:val="3"/>
        <w:pageBreakBefore/>
        <w:spacing w:beforeLines="50" w:afterLines="50" w:line="470" w:lineRule="exact"/>
        <w:jc w:val="center"/>
        <w:rPr>
          <w:rFonts w:ascii="宋体" w:hAnsi="宋体" w:cs="宋体"/>
          <w:color w:val="auto"/>
          <w:sz w:val="24"/>
          <w:szCs w:val="24"/>
          <w:highlight w:val="none"/>
        </w:rPr>
      </w:pPr>
      <w:bookmarkStart w:id="17" w:name="_Toc36974064"/>
      <w:bookmarkStart w:id="18" w:name="_Toc37236853"/>
      <w:bookmarkStart w:id="19" w:name="_Toc36973998"/>
      <w:bookmarkStart w:id="20" w:name="_Toc36974353"/>
      <w:bookmarkStart w:id="21" w:name="_Toc32815552"/>
      <w:bookmarkStart w:id="22" w:name="_Toc36867053"/>
      <w:bookmarkStart w:id="23" w:name="_Toc36885867"/>
      <w:bookmarkStart w:id="24" w:name="_Toc36974302"/>
      <w:bookmarkStart w:id="25" w:name="_Toc36974220"/>
      <w:bookmarkStart w:id="26" w:name="_Toc36973211"/>
      <w:bookmarkStart w:id="27" w:name="_Toc526873904"/>
      <w:r>
        <w:rPr>
          <w:rFonts w:hint="eastAsia" w:ascii="宋体" w:hAnsi="宋体" w:cs="宋体"/>
          <w:color w:val="auto"/>
          <w:sz w:val="24"/>
          <w:szCs w:val="24"/>
          <w:highlight w:val="none"/>
        </w:rPr>
        <w:t xml:space="preserve">第一节　总 </w:t>
      </w:r>
      <w:bookmarkEnd w:id="17"/>
      <w:bookmarkEnd w:id="18"/>
      <w:bookmarkEnd w:id="19"/>
      <w:bookmarkEnd w:id="20"/>
      <w:bookmarkEnd w:id="21"/>
      <w:bookmarkEnd w:id="22"/>
      <w:bookmarkEnd w:id="23"/>
      <w:bookmarkEnd w:id="24"/>
      <w:bookmarkEnd w:id="25"/>
      <w:bookmarkEnd w:id="26"/>
      <w:r>
        <w:rPr>
          <w:rFonts w:hint="eastAsia" w:ascii="宋体" w:hAnsi="宋体" w:cs="宋体"/>
          <w:color w:val="auto"/>
          <w:sz w:val="24"/>
          <w:szCs w:val="24"/>
          <w:highlight w:val="none"/>
        </w:rPr>
        <w:t>则</w:t>
      </w:r>
      <w:bookmarkEnd w:id="27"/>
    </w:p>
    <w:p w14:paraId="422DA423">
      <w:pPr>
        <w:pStyle w:val="3"/>
        <w:numPr>
          <w:ilvl w:val="0"/>
          <w:numId w:val="12"/>
        </w:numPr>
        <w:spacing w:before="0" w:after="0" w:line="470" w:lineRule="exact"/>
        <w:ind w:hanging="902"/>
        <w:jc w:val="left"/>
        <w:rPr>
          <w:rFonts w:ascii="宋体" w:hAnsi="宋体" w:cs="宋体"/>
          <w:color w:val="auto"/>
          <w:sz w:val="24"/>
          <w:szCs w:val="24"/>
          <w:highlight w:val="none"/>
        </w:rPr>
      </w:pPr>
      <w:bookmarkStart w:id="28" w:name="_Toc526873905"/>
      <w:bookmarkStart w:id="29" w:name="_Toc341834116"/>
      <w:bookmarkStart w:id="30" w:name="_Toc341650736"/>
      <w:bookmarkStart w:id="31" w:name="_Toc381261946"/>
      <w:bookmarkStart w:id="32" w:name="_Toc160543033"/>
      <w:bookmarkStart w:id="33" w:name="_Toc51489353"/>
      <w:r>
        <w:rPr>
          <w:rFonts w:hint="eastAsia" w:ascii="宋体" w:hAnsi="宋体" w:cs="宋体"/>
          <w:color w:val="auto"/>
          <w:sz w:val="24"/>
          <w:szCs w:val="24"/>
          <w:highlight w:val="none"/>
        </w:rPr>
        <w:t>适用范围</w:t>
      </w:r>
      <w:bookmarkEnd w:id="28"/>
      <w:bookmarkEnd w:id="29"/>
      <w:bookmarkEnd w:id="30"/>
      <w:bookmarkEnd w:id="31"/>
      <w:bookmarkEnd w:id="32"/>
    </w:p>
    <w:p w14:paraId="5D896B13">
      <w:pPr>
        <w:numPr>
          <w:ilvl w:val="1"/>
          <w:numId w:val="13"/>
        </w:numPr>
        <w:tabs>
          <w:tab w:val="left" w:pos="1019"/>
        </w:tabs>
        <w:spacing w:line="470" w:lineRule="exact"/>
        <w:ind w:left="55"/>
        <w:rPr>
          <w:rFonts w:ascii="宋体" w:hAnsi="宋体" w:cs="宋体"/>
          <w:color w:val="auto"/>
          <w:sz w:val="24"/>
          <w:szCs w:val="24"/>
          <w:highlight w:val="none"/>
        </w:rPr>
      </w:pPr>
      <w:r>
        <w:rPr>
          <w:rFonts w:hint="eastAsia" w:ascii="宋体" w:hAnsi="宋体" w:cs="宋体"/>
          <w:color w:val="auto"/>
          <w:sz w:val="24"/>
          <w:szCs w:val="24"/>
          <w:highlight w:val="none"/>
        </w:rPr>
        <w:t>本询价文件仅适用于</w:t>
      </w:r>
      <w:r>
        <w:rPr>
          <w:rFonts w:hint="eastAsia" w:ascii="宋体" w:hAnsi="宋体" w:cs="宋体"/>
          <w:color w:val="auto"/>
          <w:sz w:val="24"/>
          <w:szCs w:val="24"/>
          <w:highlight w:val="none"/>
          <w:lang w:eastAsia="zh-CN"/>
        </w:rPr>
        <w:t>询价邀请</w:t>
      </w:r>
      <w:r>
        <w:rPr>
          <w:rFonts w:hint="eastAsia" w:ascii="宋体" w:hAnsi="宋体" w:cs="宋体"/>
          <w:color w:val="auto"/>
          <w:sz w:val="24"/>
          <w:szCs w:val="24"/>
          <w:highlight w:val="none"/>
        </w:rPr>
        <w:t>中所述项目的货物及服务采购。</w:t>
      </w:r>
    </w:p>
    <w:p w14:paraId="01EF2926">
      <w:pPr>
        <w:pStyle w:val="3"/>
        <w:numPr>
          <w:ilvl w:val="0"/>
          <w:numId w:val="12"/>
        </w:numPr>
        <w:spacing w:before="0" w:after="0" w:line="470" w:lineRule="exact"/>
        <w:ind w:hanging="902"/>
        <w:rPr>
          <w:rFonts w:ascii="宋体" w:hAnsi="宋体" w:cs="宋体"/>
          <w:color w:val="auto"/>
          <w:sz w:val="24"/>
          <w:szCs w:val="24"/>
          <w:highlight w:val="none"/>
        </w:rPr>
      </w:pPr>
      <w:bookmarkStart w:id="34" w:name="_Toc526873906"/>
      <w:bookmarkStart w:id="35" w:name="_Toc341650737"/>
      <w:bookmarkStart w:id="36" w:name="_Toc341834117"/>
      <w:bookmarkStart w:id="37" w:name="_Toc381261947"/>
      <w:bookmarkStart w:id="38" w:name="_Toc160543034"/>
      <w:r>
        <w:rPr>
          <w:rFonts w:hint="eastAsia" w:ascii="宋体" w:hAnsi="宋体" w:cs="宋体"/>
          <w:color w:val="auto"/>
          <w:sz w:val="24"/>
          <w:szCs w:val="24"/>
          <w:highlight w:val="none"/>
        </w:rPr>
        <w:t>定义</w:t>
      </w:r>
      <w:bookmarkEnd w:id="34"/>
      <w:bookmarkEnd w:id="35"/>
      <w:bookmarkEnd w:id="36"/>
      <w:bookmarkEnd w:id="37"/>
      <w:bookmarkEnd w:id="38"/>
    </w:p>
    <w:p w14:paraId="29F60D78">
      <w:pPr>
        <w:pStyle w:val="90"/>
        <w:numPr>
          <w:ilvl w:val="0"/>
          <w:numId w:val="13"/>
        </w:numPr>
        <w:tabs>
          <w:tab w:val="left" w:pos="1249"/>
        </w:tabs>
        <w:spacing w:line="470" w:lineRule="exact"/>
        <w:ind w:firstLineChars="0"/>
        <w:rPr>
          <w:rFonts w:ascii="宋体" w:hAnsi="宋体" w:cs="宋体"/>
          <w:vanish/>
          <w:color w:val="auto"/>
          <w:sz w:val="24"/>
          <w:szCs w:val="24"/>
          <w:highlight w:val="none"/>
        </w:rPr>
      </w:pPr>
      <w:bookmarkStart w:id="39" w:name="_Toc160543035"/>
    </w:p>
    <w:p w14:paraId="3AA4C2B9">
      <w:pPr>
        <w:numPr>
          <w:ilvl w:val="1"/>
          <w:numId w:val="13"/>
        </w:numPr>
        <w:tabs>
          <w:tab w:val="left" w:pos="1019"/>
        </w:tabs>
        <w:spacing w:line="470" w:lineRule="exact"/>
        <w:ind w:left="55"/>
        <w:rPr>
          <w:rFonts w:ascii="宋体" w:hAnsi="宋体" w:cs="宋体"/>
          <w:color w:val="auto"/>
          <w:sz w:val="24"/>
          <w:szCs w:val="24"/>
          <w:highlight w:val="none"/>
        </w:rPr>
      </w:pPr>
      <w:r>
        <w:rPr>
          <w:rFonts w:hint="eastAsia" w:ascii="宋体" w:hAnsi="宋体" w:cs="宋体"/>
          <w:color w:val="auto"/>
          <w:sz w:val="24"/>
          <w:szCs w:val="24"/>
          <w:highlight w:val="none"/>
        </w:rPr>
        <w:t>“采购人”系指本次采购项目的业主方。</w:t>
      </w:r>
    </w:p>
    <w:p w14:paraId="6858ED6F">
      <w:pPr>
        <w:numPr>
          <w:ilvl w:val="1"/>
          <w:numId w:val="13"/>
        </w:numPr>
        <w:tabs>
          <w:tab w:val="left" w:pos="1019"/>
        </w:tabs>
        <w:spacing w:line="470" w:lineRule="exact"/>
        <w:ind w:left="55"/>
        <w:rPr>
          <w:rFonts w:ascii="宋体" w:hAnsi="宋体" w:cs="宋体"/>
          <w:color w:val="auto"/>
          <w:sz w:val="24"/>
          <w:szCs w:val="24"/>
          <w:highlight w:val="none"/>
        </w:rPr>
      </w:pPr>
      <w:r>
        <w:rPr>
          <w:rFonts w:hint="eastAsia" w:ascii="宋体" w:hAnsi="宋体" w:cs="宋体"/>
          <w:color w:val="auto"/>
          <w:sz w:val="24"/>
          <w:szCs w:val="24"/>
          <w:highlight w:val="none"/>
        </w:rPr>
        <w:t>“采购代理机构”系指受采购人委托代理本次采购项目活动的组织方。</w:t>
      </w:r>
    </w:p>
    <w:p w14:paraId="69109B88">
      <w:pPr>
        <w:numPr>
          <w:ilvl w:val="1"/>
          <w:numId w:val="13"/>
        </w:numPr>
        <w:tabs>
          <w:tab w:val="left" w:pos="1019"/>
        </w:tabs>
        <w:spacing w:line="470" w:lineRule="exact"/>
        <w:ind w:left="55"/>
        <w:rPr>
          <w:rFonts w:ascii="宋体" w:hAnsi="宋体" w:cs="宋体"/>
          <w:color w:val="auto"/>
          <w:sz w:val="24"/>
          <w:szCs w:val="24"/>
          <w:highlight w:val="none"/>
        </w:rPr>
      </w:pPr>
      <w:r>
        <w:rPr>
          <w:rFonts w:hint="eastAsia" w:ascii="宋体" w:hAnsi="宋体" w:cs="宋体"/>
          <w:color w:val="auto"/>
          <w:sz w:val="24"/>
          <w:szCs w:val="24"/>
          <w:highlight w:val="none"/>
        </w:rPr>
        <w:t>“供应商”系指响应采购需求并且符合采购规定资格条件和参加</w:t>
      </w:r>
      <w:r>
        <w:rPr>
          <w:rFonts w:hint="eastAsia" w:ascii="宋体" w:hAnsi="宋体" w:cs="宋体"/>
          <w:color w:val="auto"/>
          <w:sz w:val="24"/>
          <w:szCs w:val="24"/>
          <w:highlight w:val="none"/>
          <w:lang w:eastAsia="zh-CN"/>
        </w:rPr>
        <w:t>响应</w:t>
      </w:r>
      <w:r>
        <w:rPr>
          <w:rFonts w:hint="eastAsia" w:ascii="宋体" w:hAnsi="宋体" w:cs="宋体"/>
          <w:color w:val="auto"/>
          <w:sz w:val="24"/>
          <w:szCs w:val="24"/>
          <w:highlight w:val="none"/>
        </w:rPr>
        <w:t>的法人、其他组织或者自然人。</w:t>
      </w:r>
    </w:p>
    <w:p w14:paraId="686A8D04">
      <w:pPr>
        <w:numPr>
          <w:ilvl w:val="1"/>
          <w:numId w:val="13"/>
        </w:numPr>
        <w:tabs>
          <w:tab w:val="left" w:pos="1019"/>
        </w:tabs>
        <w:spacing w:line="470" w:lineRule="exact"/>
        <w:ind w:left="55"/>
        <w:rPr>
          <w:rFonts w:ascii="宋体" w:hAnsi="宋体" w:cs="宋体"/>
          <w:color w:val="auto"/>
          <w:sz w:val="24"/>
          <w:szCs w:val="24"/>
          <w:highlight w:val="none"/>
        </w:rPr>
      </w:pPr>
      <w:r>
        <w:rPr>
          <w:rFonts w:hint="eastAsia" w:ascii="宋体" w:hAnsi="宋体" w:cs="宋体"/>
          <w:color w:val="auto"/>
          <w:sz w:val="24"/>
          <w:szCs w:val="24"/>
          <w:highlight w:val="none"/>
        </w:rPr>
        <w:t>“货物”系指各种形态和种类的物品，包括原材料、燃料、设备、产品等。</w:t>
      </w:r>
    </w:p>
    <w:p w14:paraId="2031272D">
      <w:pPr>
        <w:numPr>
          <w:ilvl w:val="1"/>
          <w:numId w:val="13"/>
        </w:numPr>
        <w:tabs>
          <w:tab w:val="left" w:pos="1019"/>
        </w:tabs>
        <w:spacing w:line="470" w:lineRule="exact"/>
        <w:ind w:left="55"/>
        <w:rPr>
          <w:rFonts w:ascii="宋体" w:hAnsi="宋体" w:cs="宋体"/>
          <w:color w:val="auto"/>
          <w:sz w:val="24"/>
          <w:szCs w:val="24"/>
          <w:highlight w:val="none"/>
        </w:rPr>
      </w:pPr>
      <w:r>
        <w:rPr>
          <w:rFonts w:hint="eastAsia" w:ascii="宋体" w:hAnsi="宋体" w:cs="宋体"/>
          <w:color w:val="auto"/>
          <w:sz w:val="24"/>
          <w:szCs w:val="24"/>
          <w:highlight w:val="none"/>
        </w:rPr>
        <w:t>“服务”系指安装、调试、技术协助、校准、培训及其它类似的义务。</w:t>
      </w:r>
    </w:p>
    <w:p w14:paraId="64AA9118">
      <w:pPr>
        <w:pStyle w:val="3"/>
        <w:numPr>
          <w:ilvl w:val="0"/>
          <w:numId w:val="12"/>
        </w:numPr>
        <w:spacing w:before="0" w:after="0" w:line="470" w:lineRule="exact"/>
        <w:ind w:hanging="902"/>
        <w:rPr>
          <w:rFonts w:ascii="宋体" w:hAnsi="宋体" w:cs="宋体"/>
          <w:color w:val="auto"/>
          <w:sz w:val="24"/>
          <w:szCs w:val="24"/>
          <w:highlight w:val="none"/>
        </w:rPr>
      </w:pPr>
      <w:bookmarkStart w:id="40" w:name="_Toc341650738"/>
      <w:bookmarkStart w:id="41" w:name="_Toc341834118"/>
      <w:bookmarkStart w:id="42" w:name="_Toc339898485"/>
      <w:bookmarkStart w:id="43" w:name="_Toc526873907"/>
      <w:bookmarkStart w:id="44" w:name="_Toc381261948"/>
      <w:r>
        <w:rPr>
          <w:rFonts w:hint="eastAsia" w:ascii="宋体" w:hAnsi="宋体" w:cs="宋体"/>
          <w:color w:val="auto"/>
          <w:sz w:val="24"/>
          <w:szCs w:val="24"/>
          <w:highlight w:val="none"/>
        </w:rPr>
        <w:t>合格的供应商</w:t>
      </w:r>
      <w:bookmarkEnd w:id="40"/>
      <w:bookmarkEnd w:id="41"/>
      <w:bookmarkEnd w:id="42"/>
      <w:bookmarkEnd w:id="43"/>
      <w:bookmarkEnd w:id="44"/>
    </w:p>
    <w:p w14:paraId="5F51776D">
      <w:pPr>
        <w:pStyle w:val="90"/>
        <w:numPr>
          <w:ilvl w:val="0"/>
          <w:numId w:val="13"/>
        </w:numPr>
        <w:spacing w:line="470" w:lineRule="exact"/>
        <w:ind w:firstLineChars="0"/>
        <w:rPr>
          <w:rFonts w:ascii="宋体" w:hAnsi="宋体" w:cs="宋体"/>
          <w:vanish/>
          <w:color w:val="auto"/>
          <w:sz w:val="24"/>
          <w:szCs w:val="24"/>
          <w:highlight w:val="none"/>
        </w:rPr>
      </w:pPr>
    </w:p>
    <w:p w14:paraId="7E640E55">
      <w:pPr>
        <w:numPr>
          <w:ilvl w:val="1"/>
          <w:numId w:val="13"/>
        </w:numPr>
        <w:tabs>
          <w:tab w:val="left" w:pos="1019"/>
        </w:tabs>
        <w:spacing w:line="470" w:lineRule="exact"/>
        <w:ind w:left="55"/>
        <w:rPr>
          <w:rFonts w:ascii="宋体" w:hAnsi="宋体" w:cs="宋体"/>
          <w:color w:val="auto"/>
          <w:sz w:val="24"/>
          <w:szCs w:val="24"/>
          <w:highlight w:val="none"/>
        </w:rPr>
      </w:pPr>
      <w:r>
        <w:rPr>
          <w:rFonts w:hint="eastAsia" w:ascii="宋体" w:hAnsi="宋体" w:cs="宋体"/>
          <w:color w:val="auto"/>
          <w:sz w:val="24"/>
          <w:szCs w:val="24"/>
          <w:highlight w:val="none"/>
        </w:rPr>
        <w:t>凡有能力提供本询价文件所述货物及服务的，符合本询价文件规定资格要求的境内供应商均可能成为合格的供应商。</w:t>
      </w:r>
    </w:p>
    <w:p w14:paraId="2F12AEB1">
      <w:pPr>
        <w:numPr>
          <w:ilvl w:val="1"/>
          <w:numId w:val="13"/>
        </w:numPr>
        <w:tabs>
          <w:tab w:val="left" w:pos="1019"/>
        </w:tabs>
        <w:spacing w:line="470" w:lineRule="exact"/>
        <w:ind w:left="55"/>
        <w:rPr>
          <w:rFonts w:ascii="宋体" w:hAnsi="宋体" w:cs="宋体"/>
          <w:color w:val="auto"/>
          <w:sz w:val="24"/>
          <w:szCs w:val="24"/>
          <w:highlight w:val="none"/>
        </w:rPr>
      </w:pPr>
      <w:r>
        <w:rPr>
          <w:rFonts w:hint="eastAsia" w:ascii="宋体" w:hAnsi="宋体" w:cs="宋体"/>
          <w:color w:val="auto"/>
          <w:sz w:val="24"/>
          <w:szCs w:val="24"/>
          <w:highlight w:val="none"/>
        </w:rPr>
        <w:t>供应商应遵守有关法律、法规和规章的规定，同时其响应货物或服务也应符合有关法律、法规和规章的规定。</w:t>
      </w:r>
    </w:p>
    <w:p w14:paraId="276FEEAA">
      <w:pPr>
        <w:numPr>
          <w:ilvl w:val="1"/>
          <w:numId w:val="13"/>
        </w:numPr>
        <w:tabs>
          <w:tab w:val="left" w:pos="1019"/>
        </w:tabs>
        <w:spacing w:line="470" w:lineRule="exact"/>
        <w:ind w:left="55"/>
        <w:rPr>
          <w:rFonts w:ascii="宋体" w:hAnsi="宋体" w:cs="宋体"/>
          <w:color w:val="auto"/>
          <w:sz w:val="24"/>
          <w:szCs w:val="24"/>
          <w:highlight w:val="none"/>
        </w:rPr>
      </w:pPr>
      <w:r>
        <w:rPr>
          <w:rFonts w:hint="eastAsia" w:ascii="宋体" w:hAnsi="宋体" w:cs="宋体"/>
          <w:color w:val="auto"/>
          <w:sz w:val="24"/>
          <w:szCs w:val="24"/>
          <w:highlight w:val="none"/>
        </w:rPr>
        <w:t>一个供应商只能提交一个响应文件。如果供应商之间存在下列互为关联关系的情形之一的，不得同时参加本项目</w:t>
      </w:r>
      <w:r>
        <w:rPr>
          <w:rFonts w:hint="eastAsia" w:ascii="宋体" w:hAnsi="宋体" w:cs="宋体"/>
          <w:color w:val="auto"/>
          <w:sz w:val="24"/>
          <w:szCs w:val="24"/>
          <w:highlight w:val="none"/>
          <w:lang w:eastAsia="zh-CN"/>
        </w:rPr>
        <w:t>询价</w:t>
      </w:r>
      <w:r>
        <w:rPr>
          <w:rFonts w:hint="eastAsia" w:ascii="宋体" w:hAnsi="宋体" w:cs="宋体"/>
          <w:color w:val="auto"/>
          <w:sz w:val="24"/>
          <w:szCs w:val="24"/>
          <w:highlight w:val="none"/>
        </w:rPr>
        <w:t>：</w:t>
      </w:r>
    </w:p>
    <w:p w14:paraId="73853104">
      <w:pPr>
        <w:pStyle w:val="23"/>
        <w:numPr>
          <w:ilvl w:val="2"/>
          <w:numId w:val="13"/>
        </w:numPr>
        <w:tabs>
          <w:tab w:val="left" w:pos="360"/>
          <w:tab w:val="left" w:pos="540"/>
          <w:tab w:val="left" w:pos="1276"/>
          <w:tab w:val="clear" w:pos="1140"/>
        </w:tabs>
        <w:spacing w:line="470" w:lineRule="exact"/>
        <w:ind w:left="141" w:leftChars="67" w:firstLineChars="0"/>
        <w:rPr>
          <w:rFonts w:ascii="宋体" w:hAnsi="宋体" w:cs="宋体"/>
          <w:color w:val="auto"/>
          <w:sz w:val="24"/>
          <w:highlight w:val="none"/>
        </w:rPr>
      </w:pPr>
      <w:r>
        <w:rPr>
          <w:rFonts w:hint="eastAsia" w:ascii="宋体" w:hAnsi="宋体" w:cs="宋体"/>
          <w:color w:val="auto"/>
          <w:sz w:val="24"/>
          <w:highlight w:val="none"/>
        </w:rPr>
        <w:t>法定代表人、单位负责人为同一人或夫妻关系的不同供应商；</w:t>
      </w:r>
    </w:p>
    <w:p w14:paraId="53594CF9">
      <w:pPr>
        <w:pStyle w:val="23"/>
        <w:numPr>
          <w:ilvl w:val="2"/>
          <w:numId w:val="13"/>
        </w:numPr>
        <w:tabs>
          <w:tab w:val="left" w:pos="360"/>
          <w:tab w:val="left" w:pos="540"/>
          <w:tab w:val="left" w:pos="1276"/>
          <w:tab w:val="clear" w:pos="1140"/>
        </w:tabs>
        <w:spacing w:line="470" w:lineRule="exact"/>
        <w:ind w:left="141" w:leftChars="67" w:firstLineChars="0"/>
        <w:rPr>
          <w:rFonts w:ascii="宋体" w:hAnsi="宋体" w:cs="宋体"/>
          <w:color w:val="auto"/>
          <w:sz w:val="24"/>
          <w:highlight w:val="none"/>
        </w:rPr>
      </w:pPr>
      <w:r>
        <w:rPr>
          <w:rFonts w:hint="eastAsia" w:ascii="宋体" w:hAnsi="宋体" w:cs="宋体"/>
          <w:color w:val="auto"/>
          <w:sz w:val="24"/>
          <w:highlight w:val="none"/>
        </w:rPr>
        <w:t>存在直接控股、管理关系的不同供应商；</w:t>
      </w:r>
    </w:p>
    <w:p w14:paraId="5251A71A">
      <w:pPr>
        <w:pStyle w:val="23"/>
        <w:numPr>
          <w:ilvl w:val="2"/>
          <w:numId w:val="13"/>
        </w:numPr>
        <w:tabs>
          <w:tab w:val="left" w:pos="360"/>
          <w:tab w:val="left" w:pos="540"/>
          <w:tab w:val="left" w:pos="1276"/>
          <w:tab w:val="clear" w:pos="1140"/>
        </w:tabs>
        <w:spacing w:line="470" w:lineRule="exact"/>
        <w:ind w:left="141" w:leftChars="67" w:firstLineChars="0"/>
        <w:rPr>
          <w:rFonts w:ascii="宋体" w:hAnsi="宋体" w:cs="宋体"/>
          <w:color w:val="auto"/>
          <w:sz w:val="24"/>
          <w:highlight w:val="none"/>
        </w:rPr>
      </w:pPr>
      <w:r>
        <w:rPr>
          <w:rFonts w:hint="eastAsia" w:ascii="宋体" w:hAnsi="宋体" w:cs="宋体"/>
          <w:color w:val="auto"/>
          <w:sz w:val="24"/>
          <w:highlight w:val="none"/>
        </w:rPr>
        <w:t>均为同一家母公司直接或间接持股50％及以上的被投资公司。</w:t>
      </w:r>
    </w:p>
    <w:p w14:paraId="2D4EC917">
      <w:pPr>
        <w:pStyle w:val="23"/>
        <w:numPr>
          <w:ilvl w:val="2"/>
          <w:numId w:val="13"/>
        </w:numPr>
        <w:tabs>
          <w:tab w:val="left" w:pos="360"/>
          <w:tab w:val="left" w:pos="540"/>
          <w:tab w:val="left" w:pos="1276"/>
          <w:tab w:val="clear" w:pos="1140"/>
        </w:tabs>
        <w:spacing w:line="470" w:lineRule="exact"/>
        <w:ind w:left="141" w:leftChars="67" w:firstLineChars="0"/>
        <w:rPr>
          <w:rFonts w:ascii="宋体" w:hAnsi="宋体" w:cs="宋体"/>
          <w:color w:val="auto"/>
          <w:sz w:val="24"/>
          <w:highlight w:val="none"/>
        </w:rPr>
      </w:pPr>
      <w:r>
        <w:rPr>
          <w:rFonts w:hint="eastAsia" w:ascii="宋体" w:hAnsi="宋体" w:cs="宋体"/>
          <w:color w:val="auto"/>
          <w:sz w:val="24"/>
          <w:highlight w:val="none"/>
        </w:rPr>
        <w:t>单位负责人（董事长或总经理）为同一人的不同单位，不得参加同一合同包的</w:t>
      </w:r>
      <w:r>
        <w:rPr>
          <w:rFonts w:hint="eastAsia" w:ascii="宋体" w:hAnsi="宋体" w:cs="宋体"/>
          <w:color w:val="auto"/>
          <w:sz w:val="24"/>
          <w:highlight w:val="none"/>
          <w:lang w:eastAsia="zh-CN"/>
        </w:rPr>
        <w:t>响应</w:t>
      </w:r>
      <w:r>
        <w:rPr>
          <w:rFonts w:hint="eastAsia" w:ascii="宋体" w:hAnsi="宋体" w:cs="宋体"/>
          <w:color w:val="auto"/>
          <w:sz w:val="24"/>
          <w:highlight w:val="none"/>
        </w:rPr>
        <w:t>。</w:t>
      </w:r>
    </w:p>
    <w:p w14:paraId="5467B2F5">
      <w:pPr>
        <w:numPr>
          <w:ilvl w:val="1"/>
          <w:numId w:val="13"/>
        </w:numPr>
        <w:tabs>
          <w:tab w:val="left" w:pos="1019"/>
        </w:tabs>
        <w:spacing w:line="470" w:lineRule="exact"/>
        <w:ind w:left="55"/>
        <w:rPr>
          <w:rFonts w:ascii="宋体" w:hAnsi="宋体" w:cs="宋体"/>
          <w:color w:val="auto"/>
          <w:sz w:val="24"/>
          <w:szCs w:val="24"/>
          <w:highlight w:val="none"/>
        </w:rPr>
      </w:pPr>
      <w:r>
        <w:rPr>
          <w:rFonts w:hint="eastAsia" w:ascii="宋体" w:hAnsi="宋体" w:cs="宋体"/>
          <w:color w:val="auto"/>
          <w:sz w:val="24"/>
          <w:szCs w:val="24"/>
          <w:highlight w:val="none"/>
          <w:lang w:eastAsia="zh-CN"/>
        </w:rPr>
        <w:t>响应</w:t>
      </w:r>
      <w:r>
        <w:rPr>
          <w:rFonts w:hint="eastAsia" w:ascii="宋体" w:hAnsi="宋体" w:cs="宋体"/>
          <w:color w:val="auto"/>
          <w:sz w:val="24"/>
          <w:szCs w:val="24"/>
          <w:highlight w:val="none"/>
        </w:rPr>
        <w:t>代理人在同一个项目中只能接受一个供应商的委托参加</w:t>
      </w:r>
      <w:r>
        <w:rPr>
          <w:rFonts w:hint="eastAsia" w:ascii="宋体" w:hAnsi="宋体" w:cs="宋体"/>
          <w:color w:val="auto"/>
          <w:sz w:val="24"/>
          <w:szCs w:val="24"/>
          <w:highlight w:val="none"/>
          <w:lang w:eastAsia="zh-CN"/>
        </w:rPr>
        <w:t>响应</w:t>
      </w:r>
      <w:r>
        <w:rPr>
          <w:rFonts w:hint="eastAsia" w:ascii="宋体" w:hAnsi="宋体" w:cs="宋体"/>
          <w:color w:val="auto"/>
          <w:sz w:val="24"/>
          <w:szCs w:val="24"/>
          <w:highlight w:val="none"/>
        </w:rPr>
        <w:t>。</w:t>
      </w:r>
    </w:p>
    <w:p w14:paraId="6049B5AD">
      <w:pPr>
        <w:numPr>
          <w:ilvl w:val="1"/>
          <w:numId w:val="13"/>
        </w:numPr>
        <w:tabs>
          <w:tab w:val="left" w:pos="1019"/>
        </w:tabs>
        <w:spacing w:line="470" w:lineRule="exact"/>
        <w:ind w:left="55"/>
        <w:rPr>
          <w:rFonts w:ascii="宋体" w:hAnsi="宋体" w:cs="宋体"/>
          <w:color w:val="auto"/>
          <w:sz w:val="24"/>
          <w:szCs w:val="24"/>
          <w:highlight w:val="none"/>
        </w:rPr>
      </w:pPr>
      <w:r>
        <w:rPr>
          <w:rFonts w:hint="eastAsia" w:ascii="宋体" w:hAnsi="宋体" w:cs="宋体"/>
          <w:color w:val="auto"/>
          <w:sz w:val="24"/>
          <w:szCs w:val="24"/>
          <w:highlight w:val="none"/>
        </w:rPr>
        <w:t>供应商之间存在下列情形之一的，将被认定为串通</w:t>
      </w:r>
      <w:r>
        <w:rPr>
          <w:rFonts w:hint="eastAsia" w:ascii="宋体" w:hAnsi="宋体" w:cs="宋体"/>
          <w:color w:val="auto"/>
          <w:sz w:val="24"/>
          <w:szCs w:val="24"/>
          <w:highlight w:val="none"/>
          <w:lang w:eastAsia="zh-CN"/>
        </w:rPr>
        <w:t>响应</w:t>
      </w:r>
      <w:r>
        <w:rPr>
          <w:rFonts w:hint="eastAsia" w:ascii="宋体" w:hAnsi="宋体" w:cs="宋体"/>
          <w:color w:val="auto"/>
          <w:sz w:val="24"/>
          <w:szCs w:val="24"/>
          <w:highlight w:val="none"/>
        </w:rPr>
        <w:t>行为并作无效</w:t>
      </w:r>
      <w:r>
        <w:rPr>
          <w:rFonts w:hint="eastAsia" w:ascii="宋体" w:hAnsi="宋体" w:cs="宋体"/>
          <w:color w:val="auto"/>
          <w:sz w:val="24"/>
          <w:szCs w:val="24"/>
          <w:highlight w:val="none"/>
          <w:lang w:eastAsia="zh-CN"/>
        </w:rPr>
        <w:t>响应</w:t>
      </w:r>
      <w:r>
        <w:rPr>
          <w:rFonts w:hint="eastAsia" w:ascii="宋体" w:hAnsi="宋体" w:cs="宋体"/>
          <w:color w:val="auto"/>
          <w:sz w:val="24"/>
          <w:szCs w:val="24"/>
          <w:highlight w:val="none"/>
        </w:rPr>
        <w:t>处理：</w:t>
      </w:r>
    </w:p>
    <w:p w14:paraId="00C2EDC5">
      <w:pPr>
        <w:pStyle w:val="23"/>
        <w:numPr>
          <w:ilvl w:val="2"/>
          <w:numId w:val="13"/>
        </w:numPr>
        <w:tabs>
          <w:tab w:val="left" w:pos="360"/>
          <w:tab w:val="left" w:pos="540"/>
          <w:tab w:val="left" w:pos="1276"/>
          <w:tab w:val="clear" w:pos="1140"/>
        </w:tabs>
        <w:spacing w:line="470" w:lineRule="exact"/>
        <w:ind w:left="141" w:leftChars="67" w:firstLineChars="0"/>
        <w:rPr>
          <w:rFonts w:ascii="宋体" w:hAnsi="宋体" w:cs="宋体"/>
          <w:color w:val="auto"/>
          <w:sz w:val="24"/>
          <w:highlight w:val="none"/>
        </w:rPr>
      </w:pPr>
      <w:r>
        <w:rPr>
          <w:rFonts w:hint="eastAsia" w:ascii="宋体" w:hAnsi="宋体" w:cs="宋体"/>
          <w:color w:val="auto"/>
          <w:sz w:val="24"/>
          <w:highlight w:val="none"/>
        </w:rPr>
        <w:t>不同供应商的响应文件错、漏之处一致或雷同，且不能合理解释的；</w:t>
      </w:r>
    </w:p>
    <w:p w14:paraId="39E4BF89">
      <w:pPr>
        <w:pStyle w:val="23"/>
        <w:numPr>
          <w:ilvl w:val="2"/>
          <w:numId w:val="13"/>
        </w:numPr>
        <w:tabs>
          <w:tab w:val="left" w:pos="360"/>
          <w:tab w:val="left" w:pos="540"/>
          <w:tab w:val="left" w:pos="1276"/>
          <w:tab w:val="clear" w:pos="1140"/>
        </w:tabs>
        <w:spacing w:line="470" w:lineRule="exact"/>
        <w:ind w:left="141" w:leftChars="67" w:firstLineChars="0"/>
        <w:rPr>
          <w:rFonts w:ascii="宋体" w:hAnsi="宋体" w:cs="宋体"/>
          <w:color w:val="auto"/>
          <w:sz w:val="24"/>
          <w:highlight w:val="none"/>
        </w:rPr>
      </w:pPr>
      <w:r>
        <w:rPr>
          <w:rFonts w:hint="eastAsia" w:ascii="宋体" w:hAnsi="宋体" w:cs="宋体"/>
          <w:color w:val="auto"/>
          <w:sz w:val="24"/>
          <w:highlight w:val="none"/>
        </w:rPr>
        <w:t>不同供应商的法定代表人、委托代理人等由同一个单位缴纳社会保险的；</w:t>
      </w:r>
    </w:p>
    <w:p w14:paraId="5304A54B">
      <w:pPr>
        <w:pStyle w:val="23"/>
        <w:numPr>
          <w:ilvl w:val="2"/>
          <w:numId w:val="13"/>
        </w:numPr>
        <w:tabs>
          <w:tab w:val="left" w:pos="360"/>
          <w:tab w:val="left" w:pos="540"/>
          <w:tab w:val="left" w:pos="1276"/>
          <w:tab w:val="clear" w:pos="1140"/>
        </w:tabs>
        <w:spacing w:line="470" w:lineRule="exact"/>
        <w:ind w:left="141" w:leftChars="67" w:firstLineChars="0"/>
        <w:rPr>
          <w:rFonts w:ascii="宋体" w:hAnsi="宋体" w:cs="宋体"/>
          <w:color w:val="auto"/>
          <w:sz w:val="24"/>
          <w:highlight w:val="none"/>
        </w:rPr>
      </w:pPr>
      <w:r>
        <w:rPr>
          <w:rFonts w:hint="eastAsia" w:ascii="宋体" w:hAnsi="宋体" w:cs="宋体"/>
          <w:color w:val="auto"/>
          <w:sz w:val="24"/>
          <w:highlight w:val="none"/>
        </w:rPr>
        <w:t>由同一人或分别由几个有利害关系的人携带两个以上（含两个）供应商的企业资料参与资格审查、领取询价文件资料，或代表两个以上（含两个）供应商参加答疑会、</w:t>
      </w:r>
      <w:r>
        <w:rPr>
          <w:rFonts w:hint="eastAsia" w:ascii="宋体" w:hAnsi="宋体" w:cs="宋体"/>
          <w:color w:val="auto"/>
          <w:sz w:val="24"/>
          <w:highlight w:val="none"/>
          <w:lang w:eastAsia="zh-CN"/>
        </w:rPr>
        <w:t>响应</w:t>
      </w:r>
      <w:r>
        <w:rPr>
          <w:rFonts w:hint="eastAsia" w:ascii="宋体" w:hAnsi="宋体" w:cs="宋体"/>
          <w:color w:val="auto"/>
          <w:sz w:val="24"/>
          <w:highlight w:val="none"/>
        </w:rPr>
        <w:t>的；</w:t>
      </w:r>
    </w:p>
    <w:p w14:paraId="50F7DF5B">
      <w:pPr>
        <w:pStyle w:val="23"/>
        <w:numPr>
          <w:ilvl w:val="2"/>
          <w:numId w:val="13"/>
        </w:numPr>
        <w:tabs>
          <w:tab w:val="left" w:pos="360"/>
          <w:tab w:val="left" w:pos="540"/>
          <w:tab w:val="left" w:pos="1276"/>
          <w:tab w:val="clear" w:pos="1140"/>
        </w:tabs>
        <w:spacing w:line="470" w:lineRule="exact"/>
        <w:ind w:left="141" w:leftChars="67" w:firstLineChars="0"/>
        <w:rPr>
          <w:rFonts w:ascii="宋体" w:hAnsi="宋体" w:cs="宋体"/>
          <w:color w:val="auto"/>
          <w:sz w:val="24"/>
          <w:highlight w:val="none"/>
        </w:rPr>
      </w:pPr>
      <w:r>
        <w:rPr>
          <w:rFonts w:hint="eastAsia" w:ascii="宋体" w:hAnsi="宋体" w:cs="宋体"/>
          <w:color w:val="auto"/>
          <w:sz w:val="24"/>
          <w:highlight w:val="none"/>
        </w:rPr>
        <w:t>供应商之间协商报价等询价文件的实质性内容；</w:t>
      </w:r>
    </w:p>
    <w:p w14:paraId="56746048">
      <w:pPr>
        <w:pStyle w:val="23"/>
        <w:numPr>
          <w:ilvl w:val="2"/>
          <w:numId w:val="13"/>
        </w:numPr>
        <w:tabs>
          <w:tab w:val="left" w:pos="360"/>
          <w:tab w:val="left" w:pos="540"/>
          <w:tab w:val="left" w:pos="1276"/>
          <w:tab w:val="clear" w:pos="1140"/>
        </w:tabs>
        <w:spacing w:line="470" w:lineRule="exact"/>
        <w:ind w:left="141" w:leftChars="67" w:firstLineChars="0"/>
        <w:rPr>
          <w:rFonts w:ascii="宋体" w:hAnsi="宋体" w:cs="宋体"/>
          <w:color w:val="auto"/>
          <w:sz w:val="24"/>
          <w:highlight w:val="none"/>
        </w:rPr>
      </w:pPr>
      <w:r>
        <w:rPr>
          <w:rFonts w:hint="eastAsia" w:ascii="宋体" w:hAnsi="宋体" w:cs="宋体"/>
          <w:color w:val="auto"/>
          <w:sz w:val="24"/>
          <w:highlight w:val="none"/>
        </w:rPr>
        <w:t>供应商之间约定成交人；</w:t>
      </w:r>
    </w:p>
    <w:p w14:paraId="442ECACF">
      <w:pPr>
        <w:pStyle w:val="23"/>
        <w:numPr>
          <w:ilvl w:val="2"/>
          <w:numId w:val="13"/>
        </w:numPr>
        <w:tabs>
          <w:tab w:val="left" w:pos="360"/>
          <w:tab w:val="left" w:pos="540"/>
          <w:tab w:val="left" w:pos="1276"/>
          <w:tab w:val="clear" w:pos="1140"/>
        </w:tabs>
        <w:spacing w:line="470" w:lineRule="exact"/>
        <w:ind w:left="141" w:leftChars="67" w:firstLineChars="0"/>
        <w:rPr>
          <w:rFonts w:ascii="宋体" w:hAnsi="宋体" w:cs="宋体"/>
          <w:color w:val="auto"/>
          <w:sz w:val="24"/>
          <w:highlight w:val="none"/>
        </w:rPr>
      </w:pPr>
      <w:r>
        <w:rPr>
          <w:rFonts w:hint="eastAsia" w:ascii="宋体" w:hAnsi="宋体" w:cs="宋体"/>
          <w:color w:val="auto"/>
          <w:sz w:val="24"/>
          <w:highlight w:val="none"/>
        </w:rPr>
        <w:t>供应商之间约定部分供应商放弃</w:t>
      </w:r>
      <w:r>
        <w:rPr>
          <w:rFonts w:hint="eastAsia" w:ascii="宋体" w:hAnsi="宋体" w:cs="宋体"/>
          <w:color w:val="auto"/>
          <w:sz w:val="24"/>
          <w:highlight w:val="none"/>
          <w:lang w:eastAsia="zh-CN"/>
        </w:rPr>
        <w:t>响应</w:t>
      </w:r>
      <w:r>
        <w:rPr>
          <w:rFonts w:hint="eastAsia" w:ascii="宋体" w:hAnsi="宋体" w:cs="宋体"/>
          <w:color w:val="auto"/>
          <w:sz w:val="24"/>
          <w:highlight w:val="none"/>
        </w:rPr>
        <w:t>或者成交；</w:t>
      </w:r>
    </w:p>
    <w:p w14:paraId="6CD6F6A9">
      <w:pPr>
        <w:pStyle w:val="23"/>
        <w:numPr>
          <w:ilvl w:val="2"/>
          <w:numId w:val="13"/>
        </w:numPr>
        <w:tabs>
          <w:tab w:val="left" w:pos="360"/>
          <w:tab w:val="left" w:pos="540"/>
          <w:tab w:val="left" w:pos="1276"/>
          <w:tab w:val="clear" w:pos="1140"/>
        </w:tabs>
        <w:spacing w:line="470" w:lineRule="exact"/>
        <w:ind w:left="141" w:leftChars="67" w:firstLineChars="0"/>
        <w:rPr>
          <w:rFonts w:ascii="宋体" w:hAnsi="宋体" w:cs="宋体"/>
          <w:color w:val="auto"/>
          <w:sz w:val="24"/>
          <w:highlight w:val="none"/>
        </w:rPr>
      </w:pPr>
      <w:r>
        <w:rPr>
          <w:rFonts w:hint="eastAsia" w:ascii="宋体" w:hAnsi="宋体" w:cs="宋体"/>
          <w:color w:val="auto"/>
          <w:sz w:val="24"/>
          <w:highlight w:val="none"/>
        </w:rPr>
        <w:t>属于同一集团、协会、商会等组织成员的供应商按照该组织要求协同</w:t>
      </w:r>
      <w:r>
        <w:rPr>
          <w:rFonts w:hint="eastAsia" w:ascii="宋体" w:hAnsi="宋体" w:cs="宋体"/>
          <w:color w:val="auto"/>
          <w:sz w:val="24"/>
          <w:highlight w:val="none"/>
          <w:lang w:eastAsia="zh-CN"/>
        </w:rPr>
        <w:t>响应</w:t>
      </w:r>
      <w:r>
        <w:rPr>
          <w:rFonts w:hint="eastAsia" w:ascii="宋体" w:hAnsi="宋体" w:cs="宋体"/>
          <w:color w:val="auto"/>
          <w:sz w:val="24"/>
          <w:highlight w:val="none"/>
        </w:rPr>
        <w:t>；</w:t>
      </w:r>
    </w:p>
    <w:p w14:paraId="4780186F">
      <w:pPr>
        <w:pStyle w:val="23"/>
        <w:numPr>
          <w:ilvl w:val="2"/>
          <w:numId w:val="13"/>
        </w:numPr>
        <w:tabs>
          <w:tab w:val="left" w:pos="360"/>
          <w:tab w:val="left" w:pos="540"/>
          <w:tab w:val="left" w:pos="1276"/>
          <w:tab w:val="clear" w:pos="1140"/>
        </w:tabs>
        <w:spacing w:line="470" w:lineRule="exact"/>
        <w:ind w:left="141" w:leftChars="67" w:firstLineChars="0"/>
        <w:rPr>
          <w:rFonts w:ascii="宋体" w:hAnsi="宋体" w:cs="宋体"/>
          <w:color w:val="auto"/>
          <w:sz w:val="24"/>
          <w:highlight w:val="none"/>
        </w:rPr>
      </w:pPr>
      <w:r>
        <w:rPr>
          <w:rFonts w:hint="eastAsia" w:ascii="宋体" w:hAnsi="宋体" w:cs="宋体"/>
          <w:color w:val="auto"/>
          <w:sz w:val="24"/>
          <w:highlight w:val="none"/>
        </w:rPr>
        <w:t>供应商之间为谋取成交或者排斥特定供应商而采取的其他联合行动；</w:t>
      </w:r>
    </w:p>
    <w:p w14:paraId="30F9D50C">
      <w:pPr>
        <w:pStyle w:val="23"/>
        <w:numPr>
          <w:ilvl w:val="2"/>
          <w:numId w:val="13"/>
        </w:numPr>
        <w:tabs>
          <w:tab w:val="left" w:pos="360"/>
          <w:tab w:val="left" w:pos="540"/>
          <w:tab w:val="left" w:pos="1276"/>
          <w:tab w:val="clear" w:pos="1140"/>
        </w:tabs>
        <w:spacing w:line="470" w:lineRule="exact"/>
        <w:ind w:left="141" w:leftChars="67" w:firstLineChars="0"/>
        <w:rPr>
          <w:rFonts w:ascii="宋体" w:hAnsi="宋体" w:cs="宋体"/>
          <w:color w:val="auto"/>
          <w:sz w:val="24"/>
          <w:highlight w:val="none"/>
        </w:rPr>
      </w:pPr>
      <w:r>
        <w:rPr>
          <w:rFonts w:hint="eastAsia" w:ascii="宋体" w:hAnsi="宋体" w:cs="宋体"/>
          <w:color w:val="auto"/>
          <w:sz w:val="24"/>
          <w:highlight w:val="none"/>
        </w:rPr>
        <w:t>不同供应商的响应文件由同一单位或者个人编制；</w:t>
      </w:r>
    </w:p>
    <w:p w14:paraId="68B9413D">
      <w:pPr>
        <w:pStyle w:val="23"/>
        <w:numPr>
          <w:ilvl w:val="2"/>
          <w:numId w:val="13"/>
        </w:numPr>
        <w:tabs>
          <w:tab w:val="left" w:pos="360"/>
          <w:tab w:val="left" w:pos="540"/>
          <w:tab w:val="left" w:pos="1276"/>
          <w:tab w:val="left" w:pos="1418"/>
          <w:tab w:val="clear" w:pos="1140"/>
        </w:tabs>
        <w:spacing w:line="470" w:lineRule="exact"/>
        <w:ind w:left="141" w:leftChars="67" w:firstLineChars="0"/>
        <w:rPr>
          <w:rFonts w:ascii="宋体" w:hAnsi="宋体" w:cs="宋体"/>
          <w:color w:val="auto"/>
          <w:sz w:val="24"/>
          <w:highlight w:val="none"/>
        </w:rPr>
      </w:pPr>
      <w:r>
        <w:rPr>
          <w:rFonts w:hint="eastAsia" w:ascii="宋体" w:hAnsi="宋体" w:cs="宋体"/>
          <w:color w:val="auto"/>
          <w:sz w:val="24"/>
          <w:highlight w:val="none"/>
        </w:rPr>
        <w:t>不同供应商委托同一单位或者个人办理</w:t>
      </w:r>
      <w:r>
        <w:rPr>
          <w:rFonts w:hint="eastAsia" w:ascii="宋体" w:hAnsi="宋体" w:cs="宋体"/>
          <w:color w:val="auto"/>
          <w:sz w:val="24"/>
          <w:highlight w:val="none"/>
          <w:lang w:eastAsia="zh-CN"/>
        </w:rPr>
        <w:t>响应</w:t>
      </w:r>
      <w:r>
        <w:rPr>
          <w:rFonts w:hint="eastAsia" w:ascii="宋体" w:hAnsi="宋体" w:cs="宋体"/>
          <w:color w:val="auto"/>
          <w:sz w:val="24"/>
          <w:highlight w:val="none"/>
        </w:rPr>
        <w:t>事宜；</w:t>
      </w:r>
    </w:p>
    <w:p w14:paraId="2FBEB761">
      <w:pPr>
        <w:pStyle w:val="23"/>
        <w:numPr>
          <w:ilvl w:val="2"/>
          <w:numId w:val="13"/>
        </w:numPr>
        <w:tabs>
          <w:tab w:val="left" w:pos="360"/>
          <w:tab w:val="left" w:pos="540"/>
          <w:tab w:val="left" w:pos="1276"/>
          <w:tab w:val="left" w:pos="1418"/>
          <w:tab w:val="clear" w:pos="1140"/>
        </w:tabs>
        <w:spacing w:line="470" w:lineRule="exact"/>
        <w:ind w:left="141" w:leftChars="67" w:firstLineChars="0"/>
        <w:rPr>
          <w:rFonts w:ascii="宋体" w:hAnsi="宋体" w:cs="宋体"/>
          <w:color w:val="auto"/>
          <w:sz w:val="24"/>
          <w:highlight w:val="none"/>
        </w:rPr>
      </w:pPr>
      <w:r>
        <w:rPr>
          <w:rFonts w:hint="eastAsia" w:ascii="宋体" w:hAnsi="宋体" w:cs="宋体"/>
          <w:color w:val="auto"/>
          <w:sz w:val="24"/>
          <w:highlight w:val="none"/>
        </w:rPr>
        <w:t>不同供应商的响应文件载明的项目管理成员为同一人；</w:t>
      </w:r>
    </w:p>
    <w:p w14:paraId="4B46ADA7">
      <w:pPr>
        <w:pStyle w:val="23"/>
        <w:numPr>
          <w:ilvl w:val="2"/>
          <w:numId w:val="13"/>
        </w:numPr>
        <w:tabs>
          <w:tab w:val="left" w:pos="360"/>
          <w:tab w:val="left" w:pos="540"/>
          <w:tab w:val="left" w:pos="1276"/>
          <w:tab w:val="left" w:pos="1418"/>
          <w:tab w:val="clear" w:pos="1140"/>
        </w:tabs>
        <w:spacing w:line="470" w:lineRule="exact"/>
        <w:ind w:left="141" w:leftChars="67" w:firstLineChars="0"/>
        <w:rPr>
          <w:rFonts w:ascii="宋体" w:hAnsi="宋体" w:cs="宋体"/>
          <w:color w:val="auto"/>
          <w:sz w:val="24"/>
          <w:highlight w:val="none"/>
        </w:rPr>
      </w:pPr>
      <w:r>
        <w:rPr>
          <w:rFonts w:hint="eastAsia" w:ascii="宋体" w:hAnsi="宋体" w:cs="宋体"/>
          <w:color w:val="auto"/>
          <w:sz w:val="24"/>
          <w:highlight w:val="none"/>
        </w:rPr>
        <w:t>不同供应商的响应文件异常一致或者报价呈规律性差异；</w:t>
      </w:r>
    </w:p>
    <w:p w14:paraId="4EC1767A">
      <w:pPr>
        <w:pStyle w:val="23"/>
        <w:numPr>
          <w:ilvl w:val="2"/>
          <w:numId w:val="13"/>
        </w:numPr>
        <w:tabs>
          <w:tab w:val="left" w:pos="360"/>
          <w:tab w:val="left" w:pos="540"/>
          <w:tab w:val="left" w:pos="1276"/>
          <w:tab w:val="left" w:pos="1418"/>
          <w:tab w:val="clear" w:pos="1140"/>
        </w:tabs>
        <w:spacing w:line="470" w:lineRule="exact"/>
        <w:ind w:left="141" w:leftChars="67" w:firstLineChars="0"/>
        <w:rPr>
          <w:rFonts w:ascii="宋体" w:hAnsi="宋体" w:cs="宋体"/>
          <w:color w:val="auto"/>
          <w:sz w:val="24"/>
          <w:highlight w:val="none"/>
        </w:rPr>
      </w:pPr>
      <w:r>
        <w:rPr>
          <w:rFonts w:hint="eastAsia" w:ascii="宋体" w:hAnsi="宋体" w:cs="宋体"/>
          <w:color w:val="auto"/>
          <w:sz w:val="24"/>
          <w:highlight w:val="none"/>
        </w:rPr>
        <w:t>不同供应商的响应文件相互混装；</w:t>
      </w:r>
    </w:p>
    <w:p w14:paraId="151FF756">
      <w:pPr>
        <w:pStyle w:val="23"/>
        <w:numPr>
          <w:ilvl w:val="2"/>
          <w:numId w:val="13"/>
        </w:numPr>
        <w:tabs>
          <w:tab w:val="left" w:pos="360"/>
          <w:tab w:val="left" w:pos="540"/>
          <w:tab w:val="left" w:pos="1276"/>
          <w:tab w:val="left" w:pos="1418"/>
          <w:tab w:val="clear" w:pos="1140"/>
        </w:tabs>
        <w:spacing w:line="470" w:lineRule="exact"/>
        <w:ind w:left="141" w:leftChars="67" w:firstLineChars="0"/>
        <w:rPr>
          <w:rFonts w:ascii="宋体" w:hAnsi="宋体" w:cs="宋体"/>
          <w:color w:val="auto"/>
          <w:sz w:val="24"/>
          <w:highlight w:val="none"/>
        </w:rPr>
      </w:pPr>
      <w:r>
        <w:rPr>
          <w:rFonts w:hint="eastAsia" w:ascii="宋体" w:hAnsi="宋体" w:cs="宋体"/>
          <w:color w:val="auto"/>
          <w:sz w:val="24"/>
          <w:highlight w:val="none"/>
        </w:rPr>
        <w:t>有关法律、法规或规章规定的其他串通行为。</w:t>
      </w:r>
    </w:p>
    <w:p w14:paraId="116ABB9B">
      <w:pPr>
        <w:pStyle w:val="3"/>
        <w:numPr>
          <w:ilvl w:val="0"/>
          <w:numId w:val="12"/>
        </w:numPr>
        <w:spacing w:before="0" w:after="0" w:line="470" w:lineRule="exact"/>
        <w:ind w:hanging="902"/>
        <w:rPr>
          <w:rFonts w:ascii="宋体" w:hAnsi="宋体" w:cs="宋体"/>
          <w:color w:val="auto"/>
          <w:sz w:val="24"/>
          <w:szCs w:val="24"/>
          <w:highlight w:val="none"/>
        </w:rPr>
      </w:pPr>
      <w:bookmarkStart w:id="45" w:name="_Toc341650739"/>
      <w:bookmarkStart w:id="46" w:name="_Toc526873908"/>
      <w:bookmarkStart w:id="47" w:name="_Toc341834119"/>
      <w:bookmarkStart w:id="48" w:name="_Toc381261949"/>
      <w:r>
        <w:rPr>
          <w:rFonts w:hint="eastAsia" w:ascii="宋体" w:hAnsi="宋体" w:cs="宋体"/>
          <w:color w:val="auto"/>
          <w:sz w:val="24"/>
          <w:szCs w:val="24"/>
          <w:highlight w:val="none"/>
          <w:lang w:eastAsia="zh-CN"/>
        </w:rPr>
        <w:t>响应</w:t>
      </w:r>
      <w:r>
        <w:rPr>
          <w:rFonts w:hint="eastAsia" w:ascii="宋体" w:hAnsi="宋体" w:cs="宋体"/>
          <w:color w:val="auto"/>
          <w:sz w:val="24"/>
          <w:szCs w:val="24"/>
          <w:highlight w:val="none"/>
        </w:rPr>
        <w:t>费用</w:t>
      </w:r>
      <w:bookmarkEnd w:id="39"/>
      <w:bookmarkEnd w:id="45"/>
      <w:bookmarkEnd w:id="46"/>
      <w:bookmarkEnd w:id="47"/>
      <w:bookmarkEnd w:id="48"/>
    </w:p>
    <w:p w14:paraId="02C0B0C4">
      <w:pPr>
        <w:pStyle w:val="90"/>
        <w:numPr>
          <w:ilvl w:val="0"/>
          <w:numId w:val="13"/>
        </w:numPr>
        <w:spacing w:line="470" w:lineRule="exact"/>
        <w:ind w:firstLineChars="0"/>
        <w:rPr>
          <w:rFonts w:ascii="宋体" w:hAnsi="宋体" w:cs="宋体"/>
          <w:vanish/>
          <w:color w:val="auto"/>
          <w:sz w:val="24"/>
          <w:szCs w:val="24"/>
          <w:highlight w:val="none"/>
        </w:rPr>
      </w:pPr>
    </w:p>
    <w:p w14:paraId="195FBCCF">
      <w:pPr>
        <w:numPr>
          <w:ilvl w:val="1"/>
          <w:numId w:val="13"/>
        </w:numPr>
        <w:tabs>
          <w:tab w:val="left" w:pos="1019"/>
        </w:tabs>
        <w:spacing w:line="470" w:lineRule="exact"/>
        <w:ind w:left="55"/>
        <w:rPr>
          <w:rFonts w:ascii="宋体" w:hAnsi="宋体" w:cs="宋体"/>
          <w:color w:val="auto"/>
          <w:sz w:val="24"/>
          <w:szCs w:val="24"/>
          <w:highlight w:val="none"/>
        </w:rPr>
      </w:pPr>
      <w:r>
        <w:rPr>
          <w:rFonts w:hint="eastAsia" w:ascii="宋体" w:hAnsi="宋体" w:cs="宋体"/>
          <w:color w:val="auto"/>
          <w:sz w:val="24"/>
          <w:szCs w:val="24"/>
          <w:highlight w:val="none"/>
        </w:rPr>
        <w:t>供应商应承担所有与准备和参加</w:t>
      </w:r>
      <w:r>
        <w:rPr>
          <w:rFonts w:hint="eastAsia" w:ascii="宋体" w:hAnsi="宋体" w:cs="宋体"/>
          <w:color w:val="auto"/>
          <w:sz w:val="24"/>
          <w:szCs w:val="24"/>
          <w:highlight w:val="none"/>
          <w:lang w:eastAsia="zh-CN"/>
        </w:rPr>
        <w:t>响应</w:t>
      </w:r>
      <w:r>
        <w:rPr>
          <w:rFonts w:hint="eastAsia" w:ascii="宋体" w:hAnsi="宋体" w:cs="宋体"/>
          <w:color w:val="auto"/>
          <w:sz w:val="24"/>
          <w:szCs w:val="24"/>
          <w:highlight w:val="none"/>
        </w:rPr>
        <w:t>有关的全部费用。</w:t>
      </w:r>
    </w:p>
    <w:p w14:paraId="54C3DCEF">
      <w:pPr>
        <w:pStyle w:val="3"/>
        <w:spacing w:line="470" w:lineRule="exact"/>
        <w:jc w:val="center"/>
        <w:rPr>
          <w:rFonts w:ascii="宋体" w:hAnsi="宋体" w:cs="宋体"/>
          <w:color w:val="auto"/>
          <w:sz w:val="24"/>
          <w:szCs w:val="24"/>
          <w:highlight w:val="none"/>
        </w:rPr>
      </w:pPr>
      <w:bookmarkStart w:id="49" w:name="_Toc22987880"/>
      <w:bookmarkStart w:id="50" w:name="_Toc341834120"/>
      <w:bookmarkStart w:id="51" w:name="_Toc381261950"/>
      <w:bookmarkStart w:id="52" w:name="_Toc265590439"/>
      <w:bookmarkStart w:id="53" w:name="_Toc206557773"/>
      <w:bookmarkStart w:id="54" w:name="_Toc341650740"/>
      <w:bookmarkStart w:id="55" w:name="_Toc526873909"/>
      <w:bookmarkStart w:id="56" w:name="_Toc340069172"/>
      <w:bookmarkStart w:id="57" w:name="_Toc160543036"/>
      <w:r>
        <w:rPr>
          <w:rFonts w:hint="eastAsia" w:ascii="宋体" w:hAnsi="宋体" w:cs="宋体"/>
          <w:color w:val="auto"/>
          <w:sz w:val="24"/>
          <w:szCs w:val="24"/>
          <w:highlight w:val="none"/>
        </w:rPr>
        <w:t xml:space="preserve">第二节  </w:t>
      </w:r>
      <w:bookmarkEnd w:id="49"/>
      <w:bookmarkEnd w:id="50"/>
      <w:bookmarkEnd w:id="51"/>
      <w:bookmarkEnd w:id="52"/>
      <w:bookmarkEnd w:id="53"/>
      <w:bookmarkEnd w:id="54"/>
      <w:bookmarkEnd w:id="55"/>
      <w:bookmarkEnd w:id="56"/>
      <w:bookmarkEnd w:id="57"/>
      <w:r>
        <w:rPr>
          <w:rFonts w:hint="eastAsia" w:ascii="宋体" w:hAnsi="宋体" w:cs="宋体"/>
          <w:color w:val="auto"/>
          <w:sz w:val="24"/>
          <w:szCs w:val="24"/>
          <w:highlight w:val="none"/>
        </w:rPr>
        <w:t>询价文件</w:t>
      </w:r>
    </w:p>
    <w:p w14:paraId="4A7AA128">
      <w:pPr>
        <w:pStyle w:val="3"/>
        <w:numPr>
          <w:ilvl w:val="0"/>
          <w:numId w:val="12"/>
        </w:numPr>
        <w:spacing w:before="0" w:after="0" w:line="470" w:lineRule="exact"/>
        <w:ind w:hanging="902"/>
        <w:rPr>
          <w:rFonts w:ascii="宋体" w:hAnsi="宋体" w:cs="宋体"/>
          <w:color w:val="auto"/>
          <w:sz w:val="24"/>
          <w:szCs w:val="24"/>
          <w:highlight w:val="none"/>
        </w:rPr>
      </w:pPr>
      <w:bookmarkStart w:id="58" w:name="_Toc340069173"/>
      <w:bookmarkStart w:id="59" w:name="_Toc341834121"/>
      <w:bookmarkStart w:id="60" w:name="_Toc341650741"/>
      <w:bookmarkStart w:id="61" w:name="_Toc526873910"/>
      <w:bookmarkStart w:id="62" w:name="_Toc327281477"/>
      <w:bookmarkStart w:id="63" w:name="_Toc381261951"/>
      <w:r>
        <w:rPr>
          <w:rFonts w:hint="eastAsia" w:ascii="宋体" w:hAnsi="宋体" w:cs="宋体"/>
          <w:color w:val="auto"/>
          <w:sz w:val="24"/>
          <w:szCs w:val="24"/>
          <w:highlight w:val="none"/>
        </w:rPr>
        <w:t>询价文件的组成</w:t>
      </w:r>
      <w:bookmarkEnd w:id="58"/>
      <w:bookmarkEnd w:id="59"/>
      <w:bookmarkEnd w:id="60"/>
      <w:bookmarkEnd w:id="61"/>
      <w:bookmarkEnd w:id="62"/>
      <w:bookmarkEnd w:id="63"/>
    </w:p>
    <w:p w14:paraId="26DA657C">
      <w:pPr>
        <w:pStyle w:val="90"/>
        <w:numPr>
          <w:ilvl w:val="0"/>
          <w:numId w:val="13"/>
        </w:numPr>
        <w:spacing w:line="470" w:lineRule="exact"/>
        <w:ind w:firstLineChars="0"/>
        <w:rPr>
          <w:rFonts w:ascii="宋体" w:hAnsi="宋体" w:cs="宋体"/>
          <w:vanish/>
          <w:color w:val="auto"/>
          <w:sz w:val="24"/>
          <w:szCs w:val="24"/>
          <w:highlight w:val="none"/>
        </w:rPr>
      </w:pPr>
    </w:p>
    <w:p w14:paraId="6771558C">
      <w:pPr>
        <w:spacing w:line="470" w:lineRule="exact"/>
        <w:ind w:firstLine="480"/>
        <w:rPr>
          <w:rFonts w:ascii="宋体" w:hAnsi="宋体" w:cs="宋体"/>
          <w:color w:val="auto"/>
          <w:sz w:val="24"/>
          <w:szCs w:val="24"/>
          <w:highlight w:val="none"/>
        </w:rPr>
      </w:pPr>
      <w:r>
        <w:rPr>
          <w:rFonts w:hint="eastAsia" w:ascii="宋体" w:hAnsi="宋体" w:cs="宋体"/>
          <w:color w:val="auto"/>
          <w:sz w:val="24"/>
          <w:szCs w:val="24"/>
          <w:highlight w:val="none"/>
        </w:rPr>
        <w:t>询价文件用以阐明所需货物及服务询价程序、内容和合同主要条款。询价文件由下述部分组成：</w:t>
      </w:r>
    </w:p>
    <w:p w14:paraId="6E5AC7A4">
      <w:pPr>
        <w:spacing w:line="470" w:lineRule="exact"/>
        <w:ind w:firstLine="480"/>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rPr>
        <w:t>（1）询价</w:t>
      </w:r>
      <w:r>
        <w:rPr>
          <w:rFonts w:hint="eastAsia" w:ascii="宋体" w:hAnsi="宋体" w:cs="宋体"/>
          <w:color w:val="auto"/>
          <w:sz w:val="24"/>
          <w:szCs w:val="24"/>
          <w:highlight w:val="none"/>
          <w:lang w:eastAsia="zh-CN"/>
        </w:rPr>
        <w:t>邀请</w:t>
      </w:r>
    </w:p>
    <w:p w14:paraId="55A2B362">
      <w:pPr>
        <w:spacing w:line="470" w:lineRule="exact"/>
        <w:ind w:firstLine="480"/>
        <w:rPr>
          <w:rFonts w:ascii="宋体" w:hAnsi="宋体" w:cs="宋体"/>
          <w:color w:val="auto"/>
          <w:sz w:val="24"/>
          <w:szCs w:val="24"/>
          <w:highlight w:val="none"/>
        </w:rPr>
      </w:pPr>
      <w:r>
        <w:rPr>
          <w:rFonts w:hint="eastAsia" w:ascii="宋体" w:hAnsi="宋体" w:cs="宋体"/>
          <w:color w:val="auto"/>
          <w:sz w:val="24"/>
          <w:szCs w:val="24"/>
          <w:highlight w:val="none"/>
        </w:rPr>
        <w:t xml:space="preserve">（2）供应商须知 </w:t>
      </w:r>
    </w:p>
    <w:p w14:paraId="6EBDF711">
      <w:pPr>
        <w:spacing w:line="470" w:lineRule="exact"/>
        <w:ind w:firstLine="480"/>
        <w:rPr>
          <w:rFonts w:ascii="宋体" w:hAnsi="宋体" w:cs="宋体"/>
          <w:color w:val="auto"/>
          <w:sz w:val="24"/>
          <w:szCs w:val="24"/>
          <w:highlight w:val="none"/>
        </w:rPr>
      </w:pPr>
      <w:r>
        <w:rPr>
          <w:rFonts w:hint="eastAsia" w:ascii="宋体" w:hAnsi="宋体" w:cs="宋体"/>
          <w:color w:val="auto"/>
          <w:sz w:val="24"/>
          <w:szCs w:val="24"/>
          <w:highlight w:val="none"/>
        </w:rPr>
        <w:t>（3）项目内容及要求</w:t>
      </w:r>
    </w:p>
    <w:p w14:paraId="6989A969">
      <w:pPr>
        <w:pStyle w:val="25"/>
        <w:spacing w:line="47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（4）合同（参考文本）</w:t>
      </w:r>
    </w:p>
    <w:p w14:paraId="4E0F9EDE">
      <w:pPr>
        <w:pStyle w:val="25"/>
        <w:spacing w:line="47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（5）响应文件格式</w:t>
      </w:r>
    </w:p>
    <w:p w14:paraId="32CDE4F3">
      <w:pPr>
        <w:pStyle w:val="3"/>
        <w:numPr>
          <w:ilvl w:val="0"/>
          <w:numId w:val="12"/>
        </w:numPr>
        <w:spacing w:before="0" w:after="0" w:line="470" w:lineRule="exact"/>
        <w:ind w:hanging="902"/>
        <w:rPr>
          <w:rFonts w:ascii="宋体" w:hAnsi="宋体" w:cs="宋体"/>
          <w:color w:val="auto"/>
          <w:sz w:val="24"/>
          <w:szCs w:val="24"/>
          <w:highlight w:val="none"/>
        </w:rPr>
      </w:pPr>
      <w:bookmarkStart w:id="64" w:name="_Toc340069174"/>
      <w:bookmarkStart w:id="65" w:name="_Toc341834122"/>
      <w:bookmarkStart w:id="66" w:name="_Toc327281478"/>
      <w:bookmarkStart w:id="67" w:name="_Toc381261952"/>
      <w:bookmarkStart w:id="68" w:name="_Toc341650742"/>
      <w:bookmarkStart w:id="69" w:name="_Toc526873911"/>
      <w:r>
        <w:rPr>
          <w:rFonts w:hint="eastAsia" w:ascii="宋体" w:hAnsi="宋体" w:cs="宋体"/>
          <w:color w:val="auto"/>
          <w:sz w:val="24"/>
          <w:szCs w:val="24"/>
          <w:highlight w:val="none"/>
        </w:rPr>
        <w:t>询价文件的澄清</w:t>
      </w:r>
      <w:bookmarkEnd w:id="64"/>
      <w:bookmarkEnd w:id="65"/>
      <w:bookmarkEnd w:id="66"/>
      <w:bookmarkEnd w:id="67"/>
      <w:bookmarkEnd w:id="68"/>
      <w:r>
        <w:rPr>
          <w:rFonts w:hint="eastAsia" w:ascii="宋体" w:hAnsi="宋体" w:cs="宋体"/>
          <w:color w:val="auto"/>
          <w:sz w:val="24"/>
          <w:szCs w:val="24"/>
          <w:highlight w:val="none"/>
        </w:rPr>
        <w:t>与修改</w:t>
      </w:r>
      <w:bookmarkEnd w:id="69"/>
    </w:p>
    <w:p w14:paraId="1041EC9F">
      <w:pPr>
        <w:pStyle w:val="90"/>
        <w:numPr>
          <w:ilvl w:val="0"/>
          <w:numId w:val="13"/>
        </w:numPr>
        <w:spacing w:line="470" w:lineRule="exact"/>
        <w:ind w:firstLineChars="0"/>
        <w:rPr>
          <w:rFonts w:ascii="宋体" w:hAnsi="宋体" w:cs="宋体"/>
          <w:vanish/>
          <w:color w:val="auto"/>
          <w:sz w:val="24"/>
          <w:szCs w:val="24"/>
          <w:highlight w:val="none"/>
        </w:rPr>
      </w:pPr>
    </w:p>
    <w:p w14:paraId="2879AA2B">
      <w:pPr>
        <w:numPr>
          <w:ilvl w:val="1"/>
          <w:numId w:val="13"/>
        </w:numPr>
        <w:tabs>
          <w:tab w:val="left" w:pos="1019"/>
          <w:tab w:val="left" w:pos="1107"/>
        </w:tabs>
        <w:spacing w:line="470" w:lineRule="exact"/>
        <w:ind w:left="55" w:firstLine="519"/>
        <w:rPr>
          <w:rFonts w:ascii="宋体" w:hAnsi="宋体" w:cs="宋体"/>
          <w:color w:val="auto"/>
          <w:sz w:val="24"/>
          <w:szCs w:val="24"/>
          <w:highlight w:val="none"/>
        </w:rPr>
      </w:pPr>
      <w:r>
        <w:rPr>
          <w:rFonts w:hint="eastAsia" w:ascii="宋体" w:hAnsi="宋体" w:cs="宋体"/>
          <w:color w:val="auto"/>
          <w:sz w:val="24"/>
          <w:szCs w:val="24"/>
          <w:highlight w:val="none"/>
        </w:rPr>
        <w:t>供应商对询价文件如有疑点，可要求澄清。要求澄清应按</w:t>
      </w:r>
      <w:r>
        <w:rPr>
          <w:rFonts w:hint="eastAsia" w:ascii="宋体" w:hAnsi="宋体" w:cs="宋体"/>
          <w:color w:val="auto"/>
          <w:sz w:val="24"/>
          <w:szCs w:val="24"/>
          <w:highlight w:val="none"/>
          <w:lang w:eastAsia="zh-CN"/>
        </w:rPr>
        <w:t>询价邀请</w:t>
      </w:r>
      <w:r>
        <w:rPr>
          <w:rFonts w:hint="eastAsia" w:ascii="宋体" w:hAnsi="宋体" w:cs="宋体"/>
          <w:color w:val="auto"/>
          <w:sz w:val="24"/>
          <w:szCs w:val="24"/>
          <w:highlight w:val="none"/>
        </w:rPr>
        <w:t>中载明的地址以书面形式（包括信函、传真、电子邮件，下同）通知采购代理机构。采购代理机构将视情况在</w:t>
      </w:r>
      <w:r>
        <w:rPr>
          <w:rFonts w:hint="eastAsia" w:ascii="宋体" w:hAnsi="宋体" w:cs="宋体"/>
          <w:color w:val="auto"/>
          <w:sz w:val="24"/>
          <w:szCs w:val="24"/>
          <w:highlight w:val="none"/>
          <w:lang w:eastAsia="zh-CN"/>
        </w:rPr>
        <w:t>响应</w:t>
      </w:r>
      <w:r>
        <w:rPr>
          <w:rFonts w:hint="eastAsia" w:ascii="宋体" w:hAnsi="宋体" w:cs="宋体"/>
          <w:color w:val="auto"/>
          <w:sz w:val="24"/>
          <w:szCs w:val="24"/>
          <w:highlight w:val="none"/>
        </w:rPr>
        <w:t>截止时间3工作日（如至原定截止时间不足3工作日，则需延长</w:t>
      </w:r>
      <w:r>
        <w:rPr>
          <w:rFonts w:hint="eastAsia" w:ascii="宋体" w:hAnsi="宋体" w:cs="宋体"/>
          <w:color w:val="auto"/>
          <w:sz w:val="24"/>
          <w:szCs w:val="24"/>
          <w:highlight w:val="none"/>
          <w:lang w:eastAsia="zh-CN"/>
        </w:rPr>
        <w:t>响应</w:t>
      </w:r>
      <w:r>
        <w:rPr>
          <w:rFonts w:hint="eastAsia" w:ascii="宋体" w:hAnsi="宋体" w:cs="宋体"/>
          <w:color w:val="auto"/>
          <w:sz w:val="24"/>
          <w:szCs w:val="24"/>
          <w:highlight w:val="none"/>
        </w:rPr>
        <w:t>截止时间）前将书面答复发给所有供应商，该澄清内容为询价文件的组成部分。</w:t>
      </w:r>
    </w:p>
    <w:p w14:paraId="7F48175B">
      <w:pPr>
        <w:numPr>
          <w:ilvl w:val="1"/>
          <w:numId w:val="13"/>
        </w:numPr>
        <w:tabs>
          <w:tab w:val="left" w:pos="1019"/>
          <w:tab w:val="left" w:pos="1107"/>
        </w:tabs>
        <w:spacing w:line="470" w:lineRule="exact"/>
        <w:ind w:left="55" w:firstLine="519"/>
        <w:rPr>
          <w:rFonts w:ascii="宋体" w:hAnsi="宋体" w:cs="宋体"/>
          <w:color w:val="auto"/>
          <w:sz w:val="24"/>
          <w:szCs w:val="24"/>
          <w:highlight w:val="none"/>
        </w:rPr>
      </w:pPr>
      <w:r>
        <w:rPr>
          <w:rFonts w:hint="eastAsia" w:ascii="宋体" w:hAnsi="宋体" w:cs="宋体"/>
          <w:color w:val="auto"/>
          <w:sz w:val="24"/>
          <w:szCs w:val="24"/>
          <w:highlight w:val="none"/>
        </w:rPr>
        <w:t>至</w:t>
      </w:r>
      <w:r>
        <w:rPr>
          <w:rFonts w:hint="eastAsia" w:ascii="宋体" w:hAnsi="宋体" w:cs="宋体"/>
          <w:color w:val="auto"/>
          <w:sz w:val="24"/>
          <w:szCs w:val="24"/>
          <w:highlight w:val="none"/>
          <w:lang w:eastAsia="zh-CN"/>
        </w:rPr>
        <w:t>响应</w:t>
      </w:r>
      <w:r>
        <w:rPr>
          <w:rFonts w:hint="eastAsia" w:ascii="宋体" w:hAnsi="宋体" w:cs="宋体"/>
          <w:color w:val="auto"/>
          <w:sz w:val="24"/>
          <w:szCs w:val="24"/>
          <w:highlight w:val="none"/>
        </w:rPr>
        <w:t>截止日期前3工作日（如至原定截止时间不足3工作日，则需延长递交响应文件时间），采购代理机构可主动或依供应商要求澄清的问题修改询价文件，须将修改内容以书面形式通知所有询价文件收受人，供应商在收到该通知后应立即传真的形式予以确认。该修改内容为询价文件的组成部分，对供应商具有约束力。但本询价文件第6.3条规定的推迟</w:t>
      </w:r>
      <w:r>
        <w:rPr>
          <w:rFonts w:hint="eastAsia" w:ascii="宋体" w:hAnsi="宋体" w:cs="宋体"/>
          <w:color w:val="auto"/>
          <w:sz w:val="24"/>
          <w:szCs w:val="24"/>
          <w:highlight w:val="none"/>
          <w:lang w:eastAsia="zh-CN"/>
        </w:rPr>
        <w:t>响应</w:t>
      </w:r>
      <w:r>
        <w:rPr>
          <w:rFonts w:hint="eastAsia" w:ascii="宋体" w:hAnsi="宋体" w:cs="宋体"/>
          <w:color w:val="auto"/>
          <w:sz w:val="24"/>
          <w:szCs w:val="24"/>
          <w:highlight w:val="none"/>
        </w:rPr>
        <w:t>截止时间情形不受本条约束。</w:t>
      </w:r>
    </w:p>
    <w:p w14:paraId="3EDE43F8">
      <w:pPr>
        <w:numPr>
          <w:ilvl w:val="1"/>
          <w:numId w:val="13"/>
        </w:numPr>
        <w:tabs>
          <w:tab w:val="left" w:pos="1019"/>
          <w:tab w:val="left" w:pos="1107"/>
        </w:tabs>
        <w:spacing w:line="470" w:lineRule="exact"/>
        <w:ind w:left="55" w:firstLine="519"/>
        <w:rPr>
          <w:rFonts w:ascii="宋体" w:hAnsi="宋体" w:cs="宋体"/>
          <w:color w:val="auto"/>
          <w:sz w:val="24"/>
          <w:szCs w:val="24"/>
          <w:highlight w:val="none"/>
        </w:rPr>
      </w:pPr>
      <w:r>
        <w:rPr>
          <w:rFonts w:hint="eastAsia" w:ascii="宋体" w:hAnsi="宋体" w:cs="宋体"/>
          <w:color w:val="auto"/>
          <w:sz w:val="24"/>
          <w:szCs w:val="24"/>
          <w:highlight w:val="none"/>
        </w:rPr>
        <w:t>为使供应商在准备响应文件时有合理的时间考虑询价文件的修改，采购代理机构可酌情推迟</w:t>
      </w:r>
      <w:r>
        <w:rPr>
          <w:rFonts w:hint="eastAsia" w:ascii="宋体" w:hAnsi="宋体" w:cs="宋体"/>
          <w:color w:val="auto"/>
          <w:sz w:val="24"/>
          <w:szCs w:val="24"/>
          <w:highlight w:val="none"/>
          <w:lang w:eastAsia="zh-CN"/>
        </w:rPr>
        <w:t>响应</w:t>
      </w:r>
      <w:r>
        <w:rPr>
          <w:rFonts w:hint="eastAsia" w:ascii="宋体" w:hAnsi="宋体" w:cs="宋体"/>
          <w:color w:val="auto"/>
          <w:sz w:val="24"/>
          <w:szCs w:val="24"/>
          <w:highlight w:val="none"/>
        </w:rPr>
        <w:t>截止时间，但应当至少在</w:t>
      </w:r>
      <w:r>
        <w:rPr>
          <w:rFonts w:hint="eastAsia" w:ascii="宋体" w:hAnsi="宋体" w:cs="宋体"/>
          <w:color w:val="auto"/>
          <w:sz w:val="24"/>
          <w:szCs w:val="24"/>
          <w:highlight w:val="none"/>
          <w:lang w:eastAsia="zh-CN"/>
        </w:rPr>
        <w:t>响应</w:t>
      </w:r>
      <w:r>
        <w:rPr>
          <w:rFonts w:hint="eastAsia" w:ascii="宋体" w:hAnsi="宋体" w:cs="宋体"/>
          <w:color w:val="auto"/>
          <w:sz w:val="24"/>
          <w:szCs w:val="24"/>
          <w:highlight w:val="none"/>
        </w:rPr>
        <w:t>截止时间3工作日前将变更时间以书面形式通知所有供应商，该修改内容为询价文件的组成部分。在此情况下，采购人和供应商受</w:t>
      </w:r>
      <w:r>
        <w:rPr>
          <w:rFonts w:hint="eastAsia" w:ascii="宋体" w:hAnsi="宋体" w:cs="宋体"/>
          <w:color w:val="auto"/>
          <w:sz w:val="24"/>
          <w:szCs w:val="24"/>
          <w:highlight w:val="none"/>
          <w:lang w:eastAsia="zh-CN"/>
        </w:rPr>
        <w:t>响应</w:t>
      </w:r>
      <w:r>
        <w:rPr>
          <w:rFonts w:hint="eastAsia" w:ascii="宋体" w:hAnsi="宋体" w:cs="宋体"/>
          <w:color w:val="auto"/>
          <w:sz w:val="24"/>
          <w:szCs w:val="24"/>
          <w:highlight w:val="none"/>
        </w:rPr>
        <w:t>截止期制约的所有权利和义务均应延长至新的截止日期。</w:t>
      </w:r>
    </w:p>
    <w:p w14:paraId="1AC5D9D4">
      <w:pPr>
        <w:numPr>
          <w:ilvl w:val="1"/>
          <w:numId w:val="13"/>
        </w:numPr>
        <w:tabs>
          <w:tab w:val="left" w:pos="1019"/>
        </w:tabs>
        <w:spacing w:line="470" w:lineRule="exact"/>
        <w:ind w:left="55"/>
        <w:rPr>
          <w:rFonts w:ascii="宋体" w:hAnsi="宋体" w:cs="宋体"/>
          <w:color w:val="auto"/>
          <w:sz w:val="24"/>
          <w:szCs w:val="24"/>
          <w:highlight w:val="none"/>
        </w:rPr>
      </w:pPr>
      <w:r>
        <w:rPr>
          <w:rFonts w:hint="eastAsia" w:ascii="宋体" w:hAnsi="宋体" w:cs="宋体"/>
          <w:color w:val="auto"/>
          <w:sz w:val="24"/>
          <w:szCs w:val="24"/>
          <w:highlight w:val="none"/>
        </w:rPr>
        <w:t>澄清、修改通知将构成询价文件的一部分，对</w:t>
      </w:r>
      <w:r>
        <w:rPr>
          <w:rFonts w:hint="eastAsia" w:ascii="宋体" w:hAnsi="宋体" w:cs="宋体"/>
          <w:color w:val="auto"/>
          <w:sz w:val="24"/>
          <w:szCs w:val="24"/>
          <w:highlight w:val="none"/>
          <w:lang w:eastAsia="zh-CN"/>
        </w:rPr>
        <w:t>响应</w:t>
      </w:r>
      <w:r>
        <w:rPr>
          <w:rFonts w:hint="eastAsia" w:ascii="宋体" w:hAnsi="宋体" w:cs="宋体"/>
          <w:color w:val="auto"/>
          <w:sz w:val="24"/>
          <w:szCs w:val="24"/>
          <w:highlight w:val="none"/>
        </w:rPr>
        <w:t>双方均有约束力；澄清、修改通知与询价文件不一致的部分及内容以前者为准；澄清、修改通知内容不一致，以后一次发出的为准。</w:t>
      </w:r>
    </w:p>
    <w:p w14:paraId="2AF80F28">
      <w:pPr>
        <w:pStyle w:val="3"/>
        <w:spacing w:line="470" w:lineRule="exact"/>
        <w:jc w:val="center"/>
        <w:rPr>
          <w:rFonts w:ascii="宋体" w:hAnsi="宋体" w:cs="宋体"/>
          <w:color w:val="auto"/>
          <w:sz w:val="24"/>
          <w:szCs w:val="24"/>
          <w:highlight w:val="none"/>
        </w:rPr>
      </w:pPr>
      <w:bookmarkStart w:id="70" w:name="_Toc341834124"/>
      <w:bookmarkStart w:id="71" w:name="_Toc341650744"/>
      <w:bookmarkStart w:id="72" w:name="_Toc340069176"/>
      <w:bookmarkStart w:id="73" w:name="_Toc526873912"/>
      <w:bookmarkStart w:id="74" w:name="_Toc381261954"/>
      <w:r>
        <w:rPr>
          <w:rFonts w:hint="eastAsia" w:ascii="宋体" w:hAnsi="宋体" w:cs="宋体"/>
          <w:color w:val="auto"/>
          <w:sz w:val="24"/>
          <w:szCs w:val="24"/>
          <w:highlight w:val="none"/>
        </w:rPr>
        <w:t>第三节  响应文件的编写</w:t>
      </w:r>
      <w:bookmarkEnd w:id="70"/>
      <w:bookmarkEnd w:id="71"/>
      <w:bookmarkEnd w:id="72"/>
      <w:bookmarkEnd w:id="73"/>
      <w:bookmarkEnd w:id="74"/>
    </w:p>
    <w:p w14:paraId="76AE9DA3">
      <w:pPr>
        <w:pStyle w:val="3"/>
        <w:numPr>
          <w:ilvl w:val="0"/>
          <w:numId w:val="12"/>
        </w:numPr>
        <w:spacing w:before="0" w:after="0" w:line="470" w:lineRule="exact"/>
        <w:ind w:hanging="902"/>
        <w:rPr>
          <w:rFonts w:ascii="宋体" w:hAnsi="宋体" w:cs="宋体"/>
          <w:color w:val="auto"/>
          <w:sz w:val="24"/>
          <w:szCs w:val="24"/>
          <w:highlight w:val="none"/>
        </w:rPr>
      </w:pPr>
      <w:bookmarkStart w:id="75" w:name="_Toc341650745"/>
      <w:bookmarkStart w:id="76" w:name="_Toc381261955"/>
      <w:bookmarkStart w:id="77" w:name="_Toc526873913"/>
      <w:bookmarkStart w:id="78" w:name="_Toc341834125"/>
      <w:bookmarkStart w:id="79" w:name="_Toc340069177"/>
      <w:bookmarkStart w:id="80" w:name="_Toc22987881"/>
      <w:r>
        <w:rPr>
          <w:rFonts w:hint="eastAsia" w:ascii="宋体" w:hAnsi="宋体" w:cs="宋体"/>
          <w:color w:val="auto"/>
          <w:sz w:val="24"/>
          <w:szCs w:val="24"/>
          <w:highlight w:val="none"/>
        </w:rPr>
        <w:t>要求</w:t>
      </w:r>
      <w:bookmarkEnd w:id="75"/>
      <w:bookmarkEnd w:id="76"/>
      <w:bookmarkEnd w:id="77"/>
      <w:bookmarkEnd w:id="78"/>
      <w:bookmarkEnd w:id="79"/>
      <w:bookmarkEnd w:id="80"/>
    </w:p>
    <w:p w14:paraId="08B42EB1">
      <w:pPr>
        <w:pStyle w:val="90"/>
        <w:numPr>
          <w:ilvl w:val="0"/>
          <w:numId w:val="14"/>
        </w:numPr>
        <w:spacing w:line="470" w:lineRule="exact"/>
        <w:ind w:firstLineChars="0"/>
        <w:rPr>
          <w:rFonts w:ascii="宋体" w:hAnsi="宋体" w:cs="宋体"/>
          <w:vanish/>
          <w:color w:val="auto"/>
          <w:sz w:val="24"/>
          <w:szCs w:val="24"/>
          <w:highlight w:val="none"/>
        </w:rPr>
      </w:pPr>
    </w:p>
    <w:p w14:paraId="569D34C8">
      <w:pPr>
        <w:pStyle w:val="90"/>
        <w:numPr>
          <w:ilvl w:val="0"/>
          <w:numId w:val="13"/>
        </w:numPr>
        <w:spacing w:line="470" w:lineRule="exact"/>
        <w:ind w:firstLineChars="0"/>
        <w:rPr>
          <w:rFonts w:ascii="宋体" w:hAnsi="宋体" w:cs="宋体"/>
          <w:vanish/>
          <w:color w:val="auto"/>
          <w:sz w:val="24"/>
          <w:szCs w:val="24"/>
          <w:highlight w:val="none"/>
        </w:rPr>
      </w:pPr>
    </w:p>
    <w:p w14:paraId="476B009B">
      <w:pPr>
        <w:numPr>
          <w:ilvl w:val="1"/>
          <w:numId w:val="13"/>
        </w:numPr>
        <w:tabs>
          <w:tab w:val="left" w:pos="1019"/>
        </w:tabs>
        <w:spacing w:line="470" w:lineRule="exact"/>
        <w:ind w:left="55"/>
        <w:rPr>
          <w:rFonts w:ascii="宋体" w:hAnsi="宋体" w:cs="宋体"/>
          <w:color w:val="auto"/>
          <w:sz w:val="24"/>
          <w:szCs w:val="24"/>
          <w:highlight w:val="none"/>
        </w:rPr>
      </w:pPr>
      <w:r>
        <w:rPr>
          <w:rFonts w:hint="eastAsia" w:ascii="宋体" w:hAnsi="宋体" w:cs="宋体"/>
          <w:color w:val="auto"/>
          <w:sz w:val="24"/>
          <w:szCs w:val="24"/>
          <w:highlight w:val="none"/>
        </w:rPr>
        <w:t>供应商应仔细阅读询价文件所有内容，按询价文件的要求提供响应文件，并保证所提供的全部资料的真实性及正确性，以使其文件对询价文件做出实质性响应，否则，其响应文件可被作响应无效处理。</w:t>
      </w:r>
    </w:p>
    <w:p w14:paraId="4CB1672B">
      <w:pPr>
        <w:numPr>
          <w:ilvl w:val="1"/>
          <w:numId w:val="13"/>
        </w:numPr>
        <w:tabs>
          <w:tab w:val="left" w:pos="1019"/>
        </w:tabs>
        <w:spacing w:line="470" w:lineRule="exact"/>
        <w:ind w:left="55"/>
        <w:rPr>
          <w:rFonts w:ascii="宋体" w:hAnsi="宋体" w:cs="宋体"/>
          <w:color w:val="auto"/>
          <w:sz w:val="24"/>
          <w:szCs w:val="24"/>
          <w:highlight w:val="none"/>
        </w:rPr>
      </w:pPr>
      <w:r>
        <w:rPr>
          <w:rFonts w:hint="eastAsia" w:ascii="宋体" w:hAnsi="宋体" w:cs="宋体"/>
          <w:color w:val="auto"/>
          <w:sz w:val="24"/>
          <w:szCs w:val="24"/>
          <w:highlight w:val="none"/>
        </w:rPr>
        <w:t>除非有另外的规定，供应商可对“</w:t>
      </w:r>
      <w:r>
        <w:rPr>
          <w:rFonts w:hint="eastAsia" w:ascii="宋体" w:hAnsi="宋体" w:cs="宋体"/>
          <w:color w:val="auto"/>
          <w:sz w:val="24"/>
          <w:szCs w:val="24"/>
          <w:highlight w:val="none"/>
          <w:lang w:eastAsia="zh-CN"/>
        </w:rPr>
        <w:t>采购（货物）服务一览表</w:t>
      </w:r>
      <w:r>
        <w:rPr>
          <w:rFonts w:hint="eastAsia" w:ascii="宋体" w:hAnsi="宋体" w:cs="宋体"/>
          <w:color w:val="auto"/>
          <w:sz w:val="24"/>
          <w:szCs w:val="24"/>
          <w:highlight w:val="none"/>
        </w:rPr>
        <w:t>”所列的全部合同包或部分合同包进行响应。采购代理机构不接受有任何可选择性的报价，每一种货物（服务）只能有一个报价。</w:t>
      </w:r>
    </w:p>
    <w:p w14:paraId="1362F50F">
      <w:pPr>
        <w:pStyle w:val="3"/>
        <w:numPr>
          <w:ilvl w:val="0"/>
          <w:numId w:val="12"/>
        </w:numPr>
        <w:spacing w:before="0" w:after="0" w:line="470" w:lineRule="exact"/>
        <w:ind w:hanging="902"/>
        <w:rPr>
          <w:rFonts w:ascii="宋体" w:hAnsi="宋体" w:cs="宋体"/>
          <w:color w:val="auto"/>
          <w:sz w:val="24"/>
          <w:szCs w:val="24"/>
          <w:highlight w:val="none"/>
        </w:rPr>
      </w:pPr>
      <w:bookmarkStart w:id="81" w:name="_Toc278294202"/>
      <w:bookmarkStart w:id="82" w:name="_Toc341834126"/>
      <w:bookmarkStart w:id="83" w:name="_Toc340069178"/>
      <w:bookmarkStart w:id="84" w:name="_Toc327281482"/>
      <w:bookmarkStart w:id="85" w:name="_Toc381261956"/>
      <w:bookmarkStart w:id="86" w:name="_Toc341650746"/>
      <w:bookmarkStart w:id="87" w:name="_Toc272852366"/>
      <w:bookmarkStart w:id="88" w:name="_Toc273453817"/>
      <w:bookmarkStart w:id="89" w:name="_Toc526873914"/>
      <w:r>
        <w:rPr>
          <w:rFonts w:hint="eastAsia" w:ascii="宋体" w:hAnsi="宋体" w:cs="宋体"/>
          <w:color w:val="auto"/>
          <w:sz w:val="24"/>
          <w:szCs w:val="24"/>
          <w:highlight w:val="none"/>
        </w:rPr>
        <w:t>响应文件语言</w:t>
      </w:r>
      <w:bookmarkEnd w:id="81"/>
      <w:bookmarkEnd w:id="82"/>
      <w:bookmarkEnd w:id="83"/>
      <w:bookmarkEnd w:id="84"/>
      <w:bookmarkEnd w:id="85"/>
      <w:bookmarkEnd w:id="86"/>
      <w:bookmarkEnd w:id="87"/>
      <w:bookmarkEnd w:id="88"/>
      <w:r>
        <w:rPr>
          <w:rFonts w:hint="eastAsia" w:ascii="宋体" w:hAnsi="宋体" w:cs="宋体"/>
          <w:color w:val="auto"/>
          <w:sz w:val="24"/>
          <w:szCs w:val="24"/>
          <w:highlight w:val="none"/>
        </w:rPr>
        <w:t>及单位</w:t>
      </w:r>
      <w:bookmarkEnd w:id="89"/>
    </w:p>
    <w:p w14:paraId="68046EAA">
      <w:pPr>
        <w:pStyle w:val="90"/>
        <w:numPr>
          <w:ilvl w:val="0"/>
          <w:numId w:val="14"/>
        </w:numPr>
        <w:spacing w:line="470" w:lineRule="exact"/>
        <w:ind w:firstLineChars="0"/>
        <w:rPr>
          <w:rFonts w:ascii="宋体" w:hAnsi="宋体" w:cs="宋体"/>
          <w:vanish/>
          <w:color w:val="auto"/>
          <w:sz w:val="24"/>
          <w:szCs w:val="24"/>
          <w:highlight w:val="none"/>
        </w:rPr>
      </w:pPr>
    </w:p>
    <w:p w14:paraId="05E37005">
      <w:pPr>
        <w:pStyle w:val="90"/>
        <w:numPr>
          <w:ilvl w:val="0"/>
          <w:numId w:val="13"/>
        </w:numPr>
        <w:spacing w:line="470" w:lineRule="exact"/>
        <w:ind w:firstLineChars="0"/>
        <w:rPr>
          <w:rFonts w:ascii="宋体" w:hAnsi="宋体" w:cs="宋体"/>
          <w:vanish/>
          <w:color w:val="auto"/>
          <w:sz w:val="24"/>
          <w:szCs w:val="24"/>
          <w:highlight w:val="none"/>
        </w:rPr>
      </w:pPr>
    </w:p>
    <w:p w14:paraId="00CD6EB4">
      <w:pPr>
        <w:numPr>
          <w:ilvl w:val="1"/>
          <w:numId w:val="13"/>
        </w:numPr>
        <w:tabs>
          <w:tab w:val="left" w:pos="1019"/>
        </w:tabs>
        <w:spacing w:line="470" w:lineRule="exact"/>
        <w:ind w:left="55"/>
        <w:rPr>
          <w:rFonts w:ascii="宋体" w:hAnsi="宋体" w:cs="宋体"/>
          <w:color w:val="auto"/>
          <w:sz w:val="24"/>
          <w:szCs w:val="24"/>
          <w:highlight w:val="none"/>
        </w:rPr>
      </w:pPr>
      <w:r>
        <w:rPr>
          <w:rFonts w:hint="eastAsia" w:ascii="宋体" w:hAnsi="宋体" w:cs="宋体"/>
          <w:color w:val="auto"/>
          <w:sz w:val="24"/>
          <w:szCs w:val="24"/>
          <w:highlight w:val="none"/>
        </w:rPr>
        <w:t>响应文件应用中文书写。响应文件中所附或所引用的原件不是中文时，应附中文译本。各种计量单位及符号应采用国际上统一使用的公制计量单位和符号。</w:t>
      </w:r>
    </w:p>
    <w:p w14:paraId="696CABFD">
      <w:pPr>
        <w:pStyle w:val="3"/>
        <w:numPr>
          <w:ilvl w:val="0"/>
          <w:numId w:val="12"/>
        </w:numPr>
        <w:spacing w:before="0" w:after="0" w:line="470" w:lineRule="exact"/>
        <w:ind w:hanging="902"/>
        <w:rPr>
          <w:rFonts w:ascii="宋体" w:hAnsi="宋体" w:cs="宋体"/>
          <w:color w:val="auto"/>
          <w:sz w:val="24"/>
          <w:szCs w:val="24"/>
          <w:highlight w:val="none"/>
        </w:rPr>
      </w:pPr>
      <w:bookmarkStart w:id="90" w:name="_Toc341650747"/>
      <w:bookmarkStart w:id="91" w:name="_Toc341834127"/>
      <w:bookmarkStart w:id="92" w:name="_Toc22987882"/>
      <w:bookmarkStart w:id="93" w:name="_Toc526873915"/>
      <w:bookmarkStart w:id="94" w:name="_Toc340069179"/>
      <w:bookmarkStart w:id="95" w:name="_Toc381261957"/>
      <w:r>
        <w:rPr>
          <w:rFonts w:hint="eastAsia" w:ascii="宋体" w:hAnsi="宋体" w:cs="宋体"/>
          <w:color w:val="auto"/>
          <w:sz w:val="24"/>
          <w:szCs w:val="24"/>
          <w:highlight w:val="none"/>
        </w:rPr>
        <w:t>响应文件的组成</w:t>
      </w:r>
      <w:bookmarkEnd w:id="90"/>
      <w:bookmarkEnd w:id="91"/>
      <w:bookmarkEnd w:id="92"/>
      <w:bookmarkEnd w:id="93"/>
      <w:bookmarkEnd w:id="94"/>
      <w:bookmarkEnd w:id="95"/>
    </w:p>
    <w:p w14:paraId="6BAEBA88">
      <w:pPr>
        <w:pStyle w:val="90"/>
        <w:numPr>
          <w:ilvl w:val="0"/>
          <w:numId w:val="14"/>
        </w:numPr>
        <w:spacing w:line="470" w:lineRule="exact"/>
        <w:ind w:firstLineChars="0"/>
        <w:rPr>
          <w:rFonts w:ascii="宋体" w:hAnsi="宋体" w:cs="宋体"/>
          <w:vanish/>
          <w:color w:val="auto"/>
          <w:sz w:val="24"/>
          <w:szCs w:val="24"/>
          <w:highlight w:val="none"/>
        </w:rPr>
      </w:pPr>
    </w:p>
    <w:p w14:paraId="37854867">
      <w:pPr>
        <w:pStyle w:val="90"/>
        <w:numPr>
          <w:ilvl w:val="0"/>
          <w:numId w:val="13"/>
        </w:numPr>
        <w:spacing w:line="470" w:lineRule="exact"/>
        <w:ind w:firstLineChars="0"/>
        <w:rPr>
          <w:rFonts w:ascii="宋体" w:hAnsi="宋体" w:cs="宋体"/>
          <w:vanish/>
          <w:color w:val="auto"/>
          <w:sz w:val="24"/>
          <w:szCs w:val="24"/>
          <w:highlight w:val="none"/>
        </w:rPr>
      </w:pPr>
    </w:p>
    <w:p w14:paraId="3ADF582D">
      <w:pPr>
        <w:spacing w:line="470" w:lineRule="exact"/>
        <w:ind w:firstLine="480" w:firstLineChars="200"/>
        <w:rPr>
          <w:rFonts w:ascii="宋体" w:hAnsi="宋体" w:cs="宋体"/>
          <w:color w:val="auto"/>
          <w:sz w:val="24"/>
          <w:szCs w:val="24"/>
          <w:highlight w:val="none"/>
        </w:rPr>
      </w:pPr>
      <w:bookmarkStart w:id="96" w:name="_Toc526873916"/>
      <w:bookmarkStart w:id="97" w:name="_Toc381261958"/>
      <w:bookmarkStart w:id="98" w:name="_Toc341650748"/>
      <w:bookmarkStart w:id="99" w:name="_Toc340069180"/>
      <w:bookmarkStart w:id="100" w:name="_Toc341834128"/>
      <w:bookmarkStart w:id="101" w:name="_Toc22987883"/>
      <w:r>
        <w:rPr>
          <w:rFonts w:hint="eastAsia" w:ascii="宋体" w:hAnsi="宋体" w:cs="宋体"/>
          <w:color w:val="auto"/>
          <w:sz w:val="24"/>
          <w:szCs w:val="24"/>
          <w:highlight w:val="none"/>
        </w:rPr>
        <w:t>1.报价函</w:t>
      </w:r>
    </w:p>
    <w:p w14:paraId="4D611B44">
      <w:pPr>
        <w:spacing w:line="470" w:lineRule="exact"/>
        <w:ind w:firstLine="480" w:firstLineChars="200"/>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rPr>
        <w:t>2.</w:t>
      </w:r>
      <w:r>
        <w:rPr>
          <w:rFonts w:hint="eastAsia" w:ascii="宋体" w:hAnsi="宋体" w:cs="宋体"/>
          <w:color w:val="auto"/>
          <w:sz w:val="24"/>
          <w:szCs w:val="24"/>
          <w:highlight w:val="none"/>
          <w:lang w:eastAsia="zh-CN"/>
        </w:rPr>
        <w:t>报价明细</w:t>
      </w:r>
    </w:p>
    <w:p w14:paraId="3F6CA830">
      <w:pPr>
        <w:spacing w:line="47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lang w:val="en-US" w:eastAsia="zh-CN"/>
        </w:rPr>
        <w:t>3</w:t>
      </w:r>
      <w:r>
        <w:rPr>
          <w:rFonts w:hint="eastAsia" w:ascii="宋体" w:hAnsi="宋体" w:cs="宋体"/>
          <w:color w:val="auto"/>
          <w:sz w:val="24"/>
          <w:szCs w:val="24"/>
          <w:highlight w:val="none"/>
        </w:rPr>
        <w:t>.“★”号条款逐条响应情况表</w:t>
      </w:r>
    </w:p>
    <w:p w14:paraId="45B1C749">
      <w:pPr>
        <w:spacing w:line="47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lang w:val="en-US" w:eastAsia="zh-CN"/>
        </w:rPr>
        <w:t>4</w:t>
      </w:r>
      <w:r>
        <w:rPr>
          <w:rFonts w:hint="eastAsia" w:ascii="宋体" w:hAnsi="宋体" w:cs="宋体"/>
          <w:color w:val="auto"/>
          <w:sz w:val="24"/>
          <w:szCs w:val="24"/>
          <w:highlight w:val="none"/>
        </w:rPr>
        <w:t>. 供应商的资格证明文件</w:t>
      </w:r>
    </w:p>
    <w:p w14:paraId="38BEC8AC">
      <w:pPr>
        <w:spacing w:line="47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lang w:val="en-US" w:eastAsia="zh-CN"/>
        </w:rPr>
        <w:t>6</w:t>
      </w:r>
      <w:r>
        <w:rPr>
          <w:rFonts w:hint="eastAsia" w:ascii="宋体" w:hAnsi="宋体" w:cs="宋体"/>
          <w:color w:val="auto"/>
          <w:sz w:val="24"/>
          <w:szCs w:val="24"/>
          <w:highlight w:val="none"/>
        </w:rPr>
        <w:t>．供应商提交的其它资料</w:t>
      </w:r>
    </w:p>
    <w:bookmarkEnd w:id="96"/>
    <w:p w14:paraId="12D6496F">
      <w:pPr>
        <w:pStyle w:val="3"/>
        <w:numPr>
          <w:ilvl w:val="0"/>
          <w:numId w:val="12"/>
        </w:numPr>
        <w:spacing w:before="0" w:after="0" w:line="470" w:lineRule="exact"/>
        <w:ind w:hanging="902"/>
        <w:rPr>
          <w:rFonts w:ascii="宋体" w:hAnsi="宋体" w:cs="宋体"/>
          <w:color w:val="auto"/>
          <w:sz w:val="24"/>
          <w:szCs w:val="24"/>
          <w:highlight w:val="none"/>
        </w:rPr>
      </w:pPr>
      <w:r>
        <w:rPr>
          <w:rFonts w:hint="eastAsia" w:ascii="宋体" w:hAnsi="宋体" w:cs="宋体"/>
          <w:color w:val="auto"/>
          <w:sz w:val="24"/>
          <w:szCs w:val="24"/>
          <w:highlight w:val="none"/>
          <w:lang w:eastAsia="zh-CN"/>
        </w:rPr>
        <w:t>响应文件有效期</w:t>
      </w:r>
    </w:p>
    <w:p w14:paraId="7D668442">
      <w:pPr>
        <w:pStyle w:val="90"/>
        <w:numPr>
          <w:ilvl w:val="0"/>
          <w:numId w:val="14"/>
        </w:numPr>
        <w:spacing w:line="470" w:lineRule="exact"/>
        <w:ind w:firstLineChars="0"/>
        <w:rPr>
          <w:rFonts w:ascii="宋体" w:hAnsi="宋体" w:cs="宋体"/>
          <w:vanish/>
          <w:color w:val="auto"/>
          <w:sz w:val="24"/>
          <w:szCs w:val="24"/>
          <w:highlight w:val="none"/>
        </w:rPr>
      </w:pPr>
    </w:p>
    <w:p w14:paraId="414130C3">
      <w:pPr>
        <w:pStyle w:val="90"/>
        <w:numPr>
          <w:ilvl w:val="0"/>
          <w:numId w:val="13"/>
        </w:numPr>
        <w:spacing w:line="470" w:lineRule="exact"/>
        <w:ind w:firstLineChars="0"/>
        <w:rPr>
          <w:rFonts w:ascii="宋体" w:hAnsi="宋体" w:cs="宋体"/>
          <w:vanish/>
          <w:color w:val="auto"/>
          <w:sz w:val="24"/>
          <w:szCs w:val="24"/>
          <w:highlight w:val="none"/>
        </w:rPr>
      </w:pPr>
    </w:p>
    <w:p w14:paraId="2641B580">
      <w:pPr>
        <w:numPr>
          <w:ilvl w:val="1"/>
          <w:numId w:val="13"/>
        </w:numPr>
        <w:tabs>
          <w:tab w:val="left" w:pos="1019"/>
        </w:tabs>
        <w:spacing w:line="470" w:lineRule="exact"/>
        <w:ind w:left="55"/>
        <w:rPr>
          <w:rFonts w:ascii="宋体" w:hAnsi="宋体" w:cs="宋体"/>
          <w:color w:val="auto"/>
          <w:sz w:val="24"/>
          <w:szCs w:val="24"/>
          <w:highlight w:val="none"/>
        </w:rPr>
      </w:pPr>
      <w:r>
        <w:rPr>
          <w:rFonts w:hint="eastAsia" w:ascii="宋体" w:hAnsi="宋体" w:cs="宋体"/>
          <w:color w:val="auto"/>
          <w:sz w:val="24"/>
          <w:szCs w:val="24"/>
          <w:highlight w:val="none"/>
        </w:rPr>
        <w:t>自响应文件递交截止时间起，响应的有效期为90天。有效期不足的将导致其响应被拒绝。</w:t>
      </w:r>
    </w:p>
    <w:p w14:paraId="229314B5">
      <w:pPr>
        <w:numPr>
          <w:ilvl w:val="1"/>
          <w:numId w:val="13"/>
        </w:numPr>
        <w:tabs>
          <w:tab w:val="left" w:pos="1019"/>
        </w:tabs>
        <w:spacing w:line="470" w:lineRule="exact"/>
        <w:ind w:left="55"/>
        <w:rPr>
          <w:rFonts w:ascii="宋体" w:hAnsi="宋体" w:cs="宋体"/>
          <w:color w:val="auto"/>
          <w:sz w:val="24"/>
          <w:szCs w:val="24"/>
          <w:highlight w:val="none"/>
        </w:rPr>
      </w:pPr>
      <w:r>
        <w:rPr>
          <w:rFonts w:hint="eastAsia" w:ascii="宋体" w:hAnsi="宋体" w:cs="宋体"/>
          <w:color w:val="auto"/>
          <w:sz w:val="24"/>
          <w:szCs w:val="24"/>
          <w:highlight w:val="none"/>
        </w:rPr>
        <w:t>特殊情况下采购代理机构可于</w:t>
      </w:r>
      <w:r>
        <w:rPr>
          <w:rFonts w:hint="eastAsia" w:ascii="宋体" w:hAnsi="宋体" w:cs="宋体"/>
          <w:color w:val="auto"/>
          <w:sz w:val="24"/>
          <w:szCs w:val="24"/>
          <w:highlight w:val="none"/>
          <w:lang w:eastAsia="zh-CN"/>
        </w:rPr>
        <w:t>响应文件有效期</w:t>
      </w:r>
      <w:r>
        <w:rPr>
          <w:rFonts w:hint="eastAsia" w:ascii="宋体" w:hAnsi="宋体" w:cs="宋体"/>
          <w:color w:val="auto"/>
          <w:sz w:val="24"/>
          <w:szCs w:val="24"/>
          <w:highlight w:val="none"/>
        </w:rPr>
        <w:t>满之前书面要求供应商同意延长有效期，供应商应在采购代理机构规定的期限内以书面形式予以答复。供应商答复不明确或者逾期未答复的，均视为拒绝上述要求。</w:t>
      </w:r>
    </w:p>
    <w:p w14:paraId="0F38F85D">
      <w:pPr>
        <w:pStyle w:val="3"/>
        <w:numPr>
          <w:ilvl w:val="0"/>
          <w:numId w:val="12"/>
        </w:numPr>
        <w:spacing w:before="0" w:after="0" w:line="470" w:lineRule="exact"/>
        <w:ind w:hanging="902"/>
        <w:rPr>
          <w:rFonts w:ascii="宋体" w:hAnsi="宋体" w:cs="宋体"/>
          <w:color w:val="auto"/>
          <w:sz w:val="24"/>
          <w:szCs w:val="24"/>
          <w:highlight w:val="none"/>
        </w:rPr>
      </w:pPr>
      <w:bookmarkStart w:id="102" w:name="_Toc526873918"/>
      <w:r>
        <w:rPr>
          <w:rFonts w:hint="eastAsia" w:ascii="宋体" w:hAnsi="宋体" w:cs="宋体"/>
          <w:color w:val="auto"/>
          <w:sz w:val="24"/>
          <w:szCs w:val="24"/>
          <w:highlight w:val="none"/>
        </w:rPr>
        <w:t>响应文件格式</w:t>
      </w:r>
      <w:bookmarkEnd w:id="97"/>
      <w:bookmarkEnd w:id="98"/>
      <w:bookmarkEnd w:id="99"/>
      <w:bookmarkEnd w:id="100"/>
      <w:bookmarkEnd w:id="101"/>
      <w:bookmarkEnd w:id="102"/>
    </w:p>
    <w:p w14:paraId="1D68458A">
      <w:pPr>
        <w:pStyle w:val="90"/>
        <w:numPr>
          <w:ilvl w:val="0"/>
          <w:numId w:val="14"/>
        </w:numPr>
        <w:tabs>
          <w:tab w:val="left" w:pos="992"/>
        </w:tabs>
        <w:spacing w:line="470" w:lineRule="exact"/>
        <w:ind w:firstLineChars="0"/>
        <w:rPr>
          <w:rFonts w:ascii="宋体" w:hAnsi="宋体" w:cs="宋体"/>
          <w:vanish/>
          <w:color w:val="auto"/>
          <w:sz w:val="24"/>
          <w:szCs w:val="24"/>
          <w:highlight w:val="none"/>
        </w:rPr>
      </w:pPr>
    </w:p>
    <w:p w14:paraId="6742979D">
      <w:pPr>
        <w:pStyle w:val="90"/>
        <w:numPr>
          <w:ilvl w:val="0"/>
          <w:numId w:val="13"/>
        </w:numPr>
        <w:spacing w:line="470" w:lineRule="exact"/>
        <w:ind w:firstLineChars="0"/>
        <w:rPr>
          <w:rFonts w:ascii="宋体" w:hAnsi="宋体" w:cs="宋体"/>
          <w:vanish/>
          <w:color w:val="auto"/>
          <w:sz w:val="24"/>
          <w:szCs w:val="24"/>
          <w:highlight w:val="none"/>
        </w:rPr>
      </w:pPr>
    </w:p>
    <w:p w14:paraId="4A96F58C">
      <w:pPr>
        <w:numPr>
          <w:ilvl w:val="1"/>
          <w:numId w:val="13"/>
        </w:numPr>
        <w:tabs>
          <w:tab w:val="left" w:pos="1019"/>
        </w:tabs>
        <w:spacing w:line="470" w:lineRule="exact"/>
        <w:ind w:left="55"/>
        <w:rPr>
          <w:rFonts w:ascii="宋体" w:hAnsi="宋体" w:cs="宋体"/>
          <w:color w:val="auto"/>
          <w:sz w:val="24"/>
          <w:szCs w:val="24"/>
          <w:highlight w:val="none"/>
        </w:rPr>
      </w:pPr>
      <w:r>
        <w:rPr>
          <w:rFonts w:hint="eastAsia" w:ascii="宋体" w:hAnsi="宋体" w:cs="宋体"/>
          <w:color w:val="auto"/>
          <w:sz w:val="24"/>
          <w:szCs w:val="24"/>
          <w:highlight w:val="none"/>
        </w:rPr>
        <w:t>供应商须编制由本须知第9条规定文件组成的响应文件</w:t>
      </w:r>
      <w:r>
        <w:rPr>
          <w:rFonts w:hint="eastAsia" w:ascii="宋体" w:hAnsi="宋体" w:cs="宋体"/>
          <w:b/>
          <w:color w:val="auto"/>
          <w:sz w:val="24"/>
          <w:szCs w:val="24"/>
          <w:highlight w:val="none"/>
        </w:rPr>
        <w:t>正本一份，副本二份，</w:t>
      </w:r>
      <w:r>
        <w:rPr>
          <w:rFonts w:hint="eastAsia" w:ascii="宋体" w:hAnsi="宋体" w:cs="宋体"/>
          <w:color w:val="auto"/>
          <w:sz w:val="24"/>
          <w:szCs w:val="24"/>
          <w:highlight w:val="none"/>
        </w:rPr>
        <w:t>正本必须用A4幅面纸张打印装订，副本可以用正本的完整复印件。图纸可用A3幅面纸打印并单独装订（一正</w:t>
      </w:r>
      <w:r>
        <w:rPr>
          <w:rFonts w:hint="eastAsia" w:ascii="宋体" w:hAnsi="宋体" w:cs="宋体"/>
          <w:color w:val="auto"/>
          <w:sz w:val="24"/>
          <w:szCs w:val="24"/>
          <w:highlight w:val="none"/>
          <w:lang w:val="en-US" w:eastAsia="zh-CN"/>
        </w:rPr>
        <w:t>二</w:t>
      </w:r>
      <w:r>
        <w:rPr>
          <w:rFonts w:hint="eastAsia" w:ascii="宋体" w:hAnsi="宋体" w:cs="宋体"/>
          <w:color w:val="auto"/>
          <w:sz w:val="24"/>
          <w:szCs w:val="24"/>
          <w:highlight w:val="none"/>
        </w:rPr>
        <w:t>副）。并在封面标明“正本”、“副本”字样。正本、副本、电子档如有不一致，则以正本为准。</w:t>
      </w:r>
    </w:p>
    <w:p w14:paraId="456DBB37">
      <w:pPr>
        <w:numPr>
          <w:ilvl w:val="1"/>
          <w:numId w:val="13"/>
        </w:numPr>
        <w:tabs>
          <w:tab w:val="left" w:pos="1019"/>
        </w:tabs>
        <w:spacing w:line="470" w:lineRule="exact"/>
        <w:ind w:left="55"/>
        <w:rPr>
          <w:rFonts w:ascii="宋体" w:hAnsi="宋体" w:cs="宋体"/>
          <w:color w:val="auto"/>
          <w:sz w:val="24"/>
          <w:szCs w:val="24"/>
          <w:highlight w:val="none"/>
        </w:rPr>
      </w:pPr>
      <w:r>
        <w:rPr>
          <w:rFonts w:hint="eastAsia" w:ascii="宋体" w:hAnsi="宋体" w:cs="宋体"/>
          <w:color w:val="auto"/>
          <w:sz w:val="24"/>
          <w:szCs w:val="24"/>
          <w:highlight w:val="none"/>
        </w:rPr>
        <w:t>响应文件应由供应商的法定代表人或者其授权代表签字并加盖公章，如由后者签字，应提供《法定代表人授权委托书》。</w:t>
      </w:r>
    </w:p>
    <w:p w14:paraId="4D6DADAF">
      <w:pPr>
        <w:numPr>
          <w:ilvl w:val="1"/>
          <w:numId w:val="13"/>
        </w:numPr>
        <w:tabs>
          <w:tab w:val="left" w:pos="1019"/>
        </w:tabs>
        <w:spacing w:line="470" w:lineRule="exact"/>
        <w:ind w:left="55"/>
        <w:rPr>
          <w:rFonts w:ascii="宋体" w:hAnsi="宋体" w:cs="宋体"/>
          <w:color w:val="auto"/>
          <w:sz w:val="24"/>
          <w:szCs w:val="24"/>
          <w:highlight w:val="none"/>
        </w:rPr>
      </w:pPr>
      <w:r>
        <w:rPr>
          <w:rFonts w:hint="eastAsia" w:ascii="宋体" w:hAnsi="宋体" w:cs="宋体"/>
          <w:color w:val="auto"/>
          <w:sz w:val="24"/>
          <w:szCs w:val="24"/>
          <w:highlight w:val="none"/>
        </w:rPr>
        <w:t>除非有另外的规定或许可，报价使用货币为人民币。</w:t>
      </w:r>
    </w:p>
    <w:p w14:paraId="03BD0474">
      <w:pPr>
        <w:numPr>
          <w:ilvl w:val="1"/>
          <w:numId w:val="13"/>
        </w:numPr>
        <w:tabs>
          <w:tab w:val="left" w:pos="1019"/>
        </w:tabs>
        <w:spacing w:line="470" w:lineRule="exact"/>
        <w:ind w:left="55"/>
        <w:rPr>
          <w:rFonts w:ascii="宋体" w:hAnsi="宋体" w:cs="宋体"/>
          <w:color w:val="auto"/>
          <w:sz w:val="24"/>
          <w:szCs w:val="24"/>
          <w:highlight w:val="none"/>
        </w:rPr>
      </w:pPr>
      <w:r>
        <w:rPr>
          <w:rFonts w:hint="eastAsia" w:ascii="宋体" w:hAnsi="宋体" w:cs="宋体"/>
          <w:color w:val="auto"/>
          <w:sz w:val="24"/>
          <w:szCs w:val="24"/>
          <w:highlight w:val="none"/>
        </w:rPr>
        <w:t>供应商应提交证明其拟供货物（服务）符合询价文件要求的技术响应文件，该文件可以是文字资料、图纸和数据，并须提供货物（服务）主要技术性能的详细描述。</w:t>
      </w:r>
    </w:p>
    <w:p w14:paraId="4BFF87F4">
      <w:pPr>
        <w:numPr>
          <w:ilvl w:val="1"/>
          <w:numId w:val="13"/>
        </w:numPr>
        <w:tabs>
          <w:tab w:val="left" w:pos="1019"/>
        </w:tabs>
        <w:spacing w:line="470" w:lineRule="exact"/>
        <w:ind w:left="55"/>
        <w:rPr>
          <w:rFonts w:ascii="宋体" w:hAnsi="宋体" w:cs="宋体"/>
          <w:color w:val="auto"/>
          <w:sz w:val="24"/>
          <w:szCs w:val="24"/>
          <w:highlight w:val="none"/>
        </w:rPr>
      </w:pPr>
      <w:r>
        <w:rPr>
          <w:rFonts w:hint="eastAsia" w:ascii="宋体" w:hAnsi="宋体" w:cs="宋体"/>
          <w:color w:val="auto"/>
          <w:sz w:val="24"/>
          <w:szCs w:val="24"/>
          <w:highlight w:val="none"/>
        </w:rPr>
        <w:t>响应文件的正本和全部副本均应使用不能擦去的墨料或墨水打印、书写或复印，并由法定代表人或其授权代表签署，盖供应商公章。</w:t>
      </w:r>
    </w:p>
    <w:p w14:paraId="675F06D7">
      <w:pPr>
        <w:numPr>
          <w:ilvl w:val="1"/>
          <w:numId w:val="13"/>
        </w:numPr>
        <w:tabs>
          <w:tab w:val="left" w:pos="1019"/>
        </w:tabs>
        <w:spacing w:line="470" w:lineRule="exact"/>
        <w:ind w:left="55"/>
        <w:rPr>
          <w:rFonts w:ascii="宋体" w:hAnsi="宋体" w:cs="宋体"/>
          <w:color w:val="auto"/>
          <w:sz w:val="24"/>
          <w:szCs w:val="24"/>
          <w:highlight w:val="none"/>
        </w:rPr>
      </w:pPr>
      <w:r>
        <w:rPr>
          <w:rFonts w:hint="eastAsia" w:ascii="宋体" w:hAnsi="宋体" w:cs="宋体"/>
          <w:color w:val="auto"/>
          <w:sz w:val="24"/>
          <w:szCs w:val="24"/>
          <w:highlight w:val="none"/>
        </w:rPr>
        <w:t xml:space="preserve">全套响应文件应无涂改和行间插字，除非这些改动是根据采购代理机构的指示进行的，或者是为改正供应商造成的必须修改的错误而进行的。有改动时，修改处应当由法定代表人或授权代表签字证明或加盖校正章。 </w:t>
      </w:r>
    </w:p>
    <w:p w14:paraId="5B3EE9CB">
      <w:pPr>
        <w:numPr>
          <w:ilvl w:val="1"/>
          <w:numId w:val="13"/>
        </w:numPr>
        <w:tabs>
          <w:tab w:val="left" w:pos="1019"/>
        </w:tabs>
        <w:spacing w:line="470" w:lineRule="exact"/>
        <w:ind w:left="55"/>
        <w:rPr>
          <w:rFonts w:ascii="宋体" w:hAnsi="宋体" w:cs="宋体"/>
          <w:color w:val="auto"/>
          <w:sz w:val="24"/>
          <w:szCs w:val="24"/>
          <w:highlight w:val="none"/>
        </w:rPr>
      </w:pPr>
      <w:r>
        <w:rPr>
          <w:rFonts w:hint="eastAsia" w:ascii="宋体" w:hAnsi="宋体" w:cs="宋体"/>
          <w:color w:val="auto"/>
          <w:sz w:val="24"/>
          <w:szCs w:val="24"/>
          <w:highlight w:val="none"/>
        </w:rPr>
        <w:t>未按本须知规定的格式填写响应文件、响应文件字迹模糊不清的，其响应可能被承担不利的评审结果。</w:t>
      </w:r>
    </w:p>
    <w:p w14:paraId="1097CD0B">
      <w:pPr>
        <w:numPr>
          <w:ilvl w:val="1"/>
          <w:numId w:val="13"/>
        </w:numPr>
        <w:tabs>
          <w:tab w:val="left" w:pos="1019"/>
        </w:tabs>
        <w:spacing w:line="470" w:lineRule="exact"/>
        <w:ind w:left="55"/>
        <w:rPr>
          <w:rFonts w:ascii="宋体" w:hAnsi="宋体" w:cs="宋体"/>
          <w:color w:val="auto"/>
          <w:sz w:val="24"/>
          <w:szCs w:val="24"/>
          <w:highlight w:val="none"/>
        </w:rPr>
      </w:pPr>
      <w:r>
        <w:rPr>
          <w:rFonts w:hint="eastAsia" w:ascii="宋体" w:hAnsi="宋体" w:cs="宋体"/>
          <w:color w:val="auto"/>
          <w:sz w:val="24"/>
          <w:szCs w:val="24"/>
          <w:highlight w:val="none"/>
        </w:rPr>
        <w:t>供应商应将上述文件按顺序胶装成册、打印页码，并编列响应文件目录、资料清单，由于装订不规范或编排顺序混乱而导致响应文件被误读或漏读，该响应可能被视为无效响应或承担不利的评审结果。</w:t>
      </w:r>
    </w:p>
    <w:p w14:paraId="08B0A7F3">
      <w:pPr>
        <w:pStyle w:val="3"/>
        <w:spacing w:line="470" w:lineRule="exact"/>
        <w:jc w:val="center"/>
        <w:rPr>
          <w:rFonts w:ascii="宋体" w:hAnsi="宋体" w:cs="宋体"/>
          <w:color w:val="auto"/>
          <w:sz w:val="24"/>
          <w:szCs w:val="24"/>
          <w:highlight w:val="none"/>
        </w:rPr>
      </w:pPr>
      <w:bookmarkStart w:id="103" w:name="_Toc206557780"/>
      <w:bookmarkStart w:id="104" w:name="_Toc340069184"/>
      <w:bookmarkStart w:id="105" w:name="_Toc265590446"/>
      <w:bookmarkStart w:id="106" w:name="_Toc526873919"/>
      <w:bookmarkStart w:id="107" w:name="_Toc341650752"/>
      <w:bookmarkStart w:id="108" w:name="_Toc341834132"/>
      <w:bookmarkStart w:id="109" w:name="_Toc381261962"/>
      <w:bookmarkStart w:id="110" w:name="_Toc160543043"/>
      <w:r>
        <w:rPr>
          <w:rFonts w:hint="eastAsia" w:ascii="宋体" w:hAnsi="宋体" w:cs="宋体"/>
          <w:color w:val="auto"/>
          <w:sz w:val="24"/>
          <w:szCs w:val="24"/>
          <w:highlight w:val="none"/>
        </w:rPr>
        <w:t>第四节  响应文件的递交</w:t>
      </w:r>
      <w:bookmarkEnd w:id="103"/>
      <w:bookmarkEnd w:id="104"/>
      <w:bookmarkEnd w:id="105"/>
      <w:bookmarkEnd w:id="106"/>
      <w:bookmarkEnd w:id="107"/>
      <w:bookmarkEnd w:id="108"/>
      <w:bookmarkEnd w:id="109"/>
      <w:bookmarkEnd w:id="110"/>
    </w:p>
    <w:p w14:paraId="2E7443C0">
      <w:pPr>
        <w:pStyle w:val="3"/>
        <w:numPr>
          <w:ilvl w:val="0"/>
          <w:numId w:val="12"/>
        </w:numPr>
        <w:spacing w:before="0" w:after="0" w:line="470" w:lineRule="exact"/>
        <w:ind w:hanging="902"/>
        <w:rPr>
          <w:rFonts w:ascii="宋体" w:hAnsi="宋体" w:cs="宋体"/>
          <w:color w:val="auto"/>
          <w:sz w:val="24"/>
          <w:szCs w:val="24"/>
          <w:highlight w:val="none"/>
        </w:rPr>
      </w:pPr>
      <w:bookmarkStart w:id="111" w:name="_Toc526873920"/>
      <w:r>
        <w:rPr>
          <w:rFonts w:hint="eastAsia" w:ascii="宋体" w:hAnsi="宋体" w:cs="宋体"/>
          <w:color w:val="auto"/>
          <w:sz w:val="24"/>
          <w:szCs w:val="24"/>
          <w:highlight w:val="none"/>
        </w:rPr>
        <w:t>响应文件的密封、标记和递交</w:t>
      </w:r>
      <w:bookmarkEnd w:id="111"/>
    </w:p>
    <w:p w14:paraId="5459BDBF">
      <w:pPr>
        <w:pStyle w:val="90"/>
        <w:numPr>
          <w:ilvl w:val="0"/>
          <w:numId w:val="14"/>
        </w:numPr>
        <w:tabs>
          <w:tab w:val="left" w:pos="992"/>
        </w:tabs>
        <w:spacing w:line="470" w:lineRule="exact"/>
        <w:ind w:firstLineChars="0"/>
        <w:rPr>
          <w:rFonts w:ascii="宋体" w:hAnsi="宋体" w:cs="宋体"/>
          <w:vanish/>
          <w:color w:val="auto"/>
          <w:sz w:val="24"/>
          <w:szCs w:val="24"/>
          <w:highlight w:val="none"/>
        </w:rPr>
      </w:pPr>
    </w:p>
    <w:p w14:paraId="31AE4BEC">
      <w:pPr>
        <w:pStyle w:val="90"/>
        <w:numPr>
          <w:ilvl w:val="0"/>
          <w:numId w:val="13"/>
        </w:numPr>
        <w:spacing w:line="470" w:lineRule="exact"/>
        <w:ind w:firstLineChars="0"/>
        <w:rPr>
          <w:rFonts w:ascii="宋体" w:hAnsi="宋体" w:cs="宋体"/>
          <w:vanish/>
          <w:color w:val="auto"/>
          <w:sz w:val="24"/>
          <w:szCs w:val="24"/>
          <w:highlight w:val="none"/>
        </w:rPr>
      </w:pPr>
    </w:p>
    <w:p w14:paraId="40A96CBA">
      <w:pPr>
        <w:numPr>
          <w:ilvl w:val="1"/>
          <w:numId w:val="13"/>
        </w:numPr>
        <w:tabs>
          <w:tab w:val="left" w:pos="1019"/>
        </w:tabs>
        <w:spacing w:line="470" w:lineRule="exact"/>
        <w:ind w:left="55"/>
        <w:rPr>
          <w:rFonts w:ascii="宋体" w:hAnsi="宋体" w:cs="宋体"/>
          <w:color w:val="auto"/>
          <w:sz w:val="24"/>
          <w:szCs w:val="24"/>
          <w:highlight w:val="none"/>
        </w:rPr>
      </w:pPr>
      <w:r>
        <w:rPr>
          <w:rFonts w:hint="eastAsia" w:ascii="宋体" w:hAnsi="宋体" w:cs="宋体"/>
          <w:color w:val="auto"/>
          <w:sz w:val="24"/>
          <w:szCs w:val="24"/>
          <w:highlight w:val="none"/>
        </w:rPr>
        <w:t>供应商应将响应文件正本和全部副本密封，标明</w:t>
      </w:r>
      <w:r>
        <w:rPr>
          <w:rFonts w:hint="eastAsia" w:ascii="宋体" w:hAnsi="宋体" w:cs="宋体"/>
          <w:color w:val="auto"/>
          <w:sz w:val="24"/>
          <w:szCs w:val="24"/>
          <w:highlight w:val="none"/>
          <w:lang w:eastAsia="zh-CN"/>
        </w:rPr>
        <w:t>项目编号</w:t>
      </w:r>
      <w:r>
        <w:rPr>
          <w:rFonts w:hint="eastAsia" w:ascii="宋体" w:hAnsi="宋体" w:cs="宋体"/>
          <w:color w:val="auto"/>
          <w:sz w:val="24"/>
          <w:szCs w:val="24"/>
          <w:highlight w:val="none"/>
        </w:rPr>
        <w:t>、供应商名称、项目名称及“正本”或“副本”字样。响应文件未密封将导致其响应被拒绝。</w:t>
      </w:r>
    </w:p>
    <w:p w14:paraId="074158DA">
      <w:pPr>
        <w:numPr>
          <w:ilvl w:val="1"/>
          <w:numId w:val="13"/>
        </w:numPr>
        <w:tabs>
          <w:tab w:val="left" w:pos="1019"/>
        </w:tabs>
        <w:spacing w:line="470" w:lineRule="exact"/>
        <w:ind w:left="55"/>
        <w:rPr>
          <w:rFonts w:ascii="宋体" w:hAnsi="宋体" w:cs="宋体"/>
          <w:color w:val="auto"/>
          <w:sz w:val="24"/>
          <w:szCs w:val="24"/>
          <w:highlight w:val="none"/>
        </w:rPr>
      </w:pPr>
      <w:r>
        <w:rPr>
          <w:rFonts w:hint="eastAsia" w:ascii="宋体" w:hAnsi="宋体" w:cs="宋体"/>
          <w:color w:val="auto"/>
          <w:sz w:val="24"/>
          <w:szCs w:val="24"/>
          <w:highlight w:val="none"/>
        </w:rPr>
        <w:t>响应文件的每个密封处均应注明“</w:t>
      </w:r>
      <w:r>
        <w:rPr>
          <w:rFonts w:hint="eastAsia" w:ascii="宋体" w:hAnsi="宋体" w:cs="宋体"/>
          <w:b/>
          <w:color w:val="auto"/>
          <w:sz w:val="24"/>
          <w:szCs w:val="24"/>
          <w:highlight w:val="none"/>
        </w:rPr>
        <w:t>于</w:t>
      </w:r>
      <w:r>
        <w:rPr>
          <w:rFonts w:hint="eastAsia" w:ascii="宋体" w:hAnsi="宋体" w:cs="宋体"/>
          <w:b/>
          <w:color w:val="auto"/>
          <w:sz w:val="24"/>
          <w:szCs w:val="24"/>
          <w:highlight w:val="none"/>
          <w:u w:val="single"/>
        </w:rPr>
        <w:t xml:space="preserve">    </w:t>
      </w:r>
      <w:r>
        <w:rPr>
          <w:rFonts w:hint="eastAsia" w:ascii="宋体" w:hAnsi="宋体" w:cs="宋体"/>
          <w:b/>
          <w:color w:val="auto"/>
          <w:sz w:val="24"/>
          <w:szCs w:val="24"/>
          <w:highlight w:val="none"/>
        </w:rPr>
        <w:t>年</w:t>
      </w:r>
      <w:r>
        <w:rPr>
          <w:rFonts w:hint="eastAsia" w:ascii="宋体" w:hAnsi="宋体" w:cs="宋体"/>
          <w:b/>
          <w:color w:val="auto"/>
          <w:sz w:val="24"/>
          <w:szCs w:val="24"/>
          <w:highlight w:val="none"/>
          <w:u w:val="single"/>
        </w:rPr>
        <w:t xml:space="preserve">  </w:t>
      </w:r>
      <w:r>
        <w:rPr>
          <w:rFonts w:hint="eastAsia" w:ascii="宋体" w:hAnsi="宋体" w:cs="宋体"/>
          <w:b/>
          <w:color w:val="auto"/>
          <w:sz w:val="24"/>
          <w:szCs w:val="24"/>
          <w:highlight w:val="none"/>
        </w:rPr>
        <w:t>月</w:t>
      </w:r>
      <w:r>
        <w:rPr>
          <w:rFonts w:hint="eastAsia" w:ascii="宋体" w:hAnsi="宋体" w:cs="宋体"/>
          <w:b/>
          <w:color w:val="auto"/>
          <w:sz w:val="24"/>
          <w:szCs w:val="24"/>
          <w:highlight w:val="none"/>
          <w:u w:val="single"/>
        </w:rPr>
        <w:t xml:space="preserve">  </w:t>
      </w:r>
      <w:r>
        <w:rPr>
          <w:rFonts w:hint="eastAsia" w:ascii="宋体" w:hAnsi="宋体" w:cs="宋体"/>
          <w:b/>
          <w:color w:val="auto"/>
          <w:sz w:val="24"/>
          <w:szCs w:val="24"/>
          <w:highlight w:val="none"/>
        </w:rPr>
        <w:t>日</w:t>
      </w:r>
      <w:r>
        <w:rPr>
          <w:rFonts w:hint="eastAsia" w:ascii="宋体" w:hAnsi="宋体" w:cs="宋体"/>
          <w:b/>
          <w:color w:val="auto"/>
          <w:sz w:val="24"/>
          <w:szCs w:val="24"/>
          <w:highlight w:val="none"/>
          <w:u w:val="single"/>
        </w:rPr>
        <w:t xml:space="preserve">  </w:t>
      </w:r>
      <w:r>
        <w:rPr>
          <w:rFonts w:hint="eastAsia" w:ascii="宋体" w:hAnsi="宋体" w:cs="宋体"/>
          <w:b/>
          <w:color w:val="auto"/>
          <w:sz w:val="24"/>
          <w:szCs w:val="24"/>
          <w:highlight w:val="none"/>
        </w:rPr>
        <w:t>时</w:t>
      </w:r>
      <w:r>
        <w:rPr>
          <w:rFonts w:hint="eastAsia" w:ascii="宋体" w:hAnsi="宋体" w:cs="宋体"/>
          <w:b/>
          <w:color w:val="auto"/>
          <w:sz w:val="24"/>
          <w:szCs w:val="24"/>
          <w:highlight w:val="none"/>
          <w:u w:val="single"/>
        </w:rPr>
        <w:t xml:space="preserve">  </w:t>
      </w:r>
      <w:r>
        <w:rPr>
          <w:rFonts w:hint="eastAsia" w:ascii="宋体" w:hAnsi="宋体" w:cs="宋体"/>
          <w:b/>
          <w:color w:val="auto"/>
          <w:sz w:val="24"/>
          <w:szCs w:val="24"/>
          <w:highlight w:val="none"/>
        </w:rPr>
        <w:t>分（指询价文件中规定的响应文件递交截止时间）之前不准启封</w:t>
      </w:r>
      <w:r>
        <w:rPr>
          <w:rFonts w:hint="eastAsia" w:ascii="宋体" w:hAnsi="宋体" w:cs="宋体"/>
          <w:color w:val="auto"/>
          <w:sz w:val="24"/>
          <w:szCs w:val="24"/>
          <w:highlight w:val="none"/>
        </w:rPr>
        <w:t>”的字样，并加盖供应商公章或由报价代表签字。</w:t>
      </w:r>
    </w:p>
    <w:p w14:paraId="45218128">
      <w:pPr>
        <w:numPr>
          <w:ilvl w:val="1"/>
          <w:numId w:val="13"/>
        </w:numPr>
        <w:tabs>
          <w:tab w:val="left" w:pos="1019"/>
        </w:tabs>
        <w:spacing w:line="470" w:lineRule="exact"/>
        <w:ind w:left="55"/>
        <w:rPr>
          <w:rFonts w:ascii="宋体" w:hAnsi="宋体" w:cs="宋体"/>
          <w:color w:val="auto"/>
          <w:sz w:val="24"/>
          <w:szCs w:val="24"/>
          <w:highlight w:val="none"/>
        </w:rPr>
      </w:pPr>
      <w:r>
        <w:rPr>
          <w:rFonts w:hint="eastAsia" w:ascii="宋体" w:hAnsi="宋体" w:cs="宋体"/>
          <w:color w:val="auto"/>
          <w:sz w:val="24"/>
          <w:szCs w:val="24"/>
          <w:highlight w:val="none"/>
        </w:rPr>
        <w:t>如响应文件由邮局或专人送交，供应商应将响应文件按第13.1条至13.2条中的规定进行密封和标记后，按</w:t>
      </w:r>
      <w:r>
        <w:rPr>
          <w:rFonts w:hint="eastAsia" w:ascii="宋体" w:hAnsi="宋体" w:cs="宋体"/>
          <w:color w:val="auto"/>
          <w:sz w:val="24"/>
          <w:szCs w:val="24"/>
          <w:highlight w:val="none"/>
          <w:lang w:eastAsia="zh-CN"/>
        </w:rPr>
        <w:t>询价邀请</w:t>
      </w:r>
      <w:r>
        <w:rPr>
          <w:rFonts w:hint="eastAsia" w:ascii="宋体" w:hAnsi="宋体" w:cs="宋体"/>
          <w:color w:val="auto"/>
          <w:sz w:val="24"/>
          <w:szCs w:val="24"/>
          <w:highlight w:val="none"/>
        </w:rPr>
        <w:t>注明的地址送至接收人。</w:t>
      </w:r>
    </w:p>
    <w:p w14:paraId="4904F904">
      <w:pPr>
        <w:numPr>
          <w:ilvl w:val="1"/>
          <w:numId w:val="13"/>
        </w:numPr>
        <w:tabs>
          <w:tab w:val="left" w:pos="1019"/>
        </w:tabs>
        <w:spacing w:line="470" w:lineRule="exact"/>
        <w:ind w:left="55"/>
        <w:rPr>
          <w:rFonts w:ascii="宋体" w:hAnsi="宋体" w:cs="宋体"/>
          <w:color w:val="auto"/>
          <w:sz w:val="24"/>
          <w:szCs w:val="24"/>
          <w:highlight w:val="none"/>
        </w:rPr>
      </w:pPr>
      <w:r>
        <w:rPr>
          <w:rFonts w:hint="eastAsia" w:ascii="宋体" w:hAnsi="宋体" w:cs="宋体"/>
          <w:color w:val="auto"/>
          <w:sz w:val="24"/>
          <w:szCs w:val="24"/>
          <w:highlight w:val="none"/>
        </w:rPr>
        <w:t>如果供应商未按上述规定对响应文件进行密封和标记的，采购代理机构将不承担由此造成的对响应文件的误投或提前拆封的责任。</w:t>
      </w:r>
    </w:p>
    <w:p w14:paraId="48534F8D">
      <w:pPr>
        <w:numPr>
          <w:ilvl w:val="1"/>
          <w:numId w:val="13"/>
        </w:numPr>
        <w:tabs>
          <w:tab w:val="left" w:pos="1019"/>
        </w:tabs>
        <w:spacing w:line="470" w:lineRule="exact"/>
        <w:ind w:left="55"/>
        <w:rPr>
          <w:rFonts w:ascii="宋体" w:hAnsi="宋体" w:cs="宋体"/>
          <w:color w:val="auto"/>
          <w:sz w:val="24"/>
          <w:szCs w:val="24"/>
          <w:highlight w:val="none"/>
        </w:rPr>
      </w:pPr>
      <w:r>
        <w:rPr>
          <w:rFonts w:hint="eastAsia" w:ascii="宋体" w:hAnsi="宋体" w:cs="宋体"/>
          <w:color w:val="auto"/>
          <w:sz w:val="24"/>
          <w:szCs w:val="24"/>
          <w:highlight w:val="none"/>
        </w:rPr>
        <w:t>响应文件应在</w:t>
      </w:r>
      <w:r>
        <w:rPr>
          <w:rFonts w:hint="eastAsia" w:ascii="宋体" w:hAnsi="宋体" w:cs="宋体"/>
          <w:color w:val="auto"/>
          <w:sz w:val="24"/>
          <w:szCs w:val="24"/>
          <w:highlight w:val="none"/>
          <w:lang w:eastAsia="zh-CN"/>
        </w:rPr>
        <w:t>询价邀请</w:t>
      </w:r>
      <w:r>
        <w:rPr>
          <w:rFonts w:hint="eastAsia" w:ascii="宋体" w:hAnsi="宋体" w:cs="宋体"/>
          <w:color w:val="auto"/>
          <w:sz w:val="24"/>
          <w:szCs w:val="24"/>
          <w:highlight w:val="none"/>
        </w:rPr>
        <w:t>规定的截止时间前送达，迟到的响应文件为无效响应文件, 将被拒收。</w:t>
      </w:r>
    </w:p>
    <w:p w14:paraId="458E9F2A">
      <w:pPr>
        <w:numPr>
          <w:ilvl w:val="1"/>
          <w:numId w:val="13"/>
        </w:numPr>
        <w:tabs>
          <w:tab w:val="left" w:pos="1019"/>
        </w:tabs>
        <w:spacing w:line="470" w:lineRule="exact"/>
        <w:ind w:left="55"/>
        <w:rPr>
          <w:rFonts w:ascii="宋体" w:hAnsi="宋体" w:cs="宋体"/>
          <w:color w:val="auto"/>
          <w:sz w:val="24"/>
          <w:szCs w:val="24"/>
          <w:highlight w:val="none"/>
        </w:rPr>
      </w:pPr>
      <w:r>
        <w:rPr>
          <w:rFonts w:hint="eastAsia" w:ascii="宋体" w:hAnsi="宋体" w:cs="宋体"/>
          <w:color w:val="auto"/>
          <w:sz w:val="24"/>
          <w:szCs w:val="24"/>
          <w:highlight w:val="none"/>
        </w:rPr>
        <w:t>供应商在递交响应文件截止时间前，可以对所提交的响应文件进行修改、补充或者撤回，并书面通知采购代理机构。修改、补充的内容和撤回通知应当按本须知要求签署、盖章、密封，并作为响应文件的组成部分。</w:t>
      </w:r>
    </w:p>
    <w:p w14:paraId="2DFFB5E3">
      <w:pPr>
        <w:numPr>
          <w:ilvl w:val="1"/>
          <w:numId w:val="13"/>
        </w:numPr>
        <w:tabs>
          <w:tab w:val="left" w:pos="1019"/>
        </w:tabs>
        <w:spacing w:line="470" w:lineRule="exact"/>
        <w:ind w:left="55"/>
        <w:rPr>
          <w:rFonts w:ascii="宋体" w:hAnsi="宋体" w:cs="宋体"/>
          <w:color w:val="auto"/>
          <w:sz w:val="24"/>
          <w:szCs w:val="24"/>
          <w:highlight w:val="none"/>
        </w:rPr>
      </w:pPr>
      <w:r>
        <w:rPr>
          <w:rFonts w:hint="eastAsia" w:ascii="宋体" w:hAnsi="宋体" w:cs="宋体"/>
          <w:color w:val="auto"/>
          <w:sz w:val="24"/>
          <w:szCs w:val="24"/>
          <w:highlight w:val="none"/>
        </w:rPr>
        <w:t>供应商在递交响应文件截止时间后不得修改、补充、撤回响应文件。供应商在递交响应文件截止时间后修改、补充响应文件的，其响应将被拒绝。</w:t>
      </w:r>
    </w:p>
    <w:p w14:paraId="687AF073">
      <w:pPr>
        <w:pStyle w:val="3"/>
        <w:spacing w:line="470" w:lineRule="exact"/>
        <w:jc w:val="center"/>
        <w:rPr>
          <w:rFonts w:ascii="宋体" w:hAnsi="宋体" w:cs="宋体"/>
          <w:color w:val="auto"/>
          <w:sz w:val="24"/>
          <w:szCs w:val="24"/>
          <w:highlight w:val="none"/>
        </w:rPr>
      </w:pPr>
      <w:bookmarkStart w:id="112" w:name="_Toc331171357"/>
      <w:bookmarkStart w:id="113" w:name="_Toc341834136"/>
      <w:bookmarkStart w:id="114" w:name="_Toc332720938"/>
      <w:bookmarkStart w:id="115" w:name="_Toc526873921"/>
      <w:bookmarkStart w:id="116" w:name="_Toc340069188"/>
      <w:bookmarkStart w:id="117" w:name="_Toc381261966"/>
      <w:bookmarkStart w:id="118" w:name="_Toc381368240"/>
      <w:bookmarkStart w:id="119" w:name="_Toc341650756"/>
      <w:bookmarkStart w:id="120" w:name="_Toc206557786"/>
      <w:bookmarkStart w:id="121" w:name="_Toc265590453"/>
      <w:bookmarkStart w:id="122" w:name="_Toc160543049"/>
      <w:r>
        <w:rPr>
          <w:rFonts w:hint="eastAsia" w:ascii="宋体" w:hAnsi="宋体" w:cs="宋体"/>
          <w:color w:val="auto"/>
          <w:sz w:val="24"/>
          <w:szCs w:val="24"/>
          <w:highlight w:val="none"/>
        </w:rPr>
        <w:t xml:space="preserve">第五节  </w:t>
      </w:r>
      <w:r>
        <w:rPr>
          <w:rFonts w:hint="eastAsia" w:ascii="宋体" w:hAnsi="宋体" w:cs="宋体"/>
          <w:color w:val="auto"/>
          <w:sz w:val="24"/>
          <w:szCs w:val="24"/>
          <w:highlight w:val="none"/>
          <w:lang w:eastAsia="zh-CN"/>
        </w:rPr>
        <w:t>响应</w:t>
      </w:r>
      <w:r>
        <w:rPr>
          <w:rFonts w:hint="eastAsia" w:ascii="宋体" w:hAnsi="宋体" w:cs="宋体"/>
          <w:color w:val="auto"/>
          <w:sz w:val="24"/>
          <w:szCs w:val="24"/>
          <w:highlight w:val="none"/>
        </w:rPr>
        <w:t>内容及</w:t>
      </w:r>
      <w:r>
        <w:rPr>
          <w:rFonts w:hint="eastAsia" w:ascii="宋体" w:hAnsi="宋体" w:cs="宋体"/>
          <w:color w:val="auto"/>
          <w:sz w:val="24"/>
          <w:szCs w:val="24"/>
          <w:highlight w:val="none"/>
          <w:lang w:eastAsia="zh-CN"/>
        </w:rPr>
        <w:t>响应</w:t>
      </w:r>
      <w:r>
        <w:rPr>
          <w:rFonts w:hint="eastAsia" w:ascii="宋体" w:hAnsi="宋体" w:cs="宋体"/>
          <w:color w:val="auto"/>
          <w:sz w:val="24"/>
          <w:szCs w:val="24"/>
          <w:highlight w:val="none"/>
        </w:rPr>
        <w:t>程序</w:t>
      </w:r>
      <w:bookmarkEnd w:id="112"/>
      <w:bookmarkEnd w:id="113"/>
      <w:bookmarkEnd w:id="114"/>
      <w:bookmarkEnd w:id="115"/>
      <w:bookmarkEnd w:id="116"/>
      <w:bookmarkEnd w:id="117"/>
      <w:bookmarkEnd w:id="118"/>
      <w:bookmarkEnd w:id="119"/>
    </w:p>
    <w:p w14:paraId="0397010A">
      <w:pPr>
        <w:pStyle w:val="3"/>
        <w:numPr>
          <w:ilvl w:val="0"/>
          <w:numId w:val="12"/>
        </w:numPr>
        <w:spacing w:before="0" w:after="0" w:line="470" w:lineRule="exact"/>
        <w:ind w:hanging="902"/>
        <w:rPr>
          <w:rFonts w:ascii="宋体" w:hAnsi="宋体" w:cs="宋体"/>
          <w:color w:val="auto"/>
          <w:sz w:val="24"/>
          <w:szCs w:val="24"/>
          <w:highlight w:val="none"/>
        </w:rPr>
      </w:pPr>
      <w:bookmarkStart w:id="123" w:name="_Toc331171358"/>
      <w:bookmarkStart w:id="124" w:name="_Toc341650757"/>
      <w:bookmarkStart w:id="125" w:name="_Toc340069189"/>
      <w:bookmarkStart w:id="126" w:name="_Toc381368241"/>
      <w:bookmarkStart w:id="127" w:name="_Toc341834137"/>
      <w:bookmarkStart w:id="128" w:name="_Toc332720939"/>
      <w:bookmarkStart w:id="129" w:name="_Toc381261967"/>
      <w:r>
        <w:rPr>
          <w:rFonts w:hint="eastAsia" w:ascii="宋体" w:hAnsi="宋体" w:cs="宋体"/>
          <w:color w:val="auto"/>
          <w:sz w:val="24"/>
          <w:szCs w:val="24"/>
          <w:highlight w:val="none"/>
        </w:rPr>
        <w:t>询价小组</w:t>
      </w:r>
    </w:p>
    <w:p w14:paraId="33B0F273">
      <w:pPr>
        <w:pStyle w:val="90"/>
        <w:numPr>
          <w:ilvl w:val="0"/>
          <w:numId w:val="14"/>
        </w:numPr>
        <w:tabs>
          <w:tab w:val="left" w:pos="992"/>
        </w:tabs>
        <w:spacing w:line="470" w:lineRule="exact"/>
        <w:ind w:firstLineChars="0"/>
        <w:rPr>
          <w:rFonts w:ascii="宋体" w:hAnsi="宋体" w:cs="宋体"/>
          <w:vanish/>
          <w:color w:val="auto"/>
          <w:sz w:val="24"/>
          <w:szCs w:val="24"/>
          <w:highlight w:val="none"/>
        </w:rPr>
      </w:pPr>
    </w:p>
    <w:p w14:paraId="6AEC41A7">
      <w:pPr>
        <w:pStyle w:val="90"/>
        <w:numPr>
          <w:ilvl w:val="0"/>
          <w:numId w:val="13"/>
        </w:numPr>
        <w:spacing w:line="470" w:lineRule="exact"/>
        <w:ind w:firstLineChars="0"/>
        <w:rPr>
          <w:rFonts w:ascii="宋体" w:hAnsi="宋体" w:cs="宋体"/>
          <w:vanish/>
          <w:color w:val="auto"/>
          <w:sz w:val="24"/>
          <w:szCs w:val="24"/>
          <w:highlight w:val="none"/>
        </w:rPr>
      </w:pPr>
    </w:p>
    <w:p w14:paraId="090B0AFD">
      <w:pPr>
        <w:numPr>
          <w:ilvl w:val="1"/>
          <w:numId w:val="13"/>
        </w:numPr>
        <w:tabs>
          <w:tab w:val="left" w:pos="1019"/>
          <w:tab w:val="left" w:pos="2099"/>
        </w:tabs>
        <w:spacing w:line="470" w:lineRule="exact"/>
        <w:ind w:left="55" w:firstLine="425"/>
        <w:rPr>
          <w:rFonts w:ascii="宋体" w:hAnsi="宋体" w:cs="宋体"/>
          <w:color w:val="auto"/>
          <w:sz w:val="24"/>
          <w:szCs w:val="24"/>
          <w:highlight w:val="none"/>
        </w:rPr>
      </w:pPr>
      <w:r>
        <w:rPr>
          <w:rFonts w:hint="eastAsia" w:ascii="宋体" w:hAnsi="宋体" w:cs="宋体"/>
          <w:color w:val="auto"/>
          <w:sz w:val="24"/>
          <w:szCs w:val="24"/>
          <w:highlight w:val="none"/>
        </w:rPr>
        <w:t>询价小组由</w:t>
      </w:r>
      <w:r>
        <w:rPr>
          <w:rFonts w:hint="eastAsia" w:ascii="宋体" w:hAnsi="宋体" w:cs="宋体"/>
          <w:color w:val="auto"/>
          <w:sz w:val="24"/>
          <w:szCs w:val="24"/>
          <w:highlight w:val="none"/>
          <w:lang w:val="en-US" w:eastAsia="zh-CN"/>
        </w:rPr>
        <w:t>招标代理公司</w:t>
      </w:r>
      <w:r>
        <w:rPr>
          <w:rFonts w:hint="eastAsia" w:ascii="宋体" w:hAnsi="宋体" w:cs="宋体"/>
          <w:color w:val="auto"/>
          <w:sz w:val="24"/>
          <w:szCs w:val="24"/>
          <w:highlight w:val="none"/>
        </w:rPr>
        <w:t>和采购人代表组成。成员为3人以上单数组成。在询价文件递交时间后及时成立询价小组，由询价小组对询价文件、各供应商的</w:t>
      </w:r>
      <w:r>
        <w:rPr>
          <w:rFonts w:hint="eastAsia" w:ascii="宋体" w:hAnsi="宋体" w:cs="宋体"/>
          <w:color w:val="auto"/>
          <w:sz w:val="24"/>
          <w:szCs w:val="24"/>
          <w:highlight w:val="none"/>
          <w:lang w:eastAsia="zh-CN"/>
        </w:rPr>
        <w:t>响应文件</w:t>
      </w:r>
      <w:r>
        <w:rPr>
          <w:rFonts w:hint="eastAsia" w:ascii="宋体" w:hAnsi="宋体" w:cs="宋体"/>
          <w:color w:val="auto"/>
          <w:sz w:val="24"/>
          <w:szCs w:val="24"/>
          <w:highlight w:val="none"/>
        </w:rPr>
        <w:t>进行审查、质疑、评估和比较，并做出推荐报价成交供应商的建议。</w:t>
      </w:r>
    </w:p>
    <w:p w14:paraId="7D65A048">
      <w:pPr>
        <w:pStyle w:val="3"/>
        <w:numPr>
          <w:ilvl w:val="0"/>
          <w:numId w:val="12"/>
        </w:numPr>
        <w:spacing w:before="0" w:after="0" w:line="470" w:lineRule="exact"/>
        <w:ind w:hanging="902"/>
        <w:rPr>
          <w:rFonts w:ascii="宋体" w:hAnsi="宋体" w:cs="宋体"/>
          <w:color w:val="auto"/>
          <w:sz w:val="24"/>
          <w:szCs w:val="24"/>
          <w:highlight w:val="none"/>
        </w:rPr>
      </w:pPr>
      <w:bookmarkStart w:id="130" w:name="_Toc526873923"/>
      <w:r>
        <w:rPr>
          <w:rFonts w:hint="eastAsia" w:ascii="宋体" w:hAnsi="宋体" w:cs="宋体"/>
          <w:color w:val="auto"/>
          <w:sz w:val="24"/>
          <w:szCs w:val="24"/>
          <w:highlight w:val="none"/>
          <w:lang w:eastAsia="zh-CN"/>
        </w:rPr>
        <w:t>响应</w:t>
      </w:r>
      <w:r>
        <w:rPr>
          <w:rFonts w:hint="eastAsia" w:ascii="宋体" w:hAnsi="宋体" w:cs="宋体"/>
          <w:color w:val="auto"/>
          <w:sz w:val="24"/>
          <w:szCs w:val="24"/>
          <w:highlight w:val="none"/>
        </w:rPr>
        <w:t>程序</w:t>
      </w:r>
      <w:bookmarkEnd w:id="130"/>
    </w:p>
    <w:p w14:paraId="6ACFF846">
      <w:pPr>
        <w:pStyle w:val="90"/>
        <w:numPr>
          <w:ilvl w:val="0"/>
          <w:numId w:val="14"/>
        </w:numPr>
        <w:tabs>
          <w:tab w:val="left" w:pos="992"/>
        </w:tabs>
        <w:spacing w:line="470" w:lineRule="exact"/>
        <w:ind w:firstLineChars="0"/>
        <w:rPr>
          <w:rFonts w:ascii="宋体" w:hAnsi="宋体" w:cs="宋体"/>
          <w:vanish/>
          <w:color w:val="auto"/>
          <w:sz w:val="24"/>
          <w:szCs w:val="24"/>
          <w:highlight w:val="none"/>
        </w:rPr>
      </w:pPr>
    </w:p>
    <w:p w14:paraId="304DCE6B">
      <w:pPr>
        <w:pStyle w:val="90"/>
        <w:numPr>
          <w:ilvl w:val="0"/>
          <w:numId w:val="13"/>
        </w:numPr>
        <w:spacing w:line="470" w:lineRule="exact"/>
        <w:ind w:firstLineChars="0"/>
        <w:rPr>
          <w:rFonts w:ascii="宋体" w:hAnsi="宋体" w:cs="宋体"/>
          <w:vanish/>
          <w:color w:val="auto"/>
          <w:sz w:val="24"/>
          <w:szCs w:val="24"/>
          <w:highlight w:val="none"/>
        </w:rPr>
      </w:pPr>
    </w:p>
    <w:p w14:paraId="14188E61">
      <w:pPr>
        <w:numPr>
          <w:ilvl w:val="1"/>
          <w:numId w:val="13"/>
        </w:numPr>
        <w:tabs>
          <w:tab w:val="left" w:pos="1019"/>
        </w:tabs>
        <w:spacing w:line="470" w:lineRule="exact"/>
        <w:ind w:left="55"/>
        <w:rPr>
          <w:rFonts w:ascii="宋体" w:hAnsi="宋体" w:cs="宋体"/>
          <w:color w:val="auto"/>
          <w:sz w:val="24"/>
          <w:szCs w:val="24"/>
          <w:highlight w:val="none"/>
        </w:rPr>
      </w:pPr>
      <w:r>
        <w:rPr>
          <w:rFonts w:hint="eastAsia" w:ascii="宋体" w:hAnsi="宋体" w:cs="宋体"/>
          <w:color w:val="auto"/>
          <w:sz w:val="24"/>
          <w:szCs w:val="24"/>
          <w:highlight w:val="none"/>
        </w:rPr>
        <w:t>详见《供应商须知前附表3》</w:t>
      </w:r>
    </w:p>
    <w:p w14:paraId="058A6A59">
      <w:pPr>
        <w:pStyle w:val="3"/>
        <w:numPr>
          <w:ilvl w:val="0"/>
          <w:numId w:val="12"/>
        </w:numPr>
        <w:spacing w:before="0" w:after="0" w:line="470" w:lineRule="exact"/>
        <w:ind w:hanging="902"/>
        <w:rPr>
          <w:rFonts w:ascii="宋体" w:hAnsi="宋体" w:cs="宋体"/>
          <w:color w:val="auto"/>
          <w:sz w:val="24"/>
          <w:szCs w:val="24"/>
          <w:highlight w:val="none"/>
        </w:rPr>
      </w:pPr>
      <w:bookmarkStart w:id="131" w:name="_Toc526873924"/>
      <w:r>
        <w:rPr>
          <w:rFonts w:hint="eastAsia" w:ascii="宋体" w:hAnsi="宋体" w:cs="宋体"/>
          <w:color w:val="auto"/>
          <w:sz w:val="24"/>
          <w:szCs w:val="24"/>
          <w:highlight w:val="none"/>
        </w:rPr>
        <w:t>响应文件初审</w:t>
      </w:r>
      <w:bookmarkEnd w:id="131"/>
    </w:p>
    <w:p w14:paraId="1899CDB1">
      <w:pPr>
        <w:pStyle w:val="90"/>
        <w:numPr>
          <w:ilvl w:val="0"/>
          <w:numId w:val="14"/>
        </w:numPr>
        <w:tabs>
          <w:tab w:val="left" w:pos="992"/>
        </w:tabs>
        <w:spacing w:line="470" w:lineRule="exact"/>
        <w:ind w:firstLineChars="0"/>
        <w:rPr>
          <w:rFonts w:ascii="宋体" w:hAnsi="宋体" w:cs="宋体"/>
          <w:vanish/>
          <w:color w:val="auto"/>
          <w:sz w:val="24"/>
          <w:szCs w:val="24"/>
          <w:highlight w:val="none"/>
        </w:rPr>
      </w:pPr>
    </w:p>
    <w:p w14:paraId="717DD39C">
      <w:pPr>
        <w:pStyle w:val="90"/>
        <w:numPr>
          <w:ilvl w:val="0"/>
          <w:numId w:val="13"/>
        </w:numPr>
        <w:spacing w:line="470" w:lineRule="exact"/>
        <w:ind w:firstLineChars="0"/>
        <w:rPr>
          <w:rFonts w:ascii="宋体" w:hAnsi="宋体" w:cs="宋体"/>
          <w:vanish/>
          <w:color w:val="auto"/>
          <w:sz w:val="24"/>
          <w:szCs w:val="24"/>
          <w:highlight w:val="none"/>
        </w:rPr>
      </w:pPr>
    </w:p>
    <w:p w14:paraId="79BD9363">
      <w:pPr>
        <w:numPr>
          <w:ilvl w:val="1"/>
          <w:numId w:val="13"/>
        </w:numPr>
        <w:tabs>
          <w:tab w:val="left" w:pos="1019"/>
        </w:tabs>
        <w:spacing w:line="470" w:lineRule="exact"/>
        <w:ind w:left="55"/>
        <w:rPr>
          <w:rFonts w:ascii="宋体" w:hAnsi="宋体" w:cs="宋体"/>
          <w:color w:val="auto"/>
          <w:sz w:val="24"/>
          <w:szCs w:val="24"/>
          <w:highlight w:val="none"/>
        </w:rPr>
      </w:pPr>
      <w:r>
        <w:rPr>
          <w:rFonts w:hint="eastAsia" w:ascii="宋体" w:hAnsi="宋体" w:cs="宋体"/>
          <w:color w:val="auto"/>
          <w:sz w:val="24"/>
          <w:szCs w:val="24"/>
          <w:highlight w:val="none"/>
        </w:rPr>
        <w:t>对所有供应商的评估，都采用相同的程序和标准。评议过程将严格按照询价文件的要求和条件进行。</w:t>
      </w:r>
    </w:p>
    <w:p w14:paraId="549748A1">
      <w:pPr>
        <w:numPr>
          <w:ilvl w:val="1"/>
          <w:numId w:val="13"/>
        </w:numPr>
        <w:tabs>
          <w:tab w:val="left" w:pos="1019"/>
        </w:tabs>
        <w:spacing w:line="470" w:lineRule="exact"/>
        <w:ind w:left="55"/>
        <w:rPr>
          <w:rFonts w:ascii="宋体" w:hAnsi="宋体" w:cs="宋体"/>
          <w:color w:val="auto"/>
          <w:sz w:val="24"/>
          <w:szCs w:val="24"/>
          <w:highlight w:val="none"/>
        </w:rPr>
      </w:pPr>
      <w:r>
        <w:rPr>
          <w:rFonts w:hint="eastAsia" w:ascii="宋体" w:hAnsi="宋体" w:cs="宋体"/>
          <w:color w:val="auto"/>
          <w:sz w:val="24"/>
          <w:szCs w:val="24"/>
          <w:highlight w:val="none"/>
        </w:rPr>
        <w:t>有关响应文件的审查、澄清、评估和比较以及推荐成交候选人的一切情况都不得透露给任一供应商或与上述评审工作无关的人员。</w:t>
      </w:r>
    </w:p>
    <w:p w14:paraId="6380437F">
      <w:pPr>
        <w:numPr>
          <w:ilvl w:val="1"/>
          <w:numId w:val="13"/>
        </w:numPr>
        <w:tabs>
          <w:tab w:val="left" w:pos="1019"/>
        </w:tabs>
        <w:spacing w:line="470" w:lineRule="exact"/>
        <w:ind w:left="55"/>
        <w:rPr>
          <w:rFonts w:ascii="宋体" w:hAnsi="宋体" w:cs="宋体"/>
          <w:color w:val="auto"/>
          <w:sz w:val="24"/>
          <w:szCs w:val="24"/>
          <w:highlight w:val="none"/>
        </w:rPr>
      </w:pPr>
      <w:r>
        <w:rPr>
          <w:rFonts w:hint="eastAsia" w:ascii="宋体" w:hAnsi="宋体" w:cs="宋体"/>
          <w:color w:val="auto"/>
          <w:sz w:val="24"/>
          <w:szCs w:val="24"/>
          <w:highlight w:val="none"/>
          <w:lang w:eastAsia="zh-CN"/>
        </w:rPr>
        <w:t>询价小组</w:t>
      </w:r>
      <w:r>
        <w:rPr>
          <w:rFonts w:hint="eastAsia" w:ascii="宋体" w:hAnsi="宋体" w:cs="宋体"/>
          <w:color w:val="auto"/>
          <w:sz w:val="24"/>
          <w:szCs w:val="24"/>
          <w:highlight w:val="none"/>
        </w:rPr>
        <w:t>将对响应文件进行审查，以确定响应文件是否完整、文件是否已正确签署。</w:t>
      </w:r>
    </w:p>
    <w:p w14:paraId="351A9BF0">
      <w:pPr>
        <w:numPr>
          <w:ilvl w:val="1"/>
          <w:numId w:val="13"/>
        </w:numPr>
        <w:tabs>
          <w:tab w:val="left" w:pos="1019"/>
        </w:tabs>
        <w:spacing w:line="470" w:lineRule="exact"/>
        <w:ind w:left="55"/>
        <w:rPr>
          <w:rFonts w:ascii="宋体" w:hAnsi="宋体" w:cs="宋体"/>
          <w:color w:val="auto"/>
          <w:sz w:val="24"/>
          <w:szCs w:val="24"/>
          <w:highlight w:val="none"/>
        </w:rPr>
      </w:pPr>
      <w:r>
        <w:rPr>
          <w:rFonts w:hint="eastAsia" w:ascii="宋体" w:hAnsi="宋体" w:cs="宋体"/>
          <w:color w:val="auto"/>
          <w:sz w:val="24"/>
          <w:szCs w:val="24"/>
          <w:highlight w:val="none"/>
        </w:rPr>
        <w:t>资格性检查和符合性检查</w:t>
      </w:r>
    </w:p>
    <w:p w14:paraId="5AC2D809">
      <w:pPr>
        <w:pStyle w:val="23"/>
        <w:numPr>
          <w:ilvl w:val="2"/>
          <w:numId w:val="13"/>
        </w:numPr>
        <w:tabs>
          <w:tab w:val="left" w:pos="360"/>
          <w:tab w:val="left" w:pos="540"/>
          <w:tab w:val="left" w:pos="964"/>
          <w:tab w:val="left" w:pos="1276"/>
          <w:tab w:val="left" w:pos="1418"/>
          <w:tab w:val="clear" w:pos="1140"/>
        </w:tabs>
        <w:spacing w:line="470" w:lineRule="exact"/>
        <w:ind w:left="141" w:leftChars="67" w:firstLineChars="0"/>
        <w:rPr>
          <w:rFonts w:ascii="宋体" w:hAnsi="宋体" w:cs="宋体"/>
          <w:color w:val="auto"/>
          <w:sz w:val="24"/>
          <w:highlight w:val="none"/>
        </w:rPr>
      </w:pPr>
      <w:r>
        <w:rPr>
          <w:rFonts w:hint="eastAsia" w:ascii="宋体" w:hAnsi="宋体" w:cs="宋体"/>
          <w:color w:val="auto"/>
          <w:sz w:val="24"/>
          <w:highlight w:val="none"/>
        </w:rPr>
        <w:t>资格性检查。依据法律法规和询价文件的规定，在对响应文件详细评估之前，</w:t>
      </w:r>
      <w:r>
        <w:rPr>
          <w:rFonts w:hint="eastAsia" w:ascii="宋体" w:hAnsi="宋体" w:cs="宋体"/>
          <w:color w:val="auto"/>
          <w:sz w:val="24"/>
          <w:highlight w:val="none"/>
          <w:lang w:eastAsia="zh-CN"/>
        </w:rPr>
        <w:t>询价小组</w:t>
      </w:r>
      <w:r>
        <w:rPr>
          <w:rFonts w:hint="eastAsia" w:ascii="宋体" w:hAnsi="宋体" w:cs="宋体"/>
          <w:color w:val="auto"/>
          <w:sz w:val="24"/>
          <w:highlight w:val="none"/>
        </w:rPr>
        <w:t>将依据供应商提交的响应文件按《供应商须知前附表2》所述的资格性要求对供应商进行资格审查, 以确定其是否具备报价资格。如果供应商不具备报价资格，不满足询价文件所规定的资格标准或提供资格证明文件不全的, 其报价将被拒绝。</w:t>
      </w:r>
    </w:p>
    <w:p w14:paraId="55B42F63">
      <w:pPr>
        <w:pStyle w:val="23"/>
        <w:numPr>
          <w:ilvl w:val="2"/>
          <w:numId w:val="13"/>
        </w:numPr>
        <w:tabs>
          <w:tab w:val="left" w:pos="360"/>
          <w:tab w:val="left" w:pos="540"/>
          <w:tab w:val="left" w:pos="964"/>
          <w:tab w:val="left" w:pos="1276"/>
          <w:tab w:val="left" w:pos="1418"/>
          <w:tab w:val="clear" w:pos="1140"/>
        </w:tabs>
        <w:spacing w:line="470" w:lineRule="exact"/>
        <w:ind w:left="141" w:leftChars="67" w:firstLineChars="0"/>
        <w:rPr>
          <w:rFonts w:ascii="宋体" w:hAnsi="宋体" w:cs="宋体"/>
          <w:color w:val="auto"/>
          <w:sz w:val="24"/>
          <w:highlight w:val="none"/>
        </w:rPr>
      </w:pPr>
      <w:r>
        <w:rPr>
          <w:rFonts w:hint="eastAsia" w:ascii="宋体" w:hAnsi="宋体" w:cs="宋体"/>
          <w:color w:val="auto"/>
          <w:sz w:val="24"/>
          <w:highlight w:val="none"/>
        </w:rPr>
        <w:t>符合性检查。依据询价文件的规定，</w:t>
      </w:r>
      <w:r>
        <w:rPr>
          <w:rFonts w:hint="eastAsia" w:ascii="宋体" w:hAnsi="宋体" w:cs="宋体"/>
          <w:color w:val="auto"/>
          <w:sz w:val="24"/>
          <w:highlight w:val="none"/>
          <w:lang w:eastAsia="zh-CN"/>
        </w:rPr>
        <w:t>询价小组</w:t>
      </w:r>
      <w:r>
        <w:rPr>
          <w:rFonts w:hint="eastAsia" w:ascii="宋体" w:hAnsi="宋体" w:cs="宋体"/>
          <w:color w:val="auto"/>
          <w:sz w:val="24"/>
          <w:highlight w:val="none"/>
        </w:rPr>
        <w:t>还将从响应文件的有效性、完整性和对询价文件的响应程度进行审查，以确定是否符合对询价文件的实质性要求作出响应。</w:t>
      </w:r>
      <w:r>
        <w:rPr>
          <w:rFonts w:hint="eastAsia" w:ascii="宋体" w:hAnsi="宋体" w:cs="宋体"/>
          <w:color w:val="auto"/>
          <w:sz w:val="24"/>
          <w:highlight w:val="none"/>
          <w:lang w:eastAsia="zh-CN"/>
        </w:rPr>
        <w:t>询价小组</w:t>
      </w:r>
      <w:r>
        <w:rPr>
          <w:rFonts w:hint="eastAsia" w:ascii="宋体" w:hAnsi="宋体" w:cs="宋体"/>
          <w:color w:val="auto"/>
          <w:sz w:val="24"/>
          <w:highlight w:val="none"/>
        </w:rPr>
        <w:t>将依据供应商提交的响应文件按《供应商须知前附表2》所述的符合性要求对供应商进行审查,对没有实质性响应的响应文件将不进行评估，其报价将被作为无效报价处理。</w:t>
      </w:r>
    </w:p>
    <w:p w14:paraId="3FEF111E">
      <w:pPr>
        <w:tabs>
          <w:tab w:val="left" w:pos="1019"/>
        </w:tabs>
        <w:spacing w:line="47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lang w:eastAsia="zh-CN"/>
        </w:rPr>
        <w:t>询价小组</w:t>
      </w:r>
      <w:r>
        <w:rPr>
          <w:rFonts w:hint="eastAsia" w:ascii="宋体" w:hAnsi="宋体" w:cs="宋体"/>
          <w:color w:val="auto"/>
          <w:sz w:val="24"/>
          <w:szCs w:val="24"/>
          <w:highlight w:val="none"/>
        </w:rPr>
        <w:t>确定供应商的响应性，只根据响应文件本身的内容，而不寻求其他的外部证据。</w:t>
      </w:r>
    </w:p>
    <w:bookmarkEnd w:id="123"/>
    <w:bookmarkEnd w:id="124"/>
    <w:bookmarkEnd w:id="125"/>
    <w:bookmarkEnd w:id="126"/>
    <w:bookmarkEnd w:id="127"/>
    <w:bookmarkEnd w:id="128"/>
    <w:bookmarkEnd w:id="129"/>
    <w:p w14:paraId="07179D99">
      <w:pPr>
        <w:pStyle w:val="90"/>
        <w:numPr>
          <w:ilvl w:val="0"/>
          <w:numId w:val="14"/>
        </w:numPr>
        <w:tabs>
          <w:tab w:val="left" w:pos="992"/>
        </w:tabs>
        <w:spacing w:line="470" w:lineRule="exact"/>
        <w:ind w:firstLineChars="0"/>
        <w:rPr>
          <w:rFonts w:ascii="宋体" w:hAnsi="宋体" w:cs="宋体"/>
          <w:vanish/>
          <w:color w:val="auto"/>
          <w:sz w:val="24"/>
          <w:szCs w:val="24"/>
          <w:highlight w:val="none"/>
        </w:rPr>
      </w:pPr>
    </w:p>
    <w:p w14:paraId="0F904C9E">
      <w:pPr>
        <w:pStyle w:val="90"/>
        <w:numPr>
          <w:ilvl w:val="0"/>
          <w:numId w:val="13"/>
        </w:numPr>
        <w:tabs>
          <w:tab w:val="left" w:pos="1134"/>
        </w:tabs>
        <w:spacing w:line="470" w:lineRule="exact"/>
        <w:ind w:firstLineChars="0"/>
        <w:rPr>
          <w:rFonts w:ascii="宋体" w:hAnsi="宋体" w:cs="宋体"/>
          <w:vanish/>
          <w:color w:val="auto"/>
          <w:sz w:val="24"/>
          <w:szCs w:val="24"/>
          <w:highlight w:val="none"/>
        </w:rPr>
      </w:pPr>
    </w:p>
    <w:p w14:paraId="7F53D95F">
      <w:pPr>
        <w:pStyle w:val="3"/>
        <w:spacing w:line="470" w:lineRule="exact"/>
        <w:jc w:val="center"/>
        <w:rPr>
          <w:rFonts w:ascii="宋体" w:hAnsi="宋体" w:cs="宋体"/>
          <w:color w:val="auto"/>
          <w:sz w:val="24"/>
          <w:szCs w:val="24"/>
          <w:highlight w:val="none"/>
        </w:rPr>
      </w:pPr>
      <w:bookmarkStart w:id="132" w:name="_Toc526873925"/>
      <w:r>
        <w:rPr>
          <w:rFonts w:hint="eastAsia" w:ascii="宋体" w:hAnsi="宋体" w:cs="宋体"/>
          <w:color w:val="auto"/>
          <w:sz w:val="24"/>
          <w:szCs w:val="24"/>
          <w:highlight w:val="none"/>
        </w:rPr>
        <w:t>第六节  确定成交与签订合同</w:t>
      </w:r>
      <w:bookmarkEnd w:id="132"/>
    </w:p>
    <w:p w14:paraId="63FEC898">
      <w:pPr>
        <w:pStyle w:val="3"/>
        <w:numPr>
          <w:ilvl w:val="0"/>
          <w:numId w:val="12"/>
        </w:numPr>
        <w:spacing w:before="0" w:after="0" w:line="470" w:lineRule="exact"/>
        <w:ind w:hanging="902"/>
        <w:rPr>
          <w:rFonts w:ascii="宋体" w:hAnsi="宋体" w:cs="宋体"/>
          <w:color w:val="auto"/>
          <w:sz w:val="24"/>
          <w:szCs w:val="24"/>
          <w:highlight w:val="none"/>
        </w:rPr>
      </w:pPr>
      <w:bookmarkStart w:id="133" w:name="_Toc526873926"/>
      <w:r>
        <w:rPr>
          <w:rFonts w:hint="eastAsia" w:ascii="宋体" w:hAnsi="宋体" w:cs="宋体"/>
          <w:color w:val="auto"/>
          <w:sz w:val="24"/>
          <w:szCs w:val="24"/>
          <w:highlight w:val="none"/>
        </w:rPr>
        <w:t>确定成交供应商</w:t>
      </w:r>
      <w:bookmarkEnd w:id="133"/>
    </w:p>
    <w:p w14:paraId="6F945753">
      <w:pPr>
        <w:pStyle w:val="90"/>
        <w:numPr>
          <w:ilvl w:val="0"/>
          <w:numId w:val="14"/>
        </w:numPr>
        <w:tabs>
          <w:tab w:val="left" w:pos="992"/>
        </w:tabs>
        <w:spacing w:line="470" w:lineRule="exact"/>
        <w:ind w:firstLineChars="0"/>
        <w:rPr>
          <w:rFonts w:ascii="宋体" w:hAnsi="宋体" w:cs="宋体"/>
          <w:vanish/>
          <w:color w:val="auto"/>
          <w:sz w:val="24"/>
          <w:szCs w:val="24"/>
          <w:highlight w:val="none"/>
        </w:rPr>
      </w:pPr>
    </w:p>
    <w:p w14:paraId="2B8BA4FA">
      <w:pPr>
        <w:numPr>
          <w:ilvl w:val="1"/>
          <w:numId w:val="13"/>
        </w:numPr>
        <w:tabs>
          <w:tab w:val="left" w:pos="1019"/>
          <w:tab w:val="left" w:pos="1134"/>
        </w:tabs>
        <w:spacing w:line="470" w:lineRule="exact"/>
        <w:ind w:left="55"/>
        <w:rPr>
          <w:rFonts w:ascii="宋体" w:hAnsi="宋体" w:cs="宋体"/>
          <w:color w:val="auto"/>
          <w:sz w:val="24"/>
          <w:szCs w:val="24"/>
          <w:highlight w:val="none"/>
        </w:rPr>
      </w:pPr>
      <w:r>
        <w:rPr>
          <w:rFonts w:hint="eastAsia" w:ascii="宋体" w:hAnsi="宋体" w:cs="宋体"/>
          <w:color w:val="auto"/>
          <w:sz w:val="24"/>
          <w:szCs w:val="24"/>
          <w:highlight w:val="none"/>
          <w:lang w:val="en-US" w:eastAsia="zh-CN"/>
        </w:rPr>
        <w:t xml:space="preserve"> </w:t>
      </w:r>
      <w:r>
        <w:rPr>
          <w:rFonts w:hint="eastAsia" w:ascii="宋体" w:hAnsi="宋体" w:cs="宋体"/>
          <w:color w:val="auto"/>
          <w:sz w:val="24"/>
          <w:szCs w:val="24"/>
          <w:highlight w:val="none"/>
        </w:rPr>
        <w:t>根据资格性和符合性均满足询价文件实质性响应要求且报价要求最低的原则确定成交人。</w:t>
      </w:r>
    </w:p>
    <w:p w14:paraId="59FD9B8E">
      <w:pPr>
        <w:numPr>
          <w:ilvl w:val="1"/>
          <w:numId w:val="13"/>
        </w:numPr>
        <w:tabs>
          <w:tab w:val="left" w:pos="1019"/>
          <w:tab w:val="left" w:pos="1134"/>
        </w:tabs>
        <w:spacing w:line="470" w:lineRule="exact"/>
        <w:ind w:left="55"/>
        <w:rPr>
          <w:rFonts w:ascii="宋体" w:hAnsi="宋体" w:cs="宋体"/>
          <w:color w:val="auto"/>
          <w:sz w:val="24"/>
          <w:szCs w:val="24"/>
          <w:highlight w:val="none"/>
        </w:rPr>
      </w:pPr>
      <w:r>
        <w:rPr>
          <w:rFonts w:hint="eastAsia" w:ascii="宋体" w:hAnsi="宋体" w:cs="宋体"/>
          <w:color w:val="auto"/>
          <w:sz w:val="24"/>
          <w:szCs w:val="24"/>
          <w:highlight w:val="none"/>
        </w:rPr>
        <w:t>供应商的</w:t>
      </w:r>
      <w:r>
        <w:rPr>
          <w:rFonts w:hint="eastAsia" w:ascii="宋体" w:hAnsi="宋体" w:cs="宋体"/>
          <w:color w:val="auto"/>
          <w:sz w:val="24"/>
          <w:szCs w:val="24"/>
          <w:highlight w:val="none"/>
          <w:lang w:eastAsia="zh-CN"/>
        </w:rPr>
        <w:t>响应文件</w:t>
      </w:r>
      <w:r>
        <w:rPr>
          <w:rFonts w:hint="eastAsia" w:ascii="宋体" w:hAnsi="宋体" w:cs="宋体"/>
          <w:color w:val="auto"/>
          <w:sz w:val="24"/>
          <w:szCs w:val="24"/>
          <w:highlight w:val="none"/>
        </w:rPr>
        <w:t>符合询价文件要求，按询价文件确定评审方法、标准，经询价小组评审并推荐成交候选供应商。</w:t>
      </w:r>
    </w:p>
    <w:p w14:paraId="05871C10">
      <w:pPr>
        <w:numPr>
          <w:ilvl w:val="1"/>
          <w:numId w:val="13"/>
        </w:numPr>
        <w:tabs>
          <w:tab w:val="left" w:pos="1019"/>
          <w:tab w:val="left" w:pos="1134"/>
        </w:tabs>
        <w:spacing w:line="470" w:lineRule="exact"/>
        <w:ind w:left="55"/>
        <w:rPr>
          <w:rFonts w:ascii="宋体" w:hAnsi="宋体" w:cs="宋体"/>
          <w:color w:val="auto"/>
          <w:sz w:val="24"/>
          <w:szCs w:val="24"/>
          <w:highlight w:val="none"/>
        </w:rPr>
      </w:pPr>
      <w:r>
        <w:rPr>
          <w:rFonts w:hint="eastAsia" w:ascii="宋体" w:hAnsi="宋体" w:cs="宋体"/>
          <w:color w:val="auto"/>
          <w:sz w:val="24"/>
          <w:szCs w:val="24"/>
          <w:highlight w:val="none"/>
        </w:rPr>
        <w:t>出现供应商有串通哄抬价格嫌疑，或出现影响采购公正的违法、违规行为，或因重大变故采购任务取消的，询价小组可以作出不予推荐成交候选供应商、询价失败的决定。</w:t>
      </w:r>
    </w:p>
    <w:p w14:paraId="238AFB4B">
      <w:pPr>
        <w:spacing w:line="470" w:lineRule="exact"/>
        <w:ind w:left="315" w:leftChars="150"/>
        <w:rPr>
          <w:rFonts w:ascii="宋体" w:hAnsi="宋体" w:cs="宋体"/>
          <w:color w:val="auto"/>
          <w:sz w:val="24"/>
          <w:szCs w:val="24"/>
          <w:highlight w:val="none"/>
        </w:rPr>
      </w:pPr>
      <w:r>
        <w:rPr>
          <w:rFonts w:hint="eastAsia" w:ascii="宋体" w:hAnsi="宋体" w:cs="宋体"/>
          <w:color w:val="auto"/>
          <w:sz w:val="24"/>
          <w:szCs w:val="24"/>
          <w:highlight w:val="none"/>
        </w:rPr>
        <w:t>审结束后，采购代理机构应在评审结束后2个工作日内将评审报告送采购人，采购人在收到评审报告后五个工作日内，按照评审报告中推荐的成交候选人顺序确定拟报价成交供应商。</w:t>
      </w:r>
    </w:p>
    <w:p w14:paraId="0BECA707">
      <w:pPr>
        <w:numPr>
          <w:ilvl w:val="1"/>
          <w:numId w:val="13"/>
        </w:numPr>
        <w:tabs>
          <w:tab w:val="left" w:pos="1019"/>
          <w:tab w:val="left" w:pos="1134"/>
        </w:tabs>
        <w:spacing w:line="470" w:lineRule="exact"/>
        <w:ind w:left="55"/>
        <w:rPr>
          <w:rFonts w:ascii="宋体" w:hAnsi="宋体" w:cs="宋体"/>
          <w:color w:val="auto"/>
          <w:sz w:val="24"/>
          <w:szCs w:val="24"/>
          <w:highlight w:val="none"/>
        </w:rPr>
      </w:pPr>
      <w:r>
        <w:rPr>
          <w:rFonts w:hint="eastAsia" w:ascii="宋体" w:hAnsi="宋体" w:cs="宋体"/>
          <w:color w:val="auto"/>
          <w:sz w:val="24"/>
          <w:szCs w:val="24"/>
          <w:highlight w:val="none"/>
        </w:rPr>
        <w:t>采购人可以要求拟报价成交供应商候选人提供</w:t>
      </w:r>
      <w:r>
        <w:rPr>
          <w:rFonts w:hint="eastAsia" w:ascii="宋体" w:hAnsi="宋体" w:cs="宋体"/>
          <w:color w:val="auto"/>
          <w:sz w:val="24"/>
          <w:szCs w:val="24"/>
          <w:highlight w:val="none"/>
          <w:lang w:eastAsia="zh-CN"/>
        </w:rPr>
        <w:t>响应文件</w:t>
      </w:r>
      <w:r>
        <w:rPr>
          <w:rFonts w:hint="eastAsia" w:ascii="宋体" w:hAnsi="宋体" w:cs="宋体"/>
          <w:color w:val="auto"/>
          <w:sz w:val="24"/>
          <w:szCs w:val="24"/>
          <w:highlight w:val="none"/>
        </w:rPr>
        <w:t>中复印件的原件进行核对,以及审查拟报价成交供应商候选人的供应商资格、信誉、生产条件、产品技术状态、性能以及在不违背相关法律法规规定的其它采购人认为有必要了解的问题。</w:t>
      </w:r>
    </w:p>
    <w:p w14:paraId="30C5FA05">
      <w:pPr>
        <w:numPr>
          <w:ilvl w:val="1"/>
          <w:numId w:val="13"/>
        </w:numPr>
        <w:tabs>
          <w:tab w:val="left" w:pos="1019"/>
          <w:tab w:val="left" w:pos="1134"/>
        </w:tabs>
        <w:spacing w:line="470" w:lineRule="exact"/>
        <w:ind w:left="55"/>
        <w:rPr>
          <w:rFonts w:ascii="宋体" w:hAnsi="宋体" w:cs="宋体"/>
          <w:color w:val="auto"/>
          <w:sz w:val="24"/>
          <w:szCs w:val="24"/>
          <w:highlight w:val="none"/>
        </w:rPr>
      </w:pPr>
      <w:r>
        <w:rPr>
          <w:rFonts w:hint="eastAsia" w:ascii="宋体" w:hAnsi="宋体" w:cs="宋体"/>
          <w:color w:val="auto"/>
          <w:sz w:val="24"/>
          <w:szCs w:val="24"/>
          <w:highlight w:val="none"/>
        </w:rPr>
        <w:t>接受质询的成交候选人必须如实回答询问或接受采购人的考察，并提供所需的有关资料。</w:t>
      </w:r>
    </w:p>
    <w:p w14:paraId="2CFBB777">
      <w:pPr>
        <w:numPr>
          <w:ilvl w:val="1"/>
          <w:numId w:val="13"/>
        </w:numPr>
        <w:tabs>
          <w:tab w:val="left" w:pos="1019"/>
          <w:tab w:val="left" w:pos="1134"/>
        </w:tabs>
        <w:spacing w:line="470" w:lineRule="exact"/>
        <w:ind w:left="55"/>
        <w:rPr>
          <w:rFonts w:ascii="宋体" w:hAnsi="宋体" w:cs="宋体"/>
          <w:color w:val="auto"/>
          <w:sz w:val="24"/>
          <w:szCs w:val="24"/>
          <w:highlight w:val="none"/>
        </w:rPr>
      </w:pPr>
      <w:r>
        <w:rPr>
          <w:rFonts w:hint="eastAsia" w:ascii="宋体" w:hAnsi="宋体" w:cs="宋体"/>
          <w:color w:val="auto"/>
          <w:sz w:val="24"/>
          <w:szCs w:val="24"/>
          <w:highlight w:val="none"/>
        </w:rPr>
        <w:t>如果成交候选人未在结果公告后的5个工作日内配合采购人办理16.4款项的内容,或无能力履行合同，其报价将被拒绝，采购人将对第二成交候选人做类似审查，并将审查结果报询价小组讨论或上报主管部门按相关规定处理。</w:t>
      </w:r>
    </w:p>
    <w:p w14:paraId="5FE1D377">
      <w:pPr>
        <w:pStyle w:val="3"/>
        <w:numPr>
          <w:ilvl w:val="0"/>
          <w:numId w:val="12"/>
        </w:numPr>
        <w:spacing w:before="0" w:after="0" w:line="470" w:lineRule="exact"/>
        <w:ind w:hanging="902"/>
        <w:rPr>
          <w:rFonts w:ascii="宋体" w:hAnsi="宋体" w:cs="宋体"/>
          <w:color w:val="auto"/>
          <w:sz w:val="24"/>
          <w:szCs w:val="24"/>
          <w:highlight w:val="none"/>
        </w:rPr>
      </w:pPr>
      <w:bookmarkStart w:id="134" w:name="_Toc398504622"/>
      <w:bookmarkStart w:id="135" w:name="_Toc431190669"/>
      <w:bookmarkStart w:id="136" w:name="_Toc398284566"/>
      <w:bookmarkStart w:id="137" w:name="_Toc526873927"/>
      <w:r>
        <w:rPr>
          <w:rFonts w:hint="eastAsia" w:ascii="宋体" w:hAnsi="宋体" w:cs="宋体"/>
          <w:color w:val="auto"/>
          <w:sz w:val="24"/>
          <w:szCs w:val="24"/>
          <w:highlight w:val="none"/>
        </w:rPr>
        <w:t>成交通知</w:t>
      </w:r>
    </w:p>
    <w:p w14:paraId="4E7A1533">
      <w:pPr>
        <w:spacing w:line="47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17.1 结果确认后，</w:t>
      </w:r>
      <w:r>
        <w:rPr>
          <w:rFonts w:hint="eastAsia" w:ascii="宋体" w:hAnsi="宋体" w:cs="宋体"/>
          <w:color w:val="auto"/>
          <w:sz w:val="24"/>
          <w:szCs w:val="24"/>
          <w:highlight w:val="none"/>
          <w:lang w:eastAsia="zh-CN"/>
        </w:rPr>
        <w:t>采购</w:t>
      </w:r>
      <w:r>
        <w:rPr>
          <w:rFonts w:hint="eastAsia" w:ascii="宋体" w:hAnsi="宋体" w:cs="宋体"/>
          <w:color w:val="auto"/>
          <w:sz w:val="24"/>
          <w:szCs w:val="24"/>
          <w:highlight w:val="none"/>
        </w:rPr>
        <w:t>人将对成交结果进行公告，</w:t>
      </w:r>
      <w:r>
        <w:rPr>
          <w:rFonts w:hint="eastAsia" w:ascii="宋体" w:hAnsi="宋体" w:eastAsia="宋体" w:cs="宋体"/>
          <w:color w:val="auto"/>
          <w:sz w:val="24"/>
          <w:szCs w:val="24"/>
          <w:highlight w:val="none"/>
        </w:rPr>
        <w:t>公告期限为1个工作日。</w:t>
      </w:r>
      <w:r>
        <w:rPr>
          <w:rFonts w:hint="eastAsia" w:ascii="宋体" w:hAnsi="宋体" w:cs="宋体"/>
          <w:color w:val="auto"/>
          <w:sz w:val="24"/>
          <w:szCs w:val="24"/>
          <w:highlight w:val="none"/>
        </w:rPr>
        <w:t>同时</w:t>
      </w:r>
      <w:r>
        <w:rPr>
          <w:rFonts w:hint="eastAsia" w:ascii="宋体" w:hAnsi="宋体" w:cs="宋体"/>
          <w:color w:val="auto"/>
          <w:sz w:val="24"/>
          <w:szCs w:val="24"/>
          <w:highlight w:val="none"/>
          <w:lang w:eastAsia="zh-CN"/>
        </w:rPr>
        <w:t>采购</w:t>
      </w:r>
      <w:r>
        <w:rPr>
          <w:rFonts w:hint="eastAsia" w:ascii="宋体" w:hAnsi="宋体" w:cs="宋体"/>
          <w:color w:val="auto"/>
          <w:sz w:val="24"/>
          <w:szCs w:val="24"/>
          <w:highlight w:val="none"/>
        </w:rPr>
        <w:t>人向报价成交供应商发出成交通知书。成交通知书对采购人和报价成交供应商具有同等法律效力。成交通知书发出后，采购人改变成交结果，或者报价成交供应商放弃成交，应当承担相应的法律责任。</w:t>
      </w:r>
    </w:p>
    <w:p w14:paraId="18489960">
      <w:pPr>
        <w:spacing w:line="47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供应商对成交公告有异议的，应当在成交发布之日起7个工作日内，以书面形式向采购人提出质疑。采购人应当在收到供应商书面质疑后7个工作日内，对质疑内容作出答复。</w:t>
      </w:r>
    </w:p>
    <w:p w14:paraId="43474D38">
      <w:pPr>
        <w:spacing w:line="47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质疑供应商对采购人的答复不满意或者采购人未在规定时间内答复的，可以在答复期满后15个工作日内书面向主管部门提出投诉。</w:t>
      </w:r>
    </w:p>
    <w:p w14:paraId="69EEBE51">
      <w:pPr>
        <w:spacing w:line="47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供应商未在上述规定的时间内提出质疑的,之后，其提出质疑将被拒绝。</w:t>
      </w:r>
    </w:p>
    <w:p w14:paraId="7115CF42">
      <w:pPr>
        <w:spacing w:line="47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17.</w:t>
      </w:r>
      <w:r>
        <w:rPr>
          <w:rFonts w:hint="eastAsia" w:ascii="宋体" w:hAnsi="宋体" w:cs="宋体"/>
          <w:color w:val="auto"/>
          <w:sz w:val="24"/>
          <w:szCs w:val="24"/>
          <w:highlight w:val="none"/>
          <w:lang w:val="en-US" w:eastAsia="zh-CN"/>
        </w:rPr>
        <w:t>2</w:t>
      </w:r>
      <w:r>
        <w:rPr>
          <w:rFonts w:hint="eastAsia" w:ascii="宋体" w:hAnsi="宋体" w:cs="宋体"/>
          <w:color w:val="auto"/>
          <w:sz w:val="24"/>
          <w:szCs w:val="24"/>
          <w:highlight w:val="none"/>
        </w:rPr>
        <w:t>《成交通知书》将作为签订采购合同的依据。采购合同签订后，《成交通知书》成为合同的一部分。</w:t>
      </w:r>
    </w:p>
    <w:p w14:paraId="13CF0833">
      <w:pPr>
        <w:pStyle w:val="3"/>
        <w:numPr>
          <w:ilvl w:val="0"/>
          <w:numId w:val="12"/>
        </w:numPr>
        <w:spacing w:before="0" w:after="0" w:line="470" w:lineRule="exact"/>
        <w:ind w:hanging="902"/>
        <w:rPr>
          <w:rFonts w:ascii="宋体" w:hAnsi="宋体" w:cs="宋体"/>
          <w:color w:val="auto"/>
          <w:sz w:val="24"/>
          <w:szCs w:val="24"/>
          <w:highlight w:val="none"/>
        </w:rPr>
      </w:pPr>
      <w:r>
        <w:rPr>
          <w:rFonts w:hint="eastAsia" w:ascii="宋体" w:hAnsi="宋体" w:cs="宋体"/>
          <w:color w:val="auto"/>
          <w:sz w:val="24"/>
          <w:szCs w:val="24"/>
          <w:highlight w:val="none"/>
        </w:rPr>
        <w:t>签订合同</w:t>
      </w:r>
      <w:bookmarkEnd w:id="134"/>
      <w:bookmarkEnd w:id="135"/>
      <w:bookmarkEnd w:id="136"/>
      <w:bookmarkEnd w:id="137"/>
    </w:p>
    <w:p w14:paraId="23BDAFDD">
      <w:pPr>
        <w:pStyle w:val="90"/>
        <w:numPr>
          <w:ilvl w:val="0"/>
          <w:numId w:val="14"/>
        </w:numPr>
        <w:tabs>
          <w:tab w:val="left" w:pos="992"/>
          <w:tab w:val="left" w:pos="1019"/>
        </w:tabs>
        <w:spacing w:line="470" w:lineRule="exact"/>
        <w:ind w:firstLineChars="0"/>
        <w:rPr>
          <w:rFonts w:ascii="宋体" w:hAnsi="宋体" w:cs="宋体"/>
          <w:vanish/>
          <w:color w:val="auto"/>
          <w:sz w:val="24"/>
          <w:szCs w:val="24"/>
          <w:highlight w:val="none"/>
        </w:rPr>
      </w:pPr>
    </w:p>
    <w:p w14:paraId="3090BFAC">
      <w:pPr>
        <w:pStyle w:val="90"/>
        <w:numPr>
          <w:ilvl w:val="0"/>
          <w:numId w:val="13"/>
        </w:numPr>
        <w:tabs>
          <w:tab w:val="left" w:pos="1134"/>
        </w:tabs>
        <w:spacing w:line="470" w:lineRule="exact"/>
        <w:ind w:firstLineChars="0"/>
        <w:rPr>
          <w:rFonts w:ascii="宋体" w:hAnsi="宋体" w:cs="宋体"/>
          <w:vanish/>
          <w:color w:val="auto"/>
          <w:sz w:val="24"/>
          <w:szCs w:val="24"/>
          <w:highlight w:val="none"/>
        </w:rPr>
      </w:pPr>
    </w:p>
    <w:p w14:paraId="56353E06">
      <w:pPr>
        <w:tabs>
          <w:tab w:val="left" w:pos="1019"/>
          <w:tab w:val="left" w:pos="1134"/>
        </w:tabs>
        <w:spacing w:line="47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18.1采购人、成交供应商应当在《成交通知书》发出之日起30日内，根据询价文件确定的事项和成交供应商的响应文件，参照本询价文件第五章的《合同》文本签订合同。双方所签订的合同不得对询价文件和成交供应商响应文件作实质性修改。逾期未签订合同，按照有关法律规定承担相应的法律责任。采购人逾期不与成交供应商签订合同的，按政府采购的有关规定处理。</w:t>
      </w:r>
    </w:p>
    <w:p w14:paraId="312C359F">
      <w:pPr>
        <w:tabs>
          <w:tab w:val="left" w:pos="1019"/>
          <w:tab w:val="left" w:pos="1134"/>
          <w:tab w:val="left" w:pos="2099"/>
        </w:tabs>
        <w:spacing w:line="47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18.2询价文件、询价文件的修改文件、成交供应商的响应文件等，均为双方签订采购合同的组成部分，并与合同一并作为本询价文件所列采购项目的互补性法律文件，与合同具有同等法律效力。</w:t>
      </w:r>
    </w:p>
    <w:p w14:paraId="0A671999">
      <w:pPr>
        <w:tabs>
          <w:tab w:val="left" w:pos="1019"/>
          <w:tab w:val="left" w:pos="1134"/>
          <w:tab w:val="left" w:pos="2099"/>
        </w:tabs>
        <w:spacing w:line="47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18.3成交供应商因不可抗力或者自身原因不能履行采购合同的，采购人可以与排位在成交供应商之后第一位的成交候选人签订采购合同（以此类推），或重新组织采购。</w:t>
      </w:r>
      <w:bookmarkEnd w:id="33"/>
      <w:bookmarkEnd w:id="120"/>
      <w:bookmarkEnd w:id="121"/>
      <w:bookmarkEnd w:id="122"/>
      <w:bookmarkStart w:id="138" w:name="_Toc32184"/>
      <w:bookmarkStart w:id="139" w:name="_Toc526873928"/>
    </w:p>
    <w:p w14:paraId="1ECA1452">
      <w:pPr>
        <w:tabs>
          <w:tab w:val="left" w:pos="1019"/>
          <w:tab w:val="left" w:pos="1134"/>
          <w:tab w:val="left" w:pos="2099"/>
        </w:tabs>
        <w:spacing w:line="470" w:lineRule="exact"/>
        <w:ind w:firstLine="480" w:firstLineChars="200"/>
        <w:rPr>
          <w:rFonts w:ascii="宋体" w:hAnsi="宋体" w:cs="宋体"/>
          <w:color w:val="auto"/>
          <w:sz w:val="24"/>
          <w:szCs w:val="24"/>
          <w:highlight w:val="none"/>
        </w:rPr>
      </w:pPr>
    </w:p>
    <w:p w14:paraId="6CDF5EED">
      <w:pPr>
        <w:pStyle w:val="3"/>
        <w:jc w:val="center"/>
        <w:rPr>
          <w:rFonts w:ascii="宋体" w:hAnsi="宋体" w:cs="宋体"/>
          <w:color w:val="auto"/>
          <w:highlight w:val="none"/>
        </w:rPr>
      </w:pPr>
      <w:r>
        <w:rPr>
          <w:rFonts w:hint="eastAsia" w:ascii="宋体" w:hAnsi="宋体" w:cs="宋体"/>
          <w:color w:val="auto"/>
          <w:highlight w:val="none"/>
        </w:rPr>
        <w:t>第三章  项目内容及要求</w:t>
      </w:r>
      <w:bookmarkEnd w:id="138"/>
      <w:bookmarkEnd w:id="139"/>
    </w:p>
    <w:p w14:paraId="65BC9BAE">
      <w:pPr>
        <w:pStyle w:val="93"/>
        <w:tabs>
          <w:tab w:val="left" w:pos="920"/>
        </w:tabs>
        <w:adjustRightInd w:val="0"/>
        <w:snapToGrid w:val="0"/>
        <w:spacing w:after="0" w:line="360" w:lineRule="auto"/>
        <w:rPr>
          <w:b/>
          <w:bCs/>
          <w:color w:val="auto"/>
          <w:sz w:val="24"/>
          <w:szCs w:val="24"/>
          <w:highlight w:val="none"/>
          <w:lang w:val="en-US" w:eastAsia="zh-CN" w:bidi="ar-SA"/>
        </w:rPr>
      </w:pPr>
      <w:bookmarkStart w:id="140" w:name="_Toc526873935"/>
      <w:bookmarkStart w:id="141" w:name="_Toc1174"/>
      <w:bookmarkStart w:id="142" w:name="_Toc160934185"/>
      <w:bookmarkStart w:id="143" w:name="_Toc160876913"/>
      <w:bookmarkStart w:id="144" w:name="_Toc160543052"/>
      <w:bookmarkStart w:id="145" w:name="_Toc376615126"/>
      <w:bookmarkStart w:id="146" w:name="_Toc51489361"/>
      <w:bookmarkStart w:id="147" w:name="_Toc32815586"/>
      <w:r>
        <w:rPr>
          <w:rFonts w:hint="eastAsia"/>
          <w:b/>
          <w:bCs/>
          <w:color w:val="auto"/>
          <w:sz w:val="24"/>
          <w:szCs w:val="24"/>
          <w:highlight w:val="none"/>
          <w:lang w:val="en-US" w:eastAsia="zh-CN" w:bidi="ar-SA"/>
        </w:rPr>
        <w:t>一、项目情况</w:t>
      </w:r>
    </w:p>
    <w:p w14:paraId="0B13EF76">
      <w:pPr>
        <w:adjustRightInd w:val="0"/>
        <w:snapToGrid w:val="0"/>
        <w:spacing w:line="360" w:lineRule="auto"/>
        <w:ind w:firstLine="480" w:firstLineChars="200"/>
        <w:jc w:val="left"/>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（一）项目名称：</w:t>
      </w:r>
      <w:r>
        <w:rPr>
          <w:rFonts w:hint="eastAsia" w:ascii="宋体" w:hAnsi="宋体" w:cs="仿宋"/>
          <w:color w:val="auto"/>
          <w:kern w:val="2"/>
          <w:sz w:val="24"/>
          <w:szCs w:val="24"/>
          <w:highlight w:val="none"/>
          <w:u w:val="single"/>
          <w:lang w:val="en-US" w:eastAsia="zh-CN" w:bidi="ar-SA"/>
        </w:rPr>
        <w:t>源昌国际城维序服务</w:t>
      </w:r>
      <w:r>
        <w:rPr>
          <w:rFonts w:hint="eastAsia" w:cs="宋体" w:asciiTheme="minorEastAsia" w:hAnsiTheme="minorEastAsia" w:eastAsiaTheme="minorEastAsia"/>
          <w:color w:val="auto"/>
          <w:kern w:val="0"/>
          <w:sz w:val="24"/>
          <w:highlight w:val="none"/>
          <w:u w:val="single"/>
          <w:lang w:val="en-US" w:eastAsia="zh-CN"/>
        </w:rPr>
        <w:t>服务</w:t>
      </w:r>
    </w:p>
    <w:p w14:paraId="701D29BC">
      <w:pPr>
        <w:adjustRightInd w:val="0"/>
        <w:snapToGrid w:val="0"/>
        <w:spacing w:line="360" w:lineRule="auto"/>
        <w:ind w:firstLine="480" w:firstLineChars="200"/>
        <w:jc w:val="left"/>
        <w:rPr>
          <w:rFonts w:hint="eastAsia" w:cs="仿宋" w:asciiTheme="minorEastAsia" w:hAnsiTheme="minorEastAsia" w:eastAsiaTheme="minorEastAsia"/>
          <w:color w:val="auto"/>
          <w:sz w:val="24"/>
          <w:highlight w:val="none"/>
          <w:lang w:val="en-US" w:eastAsia="zh-CN"/>
        </w:rPr>
      </w:pPr>
      <w:r>
        <w:rPr>
          <w:rFonts w:hint="eastAsia" w:ascii="宋体" w:hAnsi="宋体" w:cs="宋体"/>
          <w:color w:val="auto"/>
          <w:sz w:val="24"/>
          <w:szCs w:val="24"/>
          <w:highlight w:val="none"/>
          <w:lang w:val="en-US" w:eastAsia="zh-CN"/>
        </w:rPr>
        <w:t>（二）项目概况：</w:t>
      </w:r>
    </w:p>
    <w:p w14:paraId="2F912279">
      <w:pPr>
        <w:adjustRightInd w:val="0"/>
        <w:snapToGrid w:val="0"/>
        <w:spacing w:line="360" w:lineRule="auto"/>
        <w:ind w:firstLine="480" w:firstLineChars="200"/>
        <w:jc w:val="left"/>
        <w:rPr>
          <w:rFonts w:hint="eastAsia" w:cs="Times New Roman"/>
          <w:b w:val="0"/>
          <w:bCs w:val="0"/>
          <w:color w:val="auto"/>
          <w:sz w:val="24"/>
          <w:szCs w:val="24"/>
          <w:highlight w:val="none"/>
          <w:lang w:val="en-US" w:eastAsia="zh-CN"/>
        </w:rPr>
      </w:pPr>
      <w:r>
        <w:rPr>
          <w:rFonts w:hint="eastAsia" w:cs="仿宋" w:asciiTheme="minorEastAsia" w:hAnsiTheme="minorEastAsia" w:eastAsiaTheme="minorEastAsia"/>
          <w:color w:val="auto"/>
          <w:sz w:val="24"/>
          <w:highlight w:val="none"/>
          <w:lang w:val="en-US" w:eastAsia="zh-CN"/>
        </w:rPr>
        <w:t>（</w:t>
      </w:r>
      <w:r>
        <w:rPr>
          <w:rFonts w:hint="eastAsia" w:cs="仿宋" w:asciiTheme="minorEastAsia" w:hAnsiTheme="minorEastAsia" w:eastAsiaTheme="minorEastAsia"/>
          <w:color w:val="auto"/>
          <w:sz w:val="24"/>
          <w:highlight w:val="none"/>
          <w:u w:val="none"/>
          <w:lang w:val="en-US" w:eastAsia="zh-CN"/>
        </w:rPr>
        <w:t>1）</w:t>
      </w:r>
      <w:r>
        <w:rPr>
          <w:rFonts w:hint="eastAsia" w:ascii="宋体" w:hAnsi="宋体" w:cs="仿宋"/>
          <w:color w:val="auto"/>
          <w:kern w:val="2"/>
          <w:sz w:val="24"/>
          <w:szCs w:val="24"/>
          <w:highlight w:val="none"/>
          <w:u w:val="none"/>
          <w:lang w:val="en-US" w:eastAsia="zh-CN" w:bidi="ar-SA"/>
        </w:rPr>
        <w:t>源昌国际城</w:t>
      </w:r>
      <w:r>
        <w:rPr>
          <w:rFonts w:hint="eastAsia" w:eastAsia="宋体" w:cs="Times New Roman"/>
          <w:b w:val="0"/>
          <w:bCs w:val="0"/>
          <w:color w:val="auto"/>
          <w:sz w:val="24"/>
          <w:szCs w:val="24"/>
          <w:highlight w:val="none"/>
          <w:u w:val="none"/>
          <w:lang w:val="en-US" w:eastAsia="zh-CN"/>
        </w:rPr>
        <w:t>项</w:t>
      </w:r>
      <w:r>
        <w:rPr>
          <w:rFonts w:hint="eastAsia" w:eastAsia="宋体" w:cs="Times New Roman"/>
          <w:b w:val="0"/>
          <w:bCs w:val="0"/>
          <w:color w:val="auto"/>
          <w:sz w:val="24"/>
          <w:szCs w:val="24"/>
          <w:highlight w:val="none"/>
          <w:lang w:val="en-US" w:eastAsia="zh-CN"/>
        </w:rPr>
        <w:t>目</w:t>
      </w:r>
      <w:r>
        <w:rPr>
          <w:rFonts w:hint="eastAsia" w:cs="Times New Roman"/>
          <w:b w:val="0"/>
          <w:bCs w:val="0"/>
          <w:color w:val="auto"/>
          <w:sz w:val="24"/>
          <w:szCs w:val="24"/>
          <w:highlight w:val="none"/>
          <w:lang w:val="en-US" w:eastAsia="zh-CN"/>
        </w:rPr>
        <w:t>：共需7个岗，其中普通岗6个（含2名领班），消控岗1个，</w:t>
      </w:r>
      <w:r>
        <w:rPr>
          <w:rFonts w:hint="eastAsia" w:ascii="宋体" w:hAnsi="宋体" w:cs="宋体"/>
          <w:color w:val="auto"/>
          <w:sz w:val="24"/>
          <w:szCs w:val="24"/>
          <w:highlight w:val="none"/>
          <w:lang w:val="en-US" w:eastAsia="zh-CN"/>
        </w:rPr>
        <w:t>其中源昌国际城项目</w:t>
      </w:r>
      <w:r>
        <w:rPr>
          <w:rFonts w:hint="eastAsia" w:cs="宋体"/>
          <w:color w:val="auto"/>
          <w:sz w:val="24"/>
          <w:szCs w:val="24"/>
          <w:highlight w:val="none"/>
          <w:lang w:val="en-US" w:eastAsia="zh-CN"/>
        </w:rPr>
        <w:t>维序服务费普通岗11700元/月/个（含税），消控岗13000元/月/个（含税），月服务费合计83200元（含税），年服务费合计998400元（含税），最高限价</w:t>
      </w:r>
      <w:r>
        <w:rPr>
          <w:rFonts w:hint="eastAsia" w:ascii="宋体" w:hAnsi="宋体" w:cs="宋体"/>
          <w:color w:val="auto"/>
          <w:sz w:val="24"/>
          <w:szCs w:val="24"/>
          <w:highlight w:val="none"/>
          <w:lang w:val="en-US" w:eastAsia="zh-CN"/>
        </w:rPr>
        <w:t>998400元</w:t>
      </w:r>
      <w:r>
        <w:rPr>
          <w:rFonts w:hint="eastAsia" w:ascii="宋体" w:hAnsi="宋体" w:cs="宋体"/>
          <w:color w:val="auto"/>
          <w:kern w:val="0"/>
          <w:sz w:val="24"/>
          <w:highlight w:val="none"/>
          <w:lang w:val="en-US" w:eastAsia="zh-CN"/>
        </w:rPr>
        <w:t>。</w:t>
      </w:r>
    </w:p>
    <w:p w14:paraId="543EE07C">
      <w:pPr>
        <w:adjustRightInd w:val="0"/>
        <w:snapToGrid w:val="0"/>
        <w:spacing w:line="360" w:lineRule="auto"/>
        <w:jc w:val="left"/>
        <w:rPr>
          <w:rFonts w:ascii="宋体" w:hAnsi="宋体" w:cs="宋体"/>
          <w:b/>
          <w:bCs/>
          <w:color w:val="auto"/>
          <w:sz w:val="24"/>
          <w:szCs w:val="24"/>
          <w:highlight w:val="none"/>
        </w:rPr>
      </w:pPr>
      <w:r>
        <w:rPr>
          <w:rFonts w:hint="eastAsia" w:ascii="宋体" w:hAnsi="宋体" w:cs="宋体"/>
          <w:b/>
          <w:bCs/>
          <w:color w:val="auto"/>
          <w:sz w:val="24"/>
          <w:szCs w:val="24"/>
          <w:highlight w:val="none"/>
        </w:rPr>
        <w:t xml:space="preserve">二、技术和服务要求（以“★”标示的内容为不允许负偏离的实质性要求） </w:t>
      </w:r>
    </w:p>
    <w:p w14:paraId="79EF3516">
      <w:pPr>
        <w:adjustRightInd w:val="0"/>
        <w:snapToGrid w:val="0"/>
        <w:spacing w:line="360" w:lineRule="auto"/>
        <w:ind w:firstLine="480" w:firstLineChars="200"/>
        <w:jc w:val="left"/>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lang w:val="en-US" w:eastAsia="zh-CN"/>
        </w:rPr>
        <w:t>（一）服务</w:t>
      </w:r>
      <w:r>
        <w:rPr>
          <w:rFonts w:hint="eastAsia" w:ascii="宋体" w:hAnsi="宋体" w:cs="宋体"/>
          <w:color w:val="auto"/>
          <w:sz w:val="24"/>
          <w:szCs w:val="24"/>
          <w:highlight w:val="none"/>
          <w:lang w:eastAsia="zh-CN"/>
        </w:rPr>
        <w:t>内容</w:t>
      </w:r>
    </w:p>
    <w:p w14:paraId="04F234C0">
      <w:pPr>
        <w:widowControl/>
        <w:spacing w:line="360" w:lineRule="auto"/>
        <w:ind w:firstLine="480" w:firstLineChars="200"/>
        <w:jc w:val="left"/>
        <w:outlineLvl w:val="0"/>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lang w:eastAsia="zh-CN"/>
        </w:rPr>
        <w:t>1</w:t>
      </w:r>
      <w:r>
        <w:rPr>
          <w:rFonts w:hint="eastAsia" w:ascii="宋体" w:hAnsi="宋体" w:cs="宋体"/>
          <w:color w:val="auto"/>
          <w:kern w:val="0"/>
          <w:sz w:val="24"/>
          <w:szCs w:val="24"/>
          <w:highlight w:val="none"/>
        </w:rPr>
        <w:t>、秩序维护涉及的迎来送往及站姿服务、</w:t>
      </w:r>
      <w:r>
        <w:rPr>
          <w:rFonts w:hint="eastAsia" w:ascii="宋体" w:hAnsi="宋体" w:cs="宋体"/>
          <w:color w:val="auto"/>
          <w:kern w:val="0"/>
          <w:sz w:val="24"/>
          <w:szCs w:val="24"/>
          <w:highlight w:val="none"/>
          <w:lang w:eastAsia="zh-CN"/>
        </w:rPr>
        <w:t>采购人</w:t>
      </w:r>
      <w:r>
        <w:rPr>
          <w:rFonts w:hint="eastAsia" w:ascii="宋体" w:hAnsi="宋体" w:cs="宋体"/>
          <w:color w:val="auto"/>
          <w:kern w:val="0"/>
          <w:sz w:val="24"/>
          <w:szCs w:val="24"/>
          <w:highlight w:val="none"/>
        </w:rPr>
        <w:t>/客户出入服务、外来人员出入管理服务、防尾随管控服务、物品出入管控服务、交通秩序维护、指引带路服务、车辆停放管理服务、</w:t>
      </w:r>
      <w:r>
        <w:rPr>
          <w:rFonts w:hint="eastAsia" w:ascii="宋体" w:hAnsi="宋体" w:cs="宋体"/>
          <w:color w:val="auto"/>
          <w:kern w:val="0"/>
          <w:sz w:val="24"/>
          <w:szCs w:val="24"/>
          <w:highlight w:val="none"/>
          <w:lang w:eastAsia="zh-CN"/>
        </w:rPr>
        <w:t>维序</w:t>
      </w:r>
      <w:r>
        <w:rPr>
          <w:rFonts w:hint="eastAsia" w:ascii="宋体" w:hAnsi="宋体" w:cs="宋体"/>
          <w:color w:val="auto"/>
          <w:kern w:val="0"/>
          <w:sz w:val="24"/>
          <w:szCs w:val="24"/>
          <w:highlight w:val="none"/>
        </w:rPr>
        <w:t>系统巡检维护服务、装修巡查管控服务、安全生产检查服务、突发应急事件处置服务等区域秩序维护和</w:t>
      </w:r>
      <w:r>
        <w:rPr>
          <w:rFonts w:hint="eastAsia" w:ascii="宋体" w:hAnsi="宋体" w:cs="宋体"/>
          <w:color w:val="auto"/>
          <w:kern w:val="0"/>
          <w:sz w:val="24"/>
          <w:szCs w:val="24"/>
          <w:highlight w:val="none"/>
          <w:lang w:eastAsia="zh-CN"/>
        </w:rPr>
        <w:t>采购人</w:t>
      </w:r>
      <w:r>
        <w:rPr>
          <w:rFonts w:hint="eastAsia" w:ascii="宋体" w:hAnsi="宋体" w:cs="宋体"/>
          <w:color w:val="auto"/>
          <w:kern w:val="0"/>
          <w:sz w:val="24"/>
          <w:szCs w:val="24"/>
          <w:highlight w:val="none"/>
        </w:rPr>
        <w:t>/客户服务工作。</w:t>
      </w:r>
    </w:p>
    <w:p w14:paraId="373D26F1">
      <w:pPr>
        <w:widowControl/>
        <w:spacing w:line="360" w:lineRule="auto"/>
        <w:ind w:firstLine="480" w:firstLineChars="200"/>
        <w:jc w:val="left"/>
        <w:outlineLvl w:val="0"/>
        <w:rPr>
          <w:rFonts w:hint="eastAsia" w:ascii="宋体" w:hAnsi="宋体"/>
          <w:color w:val="auto"/>
          <w:sz w:val="24"/>
          <w:highlight w:val="none"/>
        </w:rPr>
      </w:pPr>
      <w:r>
        <w:rPr>
          <w:rFonts w:hint="eastAsia" w:ascii="宋体" w:hAnsi="宋体" w:cs="宋体"/>
          <w:color w:val="auto"/>
          <w:kern w:val="0"/>
          <w:sz w:val="24"/>
          <w:szCs w:val="24"/>
          <w:highlight w:val="none"/>
        </w:rPr>
        <w:t>2、</w:t>
      </w:r>
      <w:r>
        <w:rPr>
          <w:rFonts w:hint="eastAsia" w:ascii="宋体" w:hAnsi="宋体"/>
          <w:color w:val="auto"/>
          <w:sz w:val="24"/>
          <w:highlight w:val="none"/>
        </w:rPr>
        <w:t>责任区内的公共场所、设备设施、游乐设施、公共路面、花草地、各栋公共楼道、楼梯、天台、大堂以及消防栓、烟感温感、消防风阀、监控器、红外线盒等涉及维序岗位的安全巡视检查。</w:t>
      </w:r>
    </w:p>
    <w:p w14:paraId="7D03F49B">
      <w:pPr>
        <w:widowControl/>
        <w:spacing w:line="360" w:lineRule="auto"/>
        <w:ind w:firstLine="480" w:firstLineChars="200"/>
        <w:jc w:val="left"/>
        <w:outlineLvl w:val="0"/>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3、</w:t>
      </w:r>
      <w:r>
        <w:rPr>
          <w:rFonts w:hint="eastAsia" w:ascii="宋体" w:hAnsi="宋体" w:cs="宋体"/>
          <w:color w:val="auto"/>
          <w:kern w:val="0"/>
          <w:sz w:val="24"/>
          <w:szCs w:val="24"/>
          <w:highlight w:val="none"/>
          <w:lang w:eastAsia="zh-CN"/>
        </w:rPr>
        <w:t>维序</w:t>
      </w:r>
      <w:r>
        <w:rPr>
          <w:rFonts w:hint="eastAsia" w:ascii="宋体" w:hAnsi="宋体" w:cs="宋体"/>
          <w:color w:val="auto"/>
          <w:kern w:val="0"/>
          <w:sz w:val="24"/>
          <w:szCs w:val="24"/>
          <w:highlight w:val="none"/>
        </w:rPr>
        <w:t>设施设备涉及的监控系统、消防自动化报警系统、门禁系统、车辆道闸系统、电梯对讲系统、电子巡更系统、公众号报事报修系统等智能化</w:t>
      </w:r>
      <w:r>
        <w:rPr>
          <w:rFonts w:hint="eastAsia" w:ascii="宋体" w:hAnsi="宋体" w:cs="宋体"/>
          <w:color w:val="auto"/>
          <w:kern w:val="0"/>
          <w:sz w:val="24"/>
          <w:szCs w:val="24"/>
          <w:highlight w:val="none"/>
          <w:lang w:eastAsia="zh-CN"/>
        </w:rPr>
        <w:t>维序</w:t>
      </w:r>
      <w:r>
        <w:rPr>
          <w:rFonts w:hint="eastAsia" w:ascii="宋体" w:hAnsi="宋体" w:cs="宋体"/>
          <w:color w:val="auto"/>
          <w:kern w:val="0"/>
          <w:sz w:val="24"/>
          <w:szCs w:val="24"/>
          <w:highlight w:val="none"/>
        </w:rPr>
        <w:t>系统涉及维序岗位的日常值班、自检、巡防、维护、报事报修及跟踪闭合工作。</w:t>
      </w:r>
    </w:p>
    <w:p w14:paraId="7E12E94E">
      <w:pPr>
        <w:widowControl/>
        <w:spacing w:line="360" w:lineRule="auto"/>
        <w:ind w:firstLine="480" w:firstLineChars="200"/>
        <w:jc w:val="left"/>
        <w:outlineLvl w:val="0"/>
        <w:rPr>
          <w:rFonts w:hint="eastAsia" w:ascii="宋体" w:hAnsi="宋体" w:eastAsia="宋体" w:cs="宋体"/>
          <w:color w:val="auto"/>
          <w:kern w:val="0"/>
          <w:sz w:val="24"/>
          <w:szCs w:val="24"/>
          <w:highlight w:val="none"/>
          <w:lang w:eastAsia="zh-CN"/>
        </w:rPr>
      </w:pPr>
      <w:r>
        <w:rPr>
          <w:rFonts w:hint="eastAsia" w:ascii="宋体" w:hAnsi="宋体" w:cs="宋体"/>
          <w:color w:val="auto"/>
          <w:kern w:val="0"/>
          <w:sz w:val="24"/>
          <w:szCs w:val="24"/>
          <w:highlight w:val="none"/>
        </w:rPr>
        <w:t>4、加强车辆停放管理的人防+技防巡查、处置，及时发现并处置车辆停放管理存在的问题</w:t>
      </w:r>
      <w:r>
        <w:rPr>
          <w:rFonts w:hint="eastAsia" w:ascii="宋体" w:hAnsi="宋体" w:cs="宋体"/>
          <w:color w:val="auto"/>
          <w:kern w:val="0"/>
          <w:sz w:val="24"/>
          <w:szCs w:val="24"/>
          <w:highlight w:val="none"/>
          <w:lang w:eastAsia="zh-CN"/>
        </w:rPr>
        <w:t>。</w:t>
      </w:r>
    </w:p>
    <w:p w14:paraId="6EC6EC3D">
      <w:pPr>
        <w:widowControl/>
        <w:spacing w:line="360" w:lineRule="auto"/>
        <w:ind w:firstLine="480" w:firstLineChars="200"/>
        <w:jc w:val="left"/>
        <w:outlineLvl w:val="0"/>
        <w:rPr>
          <w:rFonts w:hint="eastAsia" w:ascii="宋体" w:hAnsi="宋体"/>
          <w:color w:val="auto"/>
          <w:sz w:val="24"/>
          <w:highlight w:val="none"/>
        </w:rPr>
      </w:pPr>
      <w:r>
        <w:rPr>
          <w:rFonts w:hint="eastAsia" w:ascii="宋体" w:hAnsi="宋体"/>
          <w:color w:val="auto"/>
          <w:sz w:val="24"/>
          <w:highlight w:val="none"/>
        </w:rPr>
        <w:t>5、开展服务范围涵盖的安全隐患排查治理和风险预防工作，定期组织全体员工开展学习教育，防止安全事故发生。</w:t>
      </w:r>
    </w:p>
    <w:p w14:paraId="5111B65B">
      <w:pPr>
        <w:widowControl/>
        <w:spacing w:line="360" w:lineRule="auto"/>
        <w:ind w:firstLine="480" w:firstLineChars="200"/>
        <w:jc w:val="left"/>
        <w:outlineLvl w:val="0"/>
        <w:rPr>
          <w:rFonts w:hint="eastAsia" w:ascii="宋体" w:hAnsi="宋体"/>
          <w:color w:val="auto"/>
          <w:sz w:val="24"/>
          <w:highlight w:val="none"/>
        </w:rPr>
      </w:pPr>
      <w:r>
        <w:rPr>
          <w:rFonts w:hint="eastAsia" w:ascii="宋体" w:hAnsi="宋体"/>
          <w:color w:val="auto"/>
          <w:sz w:val="24"/>
          <w:highlight w:val="none"/>
        </w:rPr>
        <w:t>6、配合所服务项目认真做好客诉受理、服务纠正提升工作。</w:t>
      </w:r>
    </w:p>
    <w:p w14:paraId="3618AC14">
      <w:pPr>
        <w:widowControl/>
        <w:spacing w:line="360" w:lineRule="auto"/>
        <w:ind w:firstLine="480" w:firstLineChars="200"/>
        <w:jc w:val="left"/>
        <w:outlineLvl w:val="0"/>
        <w:rPr>
          <w:rFonts w:hint="eastAsia" w:ascii="宋体" w:hAnsi="宋体"/>
          <w:color w:val="auto"/>
          <w:sz w:val="24"/>
          <w:highlight w:val="none"/>
        </w:rPr>
      </w:pPr>
      <w:r>
        <w:rPr>
          <w:rFonts w:hint="eastAsia" w:ascii="宋体" w:hAnsi="宋体"/>
          <w:color w:val="auto"/>
          <w:sz w:val="24"/>
          <w:highlight w:val="none"/>
        </w:rPr>
        <w:t>7、认真配合所在服务项目认真做好重大节日、防台防汛、楼道占用清理等重要节点、主题专题涉及的节前安全检查、汛前/汛后安全检查、消防安全专项检查、楼道占用清理专项安全检查、店面燃气及油烟管道等涉及小区安全秩序的安全生产专项检查工作。</w:t>
      </w:r>
    </w:p>
    <w:p w14:paraId="0495C89A">
      <w:pPr>
        <w:widowControl/>
        <w:spacing w:line="360" w:lineRule="auto"/>
        <w:ind w:firstLine="480" w:firstLineChars="200"/>
        <w:jc w:val="left"/>
        <w:rPr>
          <w:rFonts w:hint="eastAsia" w:ascii="宋体" w:hAnsi="宋体"/>
          <w:color w:val="auto"/>
          <w:sz w:val="24"/>
          <w:highlight w:val="none"/>
        </w:rPr>
      </w:pPr>
      <w:r>
        <w:rPr>
          <w:rFonts w:hint="eastAsia" w:ascii="宋体" w:hAnsi="宋体"/>
          <w:color w:val="auto"/>
          <w:sz w:val="24"/>
          <w:highlight w:val="none"/>
        </w:rPr>
        <w:t>8、根据公司突发事件处置流程，全力配合所在服务项目做好火灾、</w:t>
      </w:r>
      <w:r>
        <w:rPr>
          <w:rFonts w:hint="eastAsia" w:ascii="宋体" w:hAnsi="宋体"/>
          <w:color w:val="auto"/>
          <w:sz w:val="24"/>
          <w:highlight w:val="none"/>
          <w:lang w:eastAsia="zh-CN"/>
        </w:rPr>
        <w:t>煤气泄漏</w:t>
      </w:r>
      <w:r>
        <w:rPr>
          <w:rFonts w:hint="eastAsia" w:ascii="宋体" w:hAnsi="宋体"/>
          <w:color w:val="auto"/>
          <w:sz w:val="24"/>
          <w:highlight w:val="none"/>
        </w:rPr>
        <w:t>、客户纠纷、打架斗殴、盗窃、抢劫、醉酒闹事、打砸抢、空高抛物、停水停电、急症病人、意外伤害、人员伤亡、电梯困人、交通事故、生产安全事故等突发事件、群体事件的事件/事故预防和应急处置工作。</w:t>
      </w:r>
    </w:p>
    <w:p w14:paraId="66473134">
      <w:pPr>
        <w:widowControl/>
        <w:spacing w:line="360" w:lineRule="auto"/>
        <w:ind w:firstLine="480" w:firstLineChars="200"/>
        <w:jc w:val="left"/>
        <w:rPr>
          <w:rFonts w:hint="eastAsia" w:ascii="宋体" w:hAnsi="宋体" w:eastAsia="宋体" w:cs="宋体"/>
          <w:b/>
          <w:bCs/>
          <w:color w:val="auto"/>
          <w:kern w:val="0"/>
          <w:sz w:val="24"/>
          <w:szCs w:val="24"/>
          <w:highlight w:val="none"/>
          <w:lang w:val="en-US" w:eastAsia="zh-CN"/>
        </w:rPr>
      </w:pPr>
      <w:r>
        <w:rPr>
          <w:rFonts w:hint="eastAsia" w:ascii="宋体" w:hAnsi="宋体"/>
          <w:color w:val="auto"/>
          <w:sz w:val="24"/>
          <w:highlight w:val="none"/>
          <w:lang w:eastAsia="zh-CN"/>
        </w:rPr>
        <w:t>（</w:t>
      </w:r>
      <w:r>
        <w:rPr>
          <w:rFonts w:hint="eastAsia" w:ascii="宋体" w:hAnsi="宋体"/>
          <w:color w:val="auto"/>
          <w:sz w:val="24"/>
          <w:highlight w:val="none"/>
          <w:lang w:val="en-US" w:eastAsia="zh-CN"/>
        </w:rPr>
        <w:t>二</w:t>
      </w:r>
      <w:r>
        <w:rPr>
          <w:rFonts w:hint="eastAsia" w:ascii="宋体" w:hAnsi="宋体"/>
          <w:color w:val="auto"/>
          <w:sz w:val="24"/>
          <w:highlight w:val="none"/>
          <w:lang w:eastAsia="zh-CN"/>
        </w:rPr>
        <w:t>）</w:t>
      </w:r>
      <w:r>
        <w:rPr>
          <w:rFonts w:hint="eastAsia" w:ascii="宋体" w:hAnsi="宋体" w:cs="宋体"/>
          <w:b/>
          <w:bCs/>
          <w:color w:val="auto"/>
          <w:kern w:val="0"/>
          <w:sz w:val="24"/>
          <w:szCs w:val="24"/>
          <w:highlight w:val="none"/>
          <w:lang w:val="en-US" w:eastAsia="zh-CN"/>
        </w:rPr>
        <w:t>维序</w:t>
      </w:r>
      <w:r>
        <w:rPr>
          <w:rFonts w:hint="eastAsia" w:ascii="宋体" w:hAnsi="宋体" w:cs="宋体"/>
          <w:b/>
          <w:bCs/>
          <w:color w:val="auto"/>
          <w:kern w:val="0"/>
          <w:sz w:val="24"/>
          <w:szCs w:val="24"/>
          <w:highlight w:val="none"/>
        </w:rPr>
        <w:t>服务人员入选标准及其他要</w:t>
      </w:r>
      <w:r>
        <w:rPr>
          <w:rFonts w:hint="eastAsia" w:ascii="宋体" w:hAnsi="宋体" w:cs="宋体"/>
          <w:b/>
          <w:bCs/>
          <w:color w:val="auto"/>
          <w:kern w:val="0"/>
          <w:sz w:val="24"/>
          <w:szCs w:val="24"/>
          <w:highlight w:val="none"/>
          <w:lang w:val="en-US" w:eastAsia="zh-CN"/>
        </w:rPr>
        <w:t>求</w:t>
      </w:r>
    </w:p>
    <w:p w14:paraId="09A93F30">
      <w:pPr>
        <w:widowControl/>
        <w:spacing w:line="360" w:lineRule="auto"/>
        <w:ind w:firstLine="480" w:firstLineChars="200"/>
        <w:jc w:val="left"/>
        <w:outlineLvl w:val="0"/>
        <w:rPr>
          <w:rFonts w:hint="eastAsia" w:ascii="宋体" w:hAnsi="宋体" w:eastAsia="宋体"/>
          <w:color w:val="auto"/>
          <w:sz w:val="24"/>
          <w:highlight w:val="none"/>
          <w:lang w:eastAsia="zh-CN"/>
        </w:rPr>
      </w:pPr>
      <w:r>
        <w:rPr>
          <w:rFonts w:hint="eastAsia" w:ascii="宋体" w:hAnsi="宋体"/>
          <w:color w:val="auto"/>
          <w:sz w:val="24"/>
          <w:highlight w:val="none"/>
          <w:lang w:eastAsia="zh-CN"/>
        </w:rPr>
        <w:t>1</w:t>
      </w:r>
      <w:r>
        <w:rPr>
          <w:rFonts w:hint="eastAsia" w:ascii="宋体" w:hAnsi="宋体"/>
          <w:color w:val="auto"/>
          <w:sz w:val="24"/>
          <w:highlight w:val="none"/>
        </w:rPr>
        <w:t>、具有初中以上的文化程度，</w:t>
      </w:r>
      <w:r>
        <w:rPr>
          <w:rFonts w:hint="eastAsia" w:ascii="宋体" w:hAnsi="宋体"/>
          <w:color w:val="auto"/>
          <w:sz w:val="24"/>
          <w:highlight w:val="none"/>
          <w:lang w:val="en-US" w:eastAsia="zh-CN"/>
        </w:rPr>
        <w:t>年龄在18-55周岁，</w:t>
      </w:r>
      <w:r>
        <w:rPr>
          <w:rFonts w:hint="eastAsia" w:ascii="宋体" w:hAnsi="宋体"/>
          <w:color w:val="auto"/>
          <w:sz w:val="24"/>
          <w:highlight w:val="none"/>
          <w:lang w:eastAsia="zh-CN"/>
        </w:rPr>
        <w:t>维序人员</w:t>
      </w:r>
      <w:r>
        <w:rPr>
          <w:rFonts w:hint="eastAsia" w:ascii="宋体" w:hAnsi="宋体"/>
          <w:color w:val="auto"/>
          <w:sz w:val="24"/>
          <w:highlight w:val="none"/>
        </w:rPr>
        <w:t>必须符合</w:t>
      </w:r>
      <w:r>
        <w:rPr>
          <w:rFonts w:hint="eastAsia" w:ascii="宋体" w:hAnsi="宋体"/>
          <w:color w:val="auto"/>
          <w:sz w:val="24"/>
          <w:highlight w:val="none"/>
          <w:lang w:eastAsia="zh-CN"/>
        </w:rPr>
        <w:t>采购人</w:t>
      </w:r>
      <w:r>
        <w:rPr>
          <w:rFonts w:hint="eastAsia" w:ascii="宋体" w:hAnsi="宋体"/>
          <w:color w:val="auto"/>
          <w:sz w:val="24"/>
          <w:highlight w:val="none"/>
        </w:rPr>
        <w:t>的要求，培训达标后上岗</w:t>
      </w:r>
      <w:r>
        <w:rPr>
          <w:rFonts w:hint="eastAsia" w:ascii="宋体" w:hAnsi="宋体"/>
          <w:color w:val="auto"/>
          <w:sz w:val="24"/>
          <w:highlight w:val="none"/>
          <w:lang w:eastAsia="zh-CN"/>
        </w:rPr>
        <w:t>。</w:t>
      </w:r>
    </w:p>
    <w:p w14:paraId="2CD4FA7D">
      <w:pPr>
        <w:widowControl/>
        <w:spacing w:line="360" w:lineRule="auto"/>
        <w:ind w:firstLine="480" w:firstLineChars="200"/>
        <w:jc w:val="left"/>
        <w:outlineLvl w:val="0"/>
        <w:rPr>
          <w:rFonts w:hint="eastAsia" w:ascii="宋体" w:hAnsi="宋体" w:eastAsia="宋体"/>
          <w:color w:val="auto"/>
          <w:sz w:val="24"/>
          <w:highlight w:val="none"/>
          <w:lang w:eastAsia="zh-CN"/>
        </w:rPr>
      </w:pPr>
      <w:r>
        <w:rPr>
          <w:rFonts w:hint="eastAsia" w:ascii="宋体" w:hAnsi="宋体"/>
          <w:color w:val="auto"/>
          <w:sz w:val="24"/>
          <w:highlight w:val="none"/>
        </w:rPr>
        <w:t>2、智力正常、身体健康、五官端正</w:t>
      </w:r>
      <w:r>
        <w:rPr>
          <w:rFonts w:hint="eastAsia" w:ascii="宋体" w:hAnsi="宋体"/>
          <w:color w:val="auto"/>
          <w:sz w:val="24"/>
          <w:highlight w:val="none"/>
          <w:lang w:eastAsia="zh-CN"/>
        </w:rPr>
        <w:t>。</w:t>
      </w:r>
    </w:p>
    <w:p w14:paraId="44B44CC5">
      <w:pPr>
        <w:widowControl/>
        <w:spacing w:line="360" w:lineRule="auto"/>
        <w:ind w:firstLine="480" w:firstLineChars="200"/>
        <w:jc w:val="left"/>
        <w:outlineLvl w:val="0"/>
        <w:rPr>
          <w:rFonts w:hint="eastAsia" w:ascii="宋体" w:hAnsi="宋体"/>
          <w:color w:val="auto"/>
          <w:sz w:val="24"/>
          <w:highlight w:val="none"/>
        </w:rPr>
      </w:pPr>
      <w:r>
        <w:rPr>
          <w:rFonts w:hint="eastAsia" w:ascii="宋体" w:hAnsi="宋体"/>
          <w:color w:val="auto"/>
          <w:sz w:val="24"/>
          <w:highlight w:val="none"/>
        </w:rPr>
        <w:t>3、政治历史清楚、品行端正、思想作风正派、无违法犯罪的经历。</w:t>
      </w:r>
    </w:p>
    <w:p w14:paraId="68E3A03B">
      <w:pPr>
        <w:widowControl/>
        <w:spacing w:line="360" w:lineRule="auto"/>
        <w:ind w:firstLine="480" w:firstLineChars="200"/>
        <w:jc w:val="left"/>
        <w:outlineLvl w:val="0"/>
        <w:rPr>
          <w:rFonts w:hint="eastAsia" w:ascii="宋体" w:hAnsi="宋体"/>
          <w:color w:val="auto"/>
          <w:sz w:val="24"/>
          <w:highlight w:val="none"/>
        </w:rPr>
      </w:pPr>
      <w:r>
        <w:rPr>
          <w:rFonts w:hint="eastAsia" w:ascii="宋体" w:hAnsi="宋体"/>
          <w:color w:val="auto"/>
          <w:sz w:val="24"/>
          <w:highlight w:val="none"/>
        </w:rPr>
        <w:t>4、遵纪守法观念强，能严格执行国家法律法规，自觉遵守</w:t>
      </w:r>
      <w:r>
        <w:rPr>
          <w:rFonts w:hint="eastAsia" w:ascii="宋体" w:hAnsi="宋体"/>
          <w:color w:val="auto"/>
          <w:sz w:val="24"/>
          <w:highlight w:val="none"/>
          <w:lang w:val="en-US" w:eastAsia="zh-CN"/>
        </w:rPr>
        <w:t>采购人、中标人</w:t>
      </w:r>
      <w:r>
        <w:rPr>
          <w:rFonts w:hint="eastAsia" w:ascii="宋体" w:hAnsi="宋体"/>
          <w:color w:val="auto"/>
          <w:sz w:val="24"/>
          <w:highlight w:val="none"/>
        </w:rPr>
        <w:t>双方制定的各项规章制度。</w:t>
      </w:r>
    </w:p>
    <w:p w14:paraId="7309FD12">
      <w:pPr>
        <w:widowControl/>
        <w:spacing w:line="360" w:lineRule="auto"/>
        <w:ind w:firstLine="480" w:firstLineChars="200"/>
        <w:jc w:val="left"/>
        <w:outlineLvl w:val="0"/>
        <w:rPr>
          <w:rFonts w:hint="eastAsia" w:ascii="宋体" w:hAnsi="宋体"/>
          <w:color w:val="auto"/>
          <w:sz w:val="24"/>
          <w:highlight w:val="none"/>
        </w:rPr>
      </w:pPr>
      <w:r>
        <w:rPr>
          <w:rFonts w:hint="eastAsia" w:ascii="宋体" w:hAnsi="宋体"/>
          <w:color w:val="auto"/>
          <w:sz w:val="24"/>
          <w:highlight w:val="none"/>
        </w:rPr>
        <w:t>5、招聘要求：</w:t>
      </w:r>
      <w:r>
        <w:rPr>
          <w:rFonts w:hint="eastAsia" w:ascii="宋体" w:hAnsi="宋体"/>
          <w:color w:val="auto"/>
          <w:sz w:val="24"/>
          <w:highlight w:val="none"/>
          <w:lang w:eastAsia="zh-CN"/>
        </w:rPr>
        <w:t>投标人</w:t>
      </w:r>
      <w:r>
        <w:rPr>
          <w:rFonts w:hint="eastAsia" w:ascii="宋体" w:hAnsi="宋体"/>
          <w:color w:val="auto"/>
          <w:sz w:val="24"/>
          <w:highlight w:val="none"/>
        </w:rPr>
        <w:t>需按照合同要求招聘符合条件的人员，</w:t>
      </w:r>
      <w:r>
        <w:rPr>
          <w:rFonts w:hint="eastAsia" w:ascii="宋体" w:hAnsi="宋体"/>
          <w:color w:val="auto"/>
          <w:sz w:val="24"/>
          <w:highlight w:val="none"/>
          <w:lang w:eastAsia="zh-CN"/>
        </w:rPr>
        <w:t>投标人</w:t>
      </w:r>
      <w:r>
        <w:rPr>
          <w:rFonts w:hint="eastAsia" w:ascii="宋体" w:hAnsi="宋体"/>
          <w:color w:val="auto"/>
          <w:sz w:val="24"/>
          <w:highlight w:val="none"/>
        </w:rPr>
        <w:t>拟录用人员需经过</w:t>
      </w:r>
      <w:r>
        <w:rPr>
          <w:rFonts w:hint="eastAsia" w:ascii="宋体" w:hAnsi="宋体"/>
          <w:color w:val="auto"/>
          <w:sz w:val="24"/>
          <w:highlight w:val="none"/>
          <w:lang w:eastAsia="zh-CN"/>
        </w:rPr>
        <w:t>采购人</w:t>
      </w:r>
      <w:r>
        <w:rPr>
          <w:rFonts w:hint="eastAsia" w:ascii="宋体" w:hAnsi="宋体"/>
          <w:color w:val="auto"/>
          <w:sz w:val="24"/>
          <w:highlight w:val="none"/>
        </w:rPr>
        <w:t>审核。</w:t>
      </w:r>
      <w:r>
        <w:rPr>
          <w:rFonts w:hint="eastAsia" w:ascii="宋体" w:hAnsi="宋体"/>
          <w:color w:val="auto"/>
          <w:sz w:val="24"/>
          <w:highlight w:val="none"/>
          <w:lang w:eastAsia="zh-CN"/>
        </w:rPr>
        <w:t>采购人</w:t>
      </w:r>
      <w:r>
        <w:rPr>
          <w:rFonts w:hint="eastAsia" w:ascii="宋体" w:hAnsi="宋体"/>
          <w:color w:val="auto"/>
          <w:sz w:val="24"/>
          <w:highlight w:val="none"/>
        </w:rPr>
        <w:t>审核合格且通过</w:t>
      </w:r>
      <w:r>
        <w:rPr>
          <w:rFonts w:hint="eastAsia" w:ascii="宋体" w:hAnsi="宋体"/>
          <w:color w:val="auto"/>
          <w:sz w:val="24"/>
          <w:highlight w:val="none"/>
          <w:lang w:eastAsia="zh-CN"/>
        </w:rPr>
        <w:t>采购人</w:t>
      </w:r>
      <w:r>
        <w:rPr>
          <w:rFonts w:hint="eastAsia" w:ascii="宋体" w:hAnsi="宋体"/>
          <w:color w:val="auto"/>
          <w:sz w:val="24"/>
          <w:highlight w:val="none"/>
        </w:rPr>
        <w:t>认证后，向</w:t>
      </w:r>
      <w:r>
        <w:rPr>
          <w:rFonts w:hint="eastAsia" w:ascii="宋体" w:hAnsi="宋体"/>
          <w:color w:val="auto"/>
          <w:sz w:val="24"/>
          <w:highlight w:val="none"/>
          <w:lang w:eastAsia="zh-CN"/>
        </w:rPr>
        <w:t>采购人</w:t>
      </w:r>
      <w:r>
        <w:rPr>
          <w:rFonts w:hint="eastAsia" w:ascii="宋体" w:hAnsi="宋体"/>
          <w:color w:val="auto"/>
          <w:sz w:val="24"/>
          <w:highlight w:val="none"/>
        </w:rPr>
        <w:t>提交维序员身份证复印件、指纹，办理备案登记、政审背调或无犯罪记录证明后方开始进场并计算工时。</w:t>
      </w:r>
    </w:p>
    <w:p w14:paraId="54D1F26D">
      <w:pPr>
        <w:widowControl/>
        <w:spacing w:line="360" w:lineRule="auto"/>
        <w:ind w:firstLine="480" w:firstLineChars="200"/>
        <w:jc w:val="left"/>
        <w:outlineLvl w:val="0"/>
        <w:rPr>
          <w:rFonts w:hint="eastAsia" w:ascii="宋体" w:hAnsi="宋体"/>
          <w:color w:val="auto"/>
          <w:sz w:val="24"/>
          <w:highlight w:val="none"/>
        </w:rPr>
      </w:pPr>
      <w:r>
        <w:rPr>
          <w:rFonts w:hint="eastAsia" w:ascii="宋体" w:hAnsi="宋体"/>
          <w:color w:val="auto"/>
          <w:sz w:val="24"/>
          <w:highlight w:val="none"/>
        </w:rPr>
        <w:t>6、</w:t>
      </w:r>
      <w:r>
        <w:rPr>
          <w:rFonts w:hint="eastAsia" w:ascii="宋体" w:hAnsi="宋体"/>
          <w:color w:val="auto"/>
          <w:sz w:val="24"/>
          <w:highlight w:val="none"/>
          <w:lang w:eastAsia="zh-CN"/>
        </w:rPr>
        <w:t>投标人</w:t>
      </w:r>
      <w:r>
        <w:rPr>
          <w:rFonts w:hint="eastAsia" w:ascii="宋体" w:hAnsi="宋体"/>
          <w:color w:val="auto"/>
          <w:sz w:val="24"/>
          <w:highlight w:val="none"/>
        </w:rPr>
        <w:t>应按</w:t>
      </w:r>
      <w:r>
        <w:rPr>
          <w:rFonts w:hint="eastAsia" w:ascii="宋体" w:hAnsi="宋体"/>
          <w:color w:val="auto"/>
          <w:sz w:val="24"/>
          <w:highlight w:val="none"/>
          <w:lang w:eastAsia="zh-CN"/>
        </w:rPr>
        <w:t>采购人</w:t>
      </w:r>
      <w:r>
        <w:rPr>
          <w:rFonts w:hint="eastAsia" w:ascii="宋体" w:hAnsi="宋体"/>
          <w:color w:val="auto"/>
          <w:sz w:val="24"/>
          <w:highlight w:val="none"/>
        </w:rPr>
        <w:t>要求，对服务人员在工作时间统一着装；服务人员应</w:t>
      </w:r>
      <w:r>
        <w:rPr>
          <w:rFonts w:hint="eastAsia" w:ascii="宋体" w:hAnsi="宋体"/>
          <w:color w:val="auto"/>
          <w:sz w:val="24"/>
          <w:highlight w:val="none"/>
          <w:lang w:eastAsia="zh-CN"/>
        </w:rPr>
        <w:t>佩戴</w:t>
      </w:r>
      <w:r>
        <w:rPr>
          <w:rFonts w:hint="eastAsia" w:ascii="宋体" w:hAnsi="宋体"/>
          <w:color w:val="auto"/>
          <w:sz w:val="24"/>
          <w:highlight w:val="none"/>
        </w:rPr>
        <w:t>工牌（带相片）上岗，相关费用由</w:t>
      </w:r>
      <w:r>
        <w:rPr>
          <w:rFonts w:hint="eastAsia" w:ascii="宋体" w:hAnsi="宋体"/>
          <w:color w:val="auto"/>
          <w:sz w:val="24"/>
          <w:highlight w:val="none"/>
          <w:lang w:eastAsia="zh-CN"/>
        </w:rPr>
        <w:t>投标人</w:t>
      </w:r>
      <w:r>
        <w:rPr>
          <w:rFonts w:hint="eastAsia" w:ascii="宋体" w:hAnsi="宋体"/>
          <w:color w:val="auto"/>
          <w:sz w:val="24"/>
          <w:highlight w:val="none"/>
        </w:rPr>
        <w:t>承担。</w:t>
      </w:r>
    </w:p>
    <w:p w14:paraId="44DCE55B">
      <w:pPr>
        <w:widowControl/>
        <w:spacing w:line="360" w:lineRule="auto"/>
        <w:ind w:firstLine="480" w:firstLineChars="200"/>
        <w:jc w:val="left"/>
        <w:rPr>
          <w:rFonts w:hint="eastAsia" w:ascii="宋体" w:hAnsi="宋体"/>
          <w:b/>
          <w:bCs/>
          <w:color w:val="auto"/>
          <w:sz w:val="24"/>
          <w:szCs w:val="24"/>
          <w:highlight w:val="none"/>
        </w:rPr>
      </w:pPr>
      <w:r>
        <w:rPr>
          <w:rFonts w:hint="eastAsia" w:ascii="宋体" w:hAnsi="宋体"/>
          <w:color w:val="auto"/>
          <w:sz w:val="24"/>
          <w:highlight w:val="none"/>
        </w:rPr>
        <w:t>7、</w:t>
      </w:r>
      <w:r>
        <w:rPr>
          <w:rFonts w:hint="eastAsia" w:ascii="宋体" w:hAnsi="宋体"/>
          <w:color w:val="auto"/>
          <w:sz w:val="24"/>
          <w:highlight w:val="none"/>
          <w:lang w:eastAsia="zh-CN"/>
        </w:rPr>
        <w:t>投标人</w:t>
      </w:r>
      <w:r>
        <w:rPr>
          <w:rFonts w:hint="eastAsia" w:ascii="宋体" w:hAnsi="宋体"/>
          <w:color w:val="auto"/>
          <w:sz w:val="24"/>
          <w:highlight w:val="none"/>
        </w:rPr>
        <w:t>应确保服务人员服装整齐、干净、无破损。</w:t>
      </w:r>
      <w:r>
        <w:rPr>
          <w:rFonts w:hint="eastAsia" w:ascii="宋体" w:hAnsi="宋体"/>
          <w:color w:val="auto"/>
          <w:sz w:val="24"/>
          <w:highlight w:val="none"/>
          <w:lang w:eastAsia="zh-CN"/>
        </w:rPr>
        <w:t>投标人</w:t>
      </w:r>
      <w:r>
        <w:rPr>
          <w:rFonts w:hint="eastAsia" w:ascii="宋体" w:hAnsi="宋体"/>
          <w:color w:val="auto"/>
          <w:sz w:val="24"/>
          <w:highlight w:val="none"/>
        </w:rPr>
        <w:t>也应保证服务人员不得在非工作时间穿着印有</w:t>
      </w:r>
      <w:r>
        <w:rPr>
          <w:rFonts w:hint="eastAsia" w:ascii="宋体" w:hAnsi="宋体"/>
          <w:color w:val="auto"/>
          <w:sz w:val="24"/>
          <w:highlight w:val="none"/>
          <w:lang w:eastAsia="zh-CN"/>
        </w:rPr>
        <w:t>采购人</w:t>
      </w:r>
      <w:r>
        <w:rPr>
          <w:rFonts w:hint="eastAsia" w:ascii="宋体" w:hAnsi="宋体"/>
          <w:color w:val="auto"/>
          <w:sz w:val="24"/>
          <w:highlight w:val="none"/>
        </w:rPr>
        <w:t>标识的制服或者以</w:t>
      </w:r>
      <w:r>
        <w:rPr>
          <w:rFonts w:hint="eastAsia" w:ascii="宋体" w:hAnsi="宋体"/>
          <w:color w:val="auto"/>
          <w:sz w:val="24"/>
          <w:highlight w:val="none"/>
          <w:lang w:eastAsia="zh-CN"/>
        </w:rPr>
        <w:t>采购人</w:t>
      </w:r>
      <w:r>
        <w:rPr>
          <w:rFonts w:hint="eastAsia" w:ascii="宋体" w:hAnsi="宋体"/>
          <w:color w:val="auto"/>
          <w:sz w:val="24"/>
          <w:highlight w:val="none"/>
        </w:rPr>
        <w:t>服务人员的名义对外行事。</w:t>
      </w:r>
      <w:r>
        <w:rPr>
          <w:rFonts w:hint="eastAsia" w:ascii="宋体" w:hAnsi="宋体"/>
          <w:b/>
          <w:bCs/>
          <w:color w:val="auto"/>
          <w:sz w:val="24"/>
          <w:szCs w:val="24"/>
          <w:highlight w:val="none"/>
        </w:rPr>
        <w:t>注：服装需要采用</w:t>
      </w:r>
      <w:r>
        <w:rPr>
          <w:rFonts w:hint="eastAsia" w:ascii="宋体" w:hAnsi="宋体"/>
          <w:b/>
          <w:bCs/>
          <w:color w:val="auto"/>
          <w:sz w:val="24"/>
          <w:szCs w:val="24"/>
          <w:highlight w:val="none"/>
          <w:lang w:eastAsia="zh-CN"/>
        </w:rPr>
        <w:t>采购人</w:t>
      </w:r>
      <w:r>
        <w:rPr>
          <w:rFonts w:hint="eastAsia" w:ascii="宋体" w:hAnsi="宋体"/>
          <w:b/>
          <w:bCs/>
          <w:color w:val="auto"/>
          <w:sz w:val="24"/>
          <w:szCs w:val="24"/>
          <w:highlight w:val="none"/>
        </w:rPr>
        <w:t>指定的服装款式。</w:t>
      </w:r>
    </w:p>
    <w:p w14:paraId="2E00F765">
      <w:pPr>
        <w:widowControl/>
        <w:spacing w:line="360" w:lineRule="auto"/>
        <w:ind w:firstLine="482" w:firstLineChars="200"/>
        <w:jc w:val="left"/>
        <w:rPr>
          <w:rFonts w:hint="eastAsia" w:ascii="宋体" w:hAnsi="宋体"/>
          <w:b/>
          <w:bCs/>
          <w:color w:val="auto"/>
          <w:sz w:val="24"/>
          <w:szCs w:val="24"/>
          <w:highlight w:val="none"/>
          <w:lang w:val="en-US" w:eastAsia="zh-CN"/>
        </w:rPr>
      </w:pPr>
      <w:r>
        <w:rPr>
          <w:rFonts w:hint="eastAsia" w:ascii="宋体" w:hAnsi="宋体"/>
          <w:b/>
          <w:bCs/>
          <w:color w:val="auto"/>
          <w:sz w:val="24"/>
          <w:szCs w:val="24"/>
          <w:highlight w:val="none"/>
          <w:lang w:eastAsia="zh-CN"/>
        </w:rPr>
        <w:t>（</w:t>
      </w:r>
      <w:r>
        <w:rPr>
          <w:rFonts w:hint="eastAsia" w:ascii="宋体" w:hAnsi="宋体"/>
          <w:b/>
          <w:bCs/>
          <w:color w:val="auto"/>
          <w:sz w:val="24"/>
          <w:szCs w:val="24"/>
          <w:highlight w:val="none"/>
          <w:lang w:val="en-US" w:eastAsia="zh-CN"/>
        </w:rPr>
        <w:t>三</w:t>
      </w:r>
      <w:r>
        <w:rPr>
          <w:rFonts w:hint="eastAsia" w:ascii="宋体" w:hAnsi="宋体"/>
          <w:b/>
          <w:bCs/>
          <w:color w:val="auto"/>
          <w:sz w:val="24"/>
          <w:szCs w:val="24"/>
          <w:highlight w:val="none"/>
          <w:lang w:eastAsia="zh-CN"/>
        </w:rPr>
        <w:t>）</w:t>
      </w:r>
      <w:r>
        <w:rPr>
          <w:rFonts w:hint="eastAsia" w:ascii="宋体" w:hAnsi="宋体"/>
          <w:b/>
          <w:bCs/>
          <w:color w:val="auto"/>
          <w:sz w:val="24"/>
          <w:szCs w:val="24"/>
          <w:highlight w:val="none"/>
          <w:lang w:val="en-US" w:eastAsia="zh-CN"/>
        </w:rPr>
        <w:t>工作范围;</w:t>
      </w:r>
    </w:p>
    <w:p w14:paraId="038B9D8A">
      <w:pPr>
        <w:widowControl/>
        <w:spacing w:line="360" w:lineRule="auto"/>
        <w:ind w:firstLine="480" w:firstLineChars="200"/>
        <w:jc w:val="left"/>
        <w:outlineLvl w:val="0"/>
        <w:rPr>
          <w:rFonts w:hint="eastAsia" w:ascii="宋体" w:hAnsi="宋体"/>
          <w:color w:val="auto"/>
          <w:sz w:val="24"/>
          <w:highlight w:val="none"/>
        </w:rPr>
      </w:pPr>
      <w:r>
        <w:rPr>
          <w:rFonts w:hint="eastAsia" w:ascii="宋体" w:hAnsi="宋体"/>
          <w:color w:val="auto"/>
          <w:sz w:val="24"/>
          <w:highlight w:val="none"/>
          <w:lang w:val="en-US" w:eastAsia="zh-CN"/>
        </w:rPr>
        <w:t>1、</w:t>
      </w:r>
      <w:r>
        <w:rPr>
          <w:rFonts w:hint="eastAsia" w:ascii="宋体" w:hAnsi="宋体"/>
          <w:color w:val="auto"/>
          <w:sz w:val="24"/>
          <w:highlight w:val="none"/>
        </w:rPr>
        <w:t>负责</w:t>
      </w:r>
      <w:r>
        <w:rPr>
          <w:rFonts w:hint="eastAsia" w:ascii="宋体" w:hAnsi="宋体"/>
          <w:color w:val="auto"/>
          <w:sz w:val="24"/>
          <w:highlight w:val="none"/>
          <w:lang w:eastAsia="zh-CN"/>
        </w:rPr>
        <w:t>采购人</w:t>
      </w:r>
      <w:r>
        <w:rPr>
          <w:rFonts w:hint="eastAsia" w:ascii="宋体" w:hAnsi="宋体"/>
          <w:color w:val="auto"/>
          <w:sz w:val="24"/>
          <w:highlight w:val="none"/>
        </w:rPr>
        <w:t>指定</w:t>
      </w:r>
      <w:r>
        <w:rPr>
          <w:rFonts w:hint="eastAsia" w:ascii="宋体" w:hAnsi="宋体"/>
          <w:color w:val="auto"/>
          <w:sz w:val="24"/>
          <w:highlight w:val="none"/>
          <w:lang w:eastAsia="zh-CN"/>
        </w:rPr>
        <w:t>维序</w:t>
      </w:r>
      <w:r>
        <w:rPr>
          <w:rFonts w:hint="eastAsia" w:ascii="宋体" w:hAnsi="宋体"/>
          <w:color w:val="auto"/>
          <w:sz w:val="24"/>
          <w:highlight w:val="none"/>
        </w:rPr>
        <w:t>服务区域的财产、人身的24小时安全守护。维护服务区域的公共秩序，包括治安安全和消防安全的监视、巡逻。协助公安机关维护本服务区域内的公共秩序；建立正常的巡视制度；认真检查本服务区域内的安全防范设施，发现隐患，立即采取紧急防卫措施，避免损失发生或扩大，并报告</w:t>
      </w:r>
      <w:r>
        <w:rPr>
          <w:rFonts w:hint="eastAsia" w:ascii="宋体" w:hAnsi="宋体"/>
          <w:color w:val="auto"/>
          <w:sz w:val="24"/>
          <w:highlight w:val="none"/>
          <w:lang w:eastAsia="zh-CN"/>
        </w:rPr>
        <w:t>采购人</w:t>
      </w:r>
      <w:r>
        <w:rPr>
          <w:rFonts w:hint="eastAsia" w:ascii="宋体" w:hAnsi="宋体"/>
          <w:color w:val="auto"/>
          <w:sz w:val="24"/>
          <w:highlight w:val="none"/>
        </w:rPr>
        <w:t>，负责协助予以处置。</w:t>
      </w:r>
    </w:p>
    <w:p w14:paraId="506DD3DB">
      <w:pPr>
        <w:widowControl/>
        <w:spacing w:line="360" w:lineRule="auto"/>
        <w:ind w:firstLine="480" w:firstLineChars="200"/>
        <w:jc w:val="left"/>
        <w:outlineLvl w:val="0"/>
        <w:rPr>
          <w:rFonts w:hint="eastAsia" w:ascii="宋体" w:hAnsi="宋体"/>
          <w:color w:val="auto"/>
          <w:sz w:val="24"/>
          <w:highlight w:val="none"/>
        </w:rPr>
      </w:pPr>
      <w:r>
        <w:rPr>
          <w:rFonts w:hint="eastAsia" w:ascii="宋体" w:hAnsi="宋体"/>
          <w:color w:val="auto"/>
          <w:sz w:val="24"/>
          <w:highlight w:val="none"/>
          <w:lang w:val="en-US" w:eastAsia="zh-CN"/>
        </w:rPr>
        <w:t>2、</w:t>
      </w:r>
      <w:r>
        <w:rPr>
          <w:rFonts w:hint="eastAsia" w:ascii="宋体" w:hAnsi="宋体"/>
          <w:color w:val="auto"/>
          <w:sz w:val="24"/>
          <w:highlight w:val="none"/>
        </w:rPr>
        <w:t>交通与车辆停放秩序的管理。负责维持疏导本服务区域内的交通秩序，禁止车辆乱停乱放；巡查地面车辆停放情况，发现可疑问题及时采取措施，并通知车主和</w:t>
      </w:r>
      <w:r>
        <w:rPr>
          <w:rFonts w:hint="eastAsia" w:ascii="宋体" w:hAnsi="宋体"/>
          <w:color w:val="auto"/>
          <w:sz w:val="24"/>
          <w:highlight w:val="none"/>
          <w:lang w:eastAsia="zh-CN"/>
        </w:rPr>
        <w:t>采购人</w:t>
      </w:r>
      <w:r>
        <w:rPr>
          <w:rFonts w:hint="eastAsia" w:ascii="宋体" w:hAnsi="宋体"/>
          <w:color w:val="auto"/>
          <w:sz w:val="24"/>
          <w:highlight w:val="none"/>
        </w:rPr>
        <w:t>工作人员。</w:t>
      </w:r>
    </w:p>
    <w:p w14:paraId="778EFB2E">
      <w:pPr>
        <w:widowControl/>
        <w:spacing w:line="360" w:lineRule="auto"/>
        <w:ind w:firstLine="480" w:firstLineChars="200"/>
        <w:jc w:val="left"/>
        <w:outlineLvl w:val="0"/>
        <w:rPr>
          <w:rFonts w:hint="eastAsia" w:ascii="宋体" w:hAnsi="宋体"/>
          <w:color w:val="auto"/>
          <w:sz w:val="24"/>
          <w:highlight w:val="none"/>
        </w:rPr>
      </w:pPr>
      <w:r>
        <w:rPr>
          <w:rFonts w:hint="eastAsia" w:ascii="宋体" w:hAnsi="宋体"/>
          <w:color w:val="auto"/>
          <w:sz w:val="24"/>
          <w:highlight w:val="none"/>
          <w:lang w:val="en-US" w:eastAsia="zh-CN"/>
        </w:rPr>
        <w:t>3、</w:t>
      </w:r>
      <w:r>
        <w:rPr>
          <w:rFonts w:hint="eastAsia" w:ascii="宋体" w:hAnsi="宋体"/>
          <w:color w:val="auto"/>
          <w:sz w:val="24"/>
          <w:highlight w:val="none"/>
        </w:rPr>
        <w:t>本服务区域内的各种设施设备及其他物品的24小时看护。每班在交接班时必须严格依照</w:t>
      </w:r>
      <w:r>
        <w:rPr>
          <w:rFonts w:hint="eastAsia" w:ascii="宋体" w:hAnsi="宋体"/>
          <w:color w:val="auto"/>
          <w:sz w:val="24"/>
          <w:highlight w:val="none"/>
          <w:lang w:eastAsia="zh-CN"/>
        </w:rPr>
        <w:t>采购人</w:t>
      </w:r>
      <w:r>
        <w:rPr>
          <w:rFonts w:hint="eastAsia" w:ascii="宋体" w:hAnsi="宋体"/>
          <w:color w:val="auto"/>
          <w:sz w:val="24"/>
          <w:highlight w:val="none"/>
        </w:rPr>
        <w:t>提供的《设备设施及物品清单》进行清点、交接。如</w:t>
      </w:r>
      <w:r>
        <w:rPr>
          <w:rFonts w:hint="eastAsia" w:ascii="宋体" w:hAnsi="宋体"/>
          <w:color w:val="auto"/>
          <w:sz w:val="24"/>
          <w:highlight w:val="none"/>
          <w:lang w:eastAsia="zh-CN"/>
        </w:rPr>
        <w:t>维序</w:t>
      </w:r>
      <w:r>
        <w:rPr>
          <w:rFonts w:hint="eastAsia" w:ascii="宋体" w:hAnsi="宋体"/>
          <w:color w:val="auto"/>
          <w:sz w:val="24"/>
          <w:highlight w:val="none"/>
        </w:rPr>
        <w:t>发现损坏、丢失，应立即报告上级领导及</w:t>
      </w:r>
      <w:r>
        <w:rPr>
          <w:rFonts w:hint="eastAsia" w:ascii="宋体" w:hAnsi="宋体"/>
          <w:color w:val="auto"/>
          <w:sz w:val="24"/>
          <w:highlight w:val="none"/>
          <w:lang w:eastAsia="zh-CN"/>
        </w:rPr>
        <w:t>采购人</w:t>
      </w:r>
      <w:r>
        <w:rPr>
          <w:rFonts w:hint="eastAsia" w:ascii="宋体" w:hAnsi="宋体"/>
          <w:color w:val="auto"/>
          <w:sz w:val="24"/>
          <w:highlight w:val="none"/>
        </w:rPr>
        <w:t>主管人员。对于搬运出本服务区域内的物品必须严格按照《物品搬运管理规定》操作。</w:t>
      </w:r>
    </w:p>
    <w:p w14:paraId="112C27A8">
      <w:pPr>
        <w:widowControl/>
        <w:spacing w:line="360" w:lineRule="auto"/>
        <w:ind w:firstLine="482" w:firstLineChars="200"/>
        <w:jc w:val="left"/>
        <w:rPr>
          <w:rFonts w:hint="eastAsia" w:ascii="宋体" w:hAnsi="宋体"/>
          <w:b/>
          <w:bCs/>
          <w:color w:val="auto"/>
          <w:sz w:val="24"/>
          <w:szCs w:val="24"/>
          <w:highlight w:val="none"/>
          <w:lang w:val="en-US" w:eastAsia="zh-CN"/>
        </w:rPr>
      </w:pPr>
      <w:r>
        <w:rPr>
          <w:rFonts w:hint="eastAsia" w:ascii="宋体" w:hAnsi="宋体"/>
          <w:b/>
          <w:bCs/>
          <w:color w:val="auto"/>
          <w:sz w:val="24"/>
          <w:szCs w:val="24"/>
          <w:highlight w:val="none"/>
          <w:lang w:val="en-US" w:eastAsia="zh-CN"/>
        </w:rPr>
        <w:t>(四）工作内容</w:t>
      </w:r>
    </w:p>
    <w:p w14:paraId="29B18D0E">
      <w:pPr>
        <w:widowControl/>
        <w:spacing w:line="360" w:lineRule="auto"/>
        <w:ind w:firstLine="480" w:firstLineChars="200"/>
        <w:jc w:val="left"/>
        <w:outlineLvl w:val="0"/>
        <w:rPr>
          <w:rFonts w:hint="eastAsia" w:ascii="宋体" w:hAnsi="宋体" w:eastAsia="宋体"/>
          <w:color w:val="auto"/>
          <w:sz w:val="24"/>
          <w:highlight w:val="none"/>
          <w:lang w:eastAsia="zh-CN"/>
        </w:rPr>
      </w:pPr>
      <w:r>
        <w:rPr>
          <w:rFonts w:hint="eastAsia" w:ascii="宋体" w:hAnsi="宋体"/>
          <w:color w:val="auto"/>
          <w:sz w:val="24"/>
          <w:highlight w:val="none"/>
          <w:lang w:val="en-US" w:eastAsia="zh-CN"/>
        </w:rPr>
        <w:t>1、</w:t>
      </w:r>
      <w:r>
        <w:rPr>
          <w:rFonts w:hint="eastAsia" w:ascii="宋体" w:hAnsi="宋体"/>
          <w:color w:val="auto"/>
          <w:sz w:val="24"/>
          <w:highlight w:val="none"/>
        </w:rPr>
        <w:t>在</w:t>
      </w:r>
      <w:r>
        <w:rPr>
          <w:rFonts w:hint="eastAsia" w:ascii="宋体" w:hAnsi="宋体"/>
          <w:color w:val="auto"/>
          <w:sz w:val="24"/>
          <w:highlight w:val="none"/>
          <w:lang w:eastAsia="zh-CN"/>
        </w:rPr>
        <w:t>采购人</w:t>
      </w:r>
      <w:r>
        <w:rPr>
          <w:rFonts w:hint="eastAsia" w:ascii="宋体" w:hAnsi="宋体"/>
          <w:color w:val="auto"/>
          <w:sz w:val="24"/>
          <w:highlight w:val="none"/>
        </w:rPr>
        <w:t>的指导下，负责</w:t>
      </w:r>
      <w:r>
        <w:rPr>
          <w:rFonts w:hint="eastAsia" w:ascii="宋体" w:hAnsi="宋体"/>
          <w:color w:val="auto"/>
          <w:sz w:val="24"/>
          <w:highlight w:val="none"/>
          <w:lang w:eastAsia="zh-CN"/>
        </w:rPr>
        <w:t>采购人</w:t>
      </w:r>
      <w:r>
        <w:rPr>
          <w:rFonts w:hint="eastAsia" w:ascii="宋体" w:hAnsi="宋体"/>
          <w:color w:val="auto"/>
          <w:sz w:val="24"/>
          <w:highlight w:val="none"/>
        </w:rPr>
        <w:t>所管物业项目内客户、顾客及其他人员的安全保卫工作；按使用功能不同，实施相应的安全保卫措施以维护管理区域内的治安，保证各功能区域正常的秩序；预防抢劫、偷盗等刑事案件的发生；预防发生重大灾害伤亡事故</w:t>
      </w:r>
      <w:r>
        <w:rPr>
          <w:rFonts w:hint="eastAsia" w:ascii="宋体" w:hAnsi="宋体"/>
          <w:color w:val="auto"/>
          <w:sz w:val="24"/>
          <w:highlight w:val="none"/>
          <w:lang w:eastAsia="zh-CN"/>
        </w:rPr>
        <w:t>。</w:t>
      </w:r>
    </w:p>
    <w:p w14:paraId="056880C2">
      <w:pPr>
        <w:widowControl/>
        <w:spacing w:line="360" w:lineRule="auto"/>
        <w:ind w:firstLine="480" w:firstLineChars="200"/>
        <w:jc w:val="left"/>
        <w:outlineLvl w:val="0"/>
        <w:rPr>
          <w:rFonts w:hint="eastAsia" w:ascii="宋体" w:hAnsi="宋体" w:eastAsia="宋体"/>
          <w:color w:val="auto"/>
          <w:sz w:val="24"/>
          <w:highlight w:val="none"/>
          <w:lang w:eastAsia="zh-CN"/>
        </w:rPr>
      </w:pPr>
      <w:r>
        <w:rPr>
          <w:rFonts w:hint="eastAsia" w:ascii="宋体" w:hAnsi="宋体"/>
          <w:color w:val="auto"/>
          <w:sz w:val="24"/>
          <w:highlight w:val="none"/>
          <w:lang w:val="en-US" w:eastAsia="zh-CN"/>
        </w:rPr>
        <w:t>2、</w:t>
      </w:r>
      <w:r>
        <w:rPr>
          <w:rFonts w:hint="eastAsia" w:ascii="宋体" w:hAnsi="宋体"/>
          <w:color w:val="auto"/>
          <w:sz w:val="24"/>
          <w:highlight w:val="none"/>
        </w:rPr>
        <w:t>在</w:t>
      </w:r>
      <w:r>
        <w:rPr>
          <w:rFonts w:hint="eastAsia" w:ascii="宋体" w:hAnsi="宋体"/>
          <w:color w:val="auto"/>
          <w:sz w:val="24"/>
          <w:highlight w:val="none"/>
          <w:lang w:eastAsia="zh-CN"/>
        </w:rPr>
        <w:t>采购人</w:t>
      </w:r>
      <w:r>
        <w:rPr>
          <w:rFonts w:hint="eastAsia" w:ascii="宋体" w:hAnsi="宋体"/>
          <w:color w:val="auto"/>
          <w:sz w:val="24"/>
          <w:highlight w:val="none"/>
        </w:rPr>
        <w:t>的指导下，负责管理区域内的消防安全管理工作</w:t>
      </w:r>
      <w:r>
        <w:rPr>
          <w:rFonts w:hint="eastAsia" w:ascii="宋体" w:hAnsi="宋体"/>
          <w:color w:val="auto"/>
          <w:sz w:val="24"/>
          <w:highlight w:val="none"/>
          <w:lang w:eastAsia="zh-CN"/>
        </w:rPr>
        <w:t>。</w:t>
      </w:r>
    </w:p>
    <w:p w14:paraId="19BAADB0">
      <w:pPr>
        <w:widowControl/>
        <w:spacing w:line="360" w:lineRule="auto"/>
        <w:ind w:firstLine="480" w:firstLineChars="200"/>
        <w:jc w:val="left"/>
        <w:outlineLvl w:val="0"/>
        <w:rPr>
          <w:rFonts w:hint="eastAsia" w:ascii="宋体" w:hAnsi="宋体" w:eastAsia="宋体"/>
          <w:color w:val="auto"/>
          <w:sz w:val="24"/>
          <w:highlight w:val="none"/>
          <w:lang w:eastAsia="zh-CN"/>
        </w:rPr>
      </w:pPr>
      <w:r>
        <w:rPr>
          <w:rFonts w:hint="eastAsia" w:ascii="宋体" w:hAnsi="宋体"/>
          <w:color w:val="auto"/>
          <w:sz w:val="24"/>
          <w:highlight w:val="none"/>
          <w:lang w:val="en-US" w:eastAsia="zh-CN"/>
        </w:rPr>
        <w:t>3、</w:t>
      </w:r>
      <w:r>
        <w:rPr>
          <w:rFonts w:hint="eastAsia" w:ascii="宋体" w:hAnsi="宋体"/>
          <w:color w:val="auto"/>
          <w:sz w:val="24"/>
          <w:highlight w:val="none"/>
        </w:rPr>
        <w:t>在</w:t>
      </w:r>
      <w:r>
        <w:rPr>
          <w:rFonts w:hint="eastAsia" w:ascii="宋体" w:hAnsi="宋体"/>
          <w:color w:val="auto"/>
          <w:sz w:val="24"/>
          <w:highlight w:val="none"/>
          <w:lang w:eastAsia="zh-CN"/>
        </w:rPr>
        <w:t>采购人</w:t>
      </w:r>
      <w:r>
        <w:rPr>
          <w:rFonts w:hint="eastAsia" w:ascii="宋体" w:hAnsi="宋体"/>
          <w:color w:val="auto"/>
          <w:sz w:val="24"/>
          <w:highlight w:val="none"/>
        </w:rPr>
        <w:t>的指导下，负责管理区域外围交通疏导工作；指挥车辆按规定进出管理区域；指导车辆按规定停放在地下停车场或地面停车位；对运送货物车辆的停放、装卸货物等实施管理；对非机动车辆停放负责管理</w:t>
      </w:r>
      <w:r>
        <w:rPr>
          <w:rFonts w:hint="eastAsia" w:ascii="宋体" w:hAnsi="宋体"/>
          <w:color w:val="auto"/>
          <w:sz w:val="24"/>
          <w:highlight w:val="none"/>
          <w:lang w:eastAsia="zh-CN"/>
        </w:rPr>
        <w:t>。</w:t>
      </w:r>
    </w:p>
    <w:p w14:paraId="2EB6FF7B">
      <w:pPr>
        <w:widowControl/>
        <w:spacing w:line="360" w:lineRule="auto"/>
        <w:ind w:firstLine="480" w:firstLineChars="200"/>
        <w:jc w:val="left"/>
        <w:outlineLvl w:val="0"/>
        <w:rPr>
          <w:rFonts w:hint="eastAsia" w:ascii="宋体" w:hAnsi="宋体" w:eastAsia="宋体"/>
          <w:color w:val="auto"/>
          <w:sz w:val="24"/>
          <w:highlight w:val="none"/>
          <w:lang w:eastAsia="zh-CN"/>
        </w:rPr>
      </w:pPr>
      <w:r>
        <w:rPr>
          <w:rFonts w:hint="eastAsia" w:ascii="宋体" w:hAnsi="宋体"/>
          <w:color w:val="auto"/>
          <w:sz w:val="24"/>
          <w:highlight w:val="none"/>
          <w:lang w:val="en-US" w:eastAsia="zh-CN"/>
        </w:rPr>
        <w:t>4</w:t>
      </w:r>
      <w:r>
        <w:rPr>
          <w:rFonts w:hint="eastAsia" w:ascii="宋体" w:hAnsi="宋体"/>
          <w:color w:val="auto"/>
          <w:sz w:val="24"/>
          <w:highlight w:val="none"/>
          <w:lang w:eastAsia="zh-CN"/>
        </w:rPr>
        <w:t>、</w:t>
      </w:r>
      <w:r>
        <w:rPr>
          <w:rFonts w:hint="eastAsia" w:ascii="宋体" w:hAnsi="宋体"/>
          <w:color w:val="auto"/>
          <w:sz w:val="24"/>
          <w:highlight w:val="none"/>
        </w:rPr>
        <w:t>在</w:t>
      </w:r>
      <w:r>
        <w:rPr>
          <w:rFonts w:hint="eastAsia" w:ascii="宋体" w:hAnsi="宋体"/>
          <w:color w:val="auto"/>
          <w:sz w:val="24"/>
          <w:highlight w:val="none"/>
          <w:lang w:eastAsia="zh-CN"/>
        </w:rPr>
        <w:t>采购人</w:t>
      </w:r>
      <w:r>
        <w:rPr>
          <w:rFonts w:hint="eastAsia" w:ascii="宋体" w:hAnsi="宋体"/>
          <w:color w:val="auto"/>
          <w:sz w:val="24"/>
          <w:highlight w:val="none"/>
        </w:rPr>
        <w:t>的指导下，对管理区域外围的治安状况、环境秩序负责</w:t>
      </w:r>
      <w:r>
        <w:rPr>
          <w:rFonts w:hint="eastAsia" w:ascii="宋体" w:hAnsi="宋体"/>
          <w:color w:val="auto"/>
          <w:sz w:val="24"/>
          <w:highlight w:val="none"/>
          <w:lang w:eastAsia="zh-CN"/>
        </w:rPr>
        <w:t>。</w:t>
      </w:r>
    </w:p>
    <w:p w14:paraId="3592F97B">
      <w:pPr>
        <w:widowControl/>
        <w:spacing w:line="360" w:lineRule="auto"/>
        <w:ind w:firstLine="480" w:firstLineChars="200"/>
        <w:jc w:val="left"/>
        <w:outlineLvl w:val="0"/>
        <w:rPr>
          <w:rFonts w:hint="eastAsia" w:ascii="宋体" w:hAnsi="宋体"/>
          <w:color w:val="auto"/>
          <w:sz w:val="24"/>
          <w:highlight w:val="none"/>
          <w:lang w:eastAsia="zh-CN"/>
        </w:rPr>
      </w:pPr>
      <w:r>
        <w:rPr>
          <w:rFonts w:hint="eastAsia" w:ascii="宋体" w:hAnsi="宋体"/>
          <w:color w:val="auto"/>
          <w:sz w:val="24"/>
          <w:highlight w:val="none"/>
          <w:lang w:val="en-US" w:eastAsia="zh-CN"/>
        </w:rPr>
        <w:t>5、</w:t>
      </w:r>
      <w:r>
        <w:rPr>
          <w:rFonts w:hint="eastAsia" w:ascii="宋体" w:hAnsi="宋体"/>
          <w:color w:val="auto"/>
          <w:sz w:val="24"/>
          <w:highlight w:val="none"/>
        </w:rPr>
        <w:t>在</w:t>
      </w:r>
      <w:r>
        <w:rPr>
          <w:rFonts w:hint="eastAsia" w:ascii="宋体" w:hAnsi="宋体"/>
          <w:color w:val="auto"/>
          <w:sz w:val="24"/>
          <w:highlight w:val="none"/>
          <w:lang w:eastAsia="zh-CN"/>
        </w:rPr>
        <w:t>采购人</w:t>
      </w:r>
      <w:r>
        <w:rPr>
          <w:rFonts w:hint="eastAsia" w:ascii="宋体" w:hAnsi="宋体"/>
          <w:color w:val="auto"/>
          <w:sz w:val="24"/>
          <w:highlight w:val="none"/>
        </w:rPr>
        <w:t>的指导下，清理在外围兜售商品、盗版软件及黑车、黑摩的等无照商贩及闲杂人员；对在管理区域周围坐卧的顾客、行人、等负责劝阻疏导</w:t>
      </w:r>
      <w:r>
        <w:rPr>
          <w:rFonts w:hint="eastAsia" w:ascii="宋体" w:hAnsi="宋体"/>
          <w:color w:val="auto"/>
          <w:sz w:val="24"/>
          <w:highlight w:val="none"/>
          <w:lang w:eastAsia="zh-CN"/>
        </w:rPr>
        <w:t>。</w:t>
      </w:r>
    </w:p>
    <w:p w14:paraId="7FFE5A2D">
      <w:pPr>
        <w:widowControl/>
        <w:spacing w:line="360" w:lineRule="auto"/>
        <w:ind w:firstLine="480" w:firstLineChars="200"/>
        <w:jc w:val="left"/>
        <w:rPr>
          <w:rFonts w:hint="eastAsia" w:ascii="宋体" w:hAnsi="宋体"/>
          <w:color w:val="auto"/>
          <w:sz w:val="24"/>
          <w:highlight w:val="none"/>
        </w:rPr>
      </w:pPr>
      <w:r>
        <w:rPr>
          <w:rFonts w:hint="eastAsia" w:ascii="宋体" w:hAnsi="宋体"/>
          <w:color w:val="auto"/>
          <w:sz w:val="24"/>
          <w:highlight w:val="none"/>
          <w:lang w:val="en-US" w:eastAsia="zh-CN"/>
        </w:rPr>
        <w:t>6、</w:t>
      </w:r>
      <w:r>
        <w:rPr>
          <w:rFonts w:hint="eastAsia" w:ascii="宋体" w:hAnsi="宋体"/>
          <w:color w:val="auto"/>
          <w:sz w:val="24"/>
          <w:highlight w:val="none"/>
        </w:rPr>
        <w:t>完成</w:t>
      </w:r>
      <w:r>
        <w:rPr>
          <w:rFonts w:hint="eastAsia" w:ascii="宋体" w:hAnsi="宋体"/>
          <w:color w:val="auto"/>
          <w:sz w:val="24"/>
          <w:highlight w:val="none"/>
          <w:lang w:eastAsia="zh-CN"/>
        </w:rPr>
        <w:t>采购人</w:t>
      </w:r>
      <w:r>
        <w:rPr>
          <w:rFonts w:hint="eastAsia" w:ascii="宋体" w:hAnsi="宋体"/>
          <w:color w:val="auto"/>
          <w:sz w:val="24"/>
          <w:highlight w:val="none"/>
        </w:rPr>
        <w:t>指派的其他临时工作。</w:t>
      </w:r>
    </w:p>
    <w:p w14:paraId="7EF6E870">
      <w:pPr>
        <w:widowControl/>
        <w:spacing w:line="360" w:lineRule="auto"/>
        <w:ind w:firstLine="482" w:firstLineChars="200"/>
        <w:jc w:val="left"/>
        <w:rPr>
          <w:rFonts w:hint="eastAsia" w:ascii="宋体" w:hAnsi="宋体" w:eastAsia="宋体" w:cs="Times New Roman"/>
          <w:b/>
          <w:bCs/>
          <w:color w:val="auto"/>
          <w:sz w:val="24"/>
          <w:szCs w:val="24"/>
          <w:highlight w:val="none"/>
          <w:lang w:val="en-US" w:eastAsia="zh-CN"/>
        </w:rPr>
      </w:pPr>
      <w:r>
        <w:rPr>
          <w:rFonts w:hint="eastAsia" w:ascii="宋体" w:hAnsi="宋体" w:eastAsia="宋体"/>
          <w:b/>
          <w:bCs/>
          <w:color w:val="auto"/>
          <w:sz w:val="24"/>
          <w:szCs w:val="24"/>
          <w:highlight w:val="none"/>
          <w:lang w:val="en-US" w:eastAsia="zh-CN"/>
        </w:rPr>
        <w:t>（五）服务质量要求</w:t>
      </w:r>
      <w:r>
        <w:rPr>
          <w:rFonts w:hint="eastAsia" w:ascii="宋体" w:hAnsi="宋体" w:eastAsia="宋体" w:cs="Times New Roman"/>
          <w:b/>
          <w:bCs/>
          <w:color w:val="auto"/>
          <w:sz w:val="24"/>
          <w:szCs w:val="24"/>
          <w:highlight w:val="none"/>
          <w:lang w:val="en-US" w:eastAsia="zh-CN"/>
        </w:rPr>
        <w:t>（维序服务中标人管理暂行办法）</w:t>
      </w:r>
    </w:p>
    <w:p w14:paraId="0E33A78E">
      <w:pPr>
        <w:widowControl/>
        <w:spacing w:line="360" w:lineRule="auto"/>
        <w:ind w:firstLine="480" w:firstLineChars="200"/>
        <w:jc w:val="left"/>
        <w:outlineLvl w:val="0"/>
        <w:rPr>
          <w:rFonts w:hint="eastAsia" w:ascii="宋体" w:hAnsi="宋体" w:eastAsia="宋体" w:cs="Times New Roman"/>
          <w:color w:val="auto"/>
          <w:sz w:val="24"/>
          <w:highlight w:val="none"/>
        </w:rPr>
      </w:pPr>
      <w:r>
        <w:rPr>
          <w:rFonts w:hint="eastAsia" w:ascii="宋体" w:hAnsi="宋体" w:eastAsia="宋体" w:cs="Times New Roman"/>
          <w:color w:val="auto"/>
          <w:sz w:val="24"/>
          <w:highlight w:val="none"/>
          <w:lang w:val="en-US" w:eastAsia="zh-CN"/>
        </w:rPr>
        <w:t>1、</w:t>
      </w:r>
      <w:r>
        <w:rPr>
          <w:rFonts w:hint="eastAsia" w:ascii="宋体" w:hAnsi="宋体" w:eastAsia="宋体" w:cs="Times New Roman"/>
          <w:color w:val="auto"/>
          <w:sz w:val="24"/>
          <w:highlight w:val="none"/>
        </w:rPr>
        <w:t>为规范</w:t>
      </w:r>
      <w:r>
        <w:rPr>
          <w:rFonts w:hint="eastAsia" w:ascii="宋体" w:hAnsi="宋体" w:eastAsia="宋体" w:cs="Times New Roman"/>
          <w:color w:val="auto"/>
          <w:sz w:val="24"/>
          <w:highlight w:val="none"/>
          <w:lang w:eastAsia="zh-CN"/>
        </w:rPr>
        <w:t>维序</w:t>
      </w:r>
      <w:r>
        <w:rPr>
          <w:rFonts w:hint="eastAsia" w:ascii="宋体" w:hAnsi="宋体" w:eastAsia="宋体" w:cs="Times New Roman"/>
          <w:color w:val="auto"/>
          <w:sz w:val="24"/>
          <w:highlight w:val="none"/>
        </w:rPr>
        <w:t>服务</w:t>
      </w:r>
      <w:r>
        <w:rPr>
          <w:rFonts w:hint="eastAsia" w:ascii="宋体" w:hAnsi="宋体" w:eastAsia="宋体" w:cs="Times New Roman"/>
          <w:color w:val="auto"/>
          <w:sz w:val="24"/>
          <w:highlight w:val="none"/>
          <w:lang w:eastAsia="zh-CN"/>
        </w:rPr>
        <w:t>中标人</w:t>
      </w:r>
      <w:r>
        <w:rPr>
          <w:rFonts w:hint="eastAsia" w:ascii="宋体" w:hAnsi="宋体" w:eastAsia="宋体" w:cs="Times New Roman"/>
          <w:color w:val="auto"/>
          <w:sz w:val="24"/>
          <w:highlight w:val="none"/>
        </w:rPr>
        <w:t>（以下简称</w:t>
      </w:r>
      <w:r>
        <w:rPr>
          <w:rFonts w:hint="eastAsia" w:ascii="宋体" w:hAnsi="宋体" w:eastAsia="宋体" w:cs="Times New Roman"/>
          <w:color w:val="auto"/>
          <w:sz w:val="24"/>
          <w:highlight w:val="none"/>
          <w:lang w:eastAsia="zh-CN"/>
        </w:rPr>
        <w:t>中标人</w:t>
      </w:r>
      <w:r>
        <w:rPr>
          <w:rFonts w:hint="eastAsia" w:ascii="宋体" w:hAnsi="宋体" w:eastAsia="宋体" w:cs="Times New Roman"/>
          <w:color w:val="auto"/>
          <w:sz w:val="24"/>
          <w:highlight w:val="none"/>
        </w:rPr>
        <w:t>）服务，提升</w:t>
      </w:r>
      <w:r>
        <w:rPr>
          <w:rFonts w:hint="eastAsia" w:ascii="宋体" w:hAnsi="宋体" w:eastAsia="宋体" w:cs="Times New Roman"/>
          <w:color w:val="auto"/>
          <w:sz w:val="24"/>
          <w:highlight w:val="none"/>
          <w:lang w:eastAsia="zh-CN"/>
        </w:rPr>
        <w:t>服务</w:t>
      </w:r>
      <w:r>
        <w:rPr>
          <w:rFonts w:hint="eastAsia" w:ascii="宋体" w:hAnsi="宋体" w:eastAsia="宋体" w:cs="Times New Roman"/>
          <w:color w:val="auto"/>
          <w:sz w:val="24"/>
          <w:highlight w:val="none"/>
        </w:rPr>
        <w:t>的整体水平，特制定本办法。</w:t>
      </w:r>
    </w:p>
    <w:p w14:paraId="16D17AC8">
      <w:pPr>
        <w:widowControl/>
        <w:spacing w:line="360" w:lineRule="auto"/>
        <w:ind w:firstLine="480" w:firstLineChars="200"/>
        <w:jc w:val="left"/>
        <w:outlineLvl w:val="0"/>
        <w:rPr>
          <w:rFonts w:hint="eastAsia" w:ascii="宋体" w:hAnsi="宋体" w:eastAsia="宋体" w:cs="Times New Roman"/>
          <w:color w:val="auto"/>
          <w:sz w:val="24"/>
          <w:highlight w:val="none"/>
        </w:rPr>
      </w:pPr>
      <w:r>
        <w:rPr>
          <w:rFonts w:hint="eastAsia" w:ascii="宋体" w:hAnsi="宋体" w:eastAsia="宋体" w:cs="Times New Roman"/>
          <w:color w:val="auto"/>
          <w:sz w:val="24"/>
          <w:highlight w:val="none"/>
          <w:lang w:val="en-US" w:eastAsia="zh-CN"/>
        </w:rPr>
        <w:t>2、</w:t>
      </w:r>
      <w:r>
        <w:rPr>
          <w:rFonts w:hint="eastAsia" w:ascii="宋体" w:hAnsi="宋体" w:eastAsia="宋体" w:cs="Times New Roman"/>
          <w:color w:val="auto"/>
          <w:sz w:val="24"/>
          <w:highlight w:val="none"/>
        </w:rPr>
        <w:t>对承包范围内的工作效果和标准、工作纪律、仪容仪表、遵守</w:t>
      </w:r>
      <w:r>
        <w:rPr>
          <w:rFonts w:hint="eastAsia" w:ascii="宋体" w:hAnsi="宋体" w:eastAsia="宋体" w:cs="Times New Roman"/>
          <w:color w:val="auto"/>
          <w:sz w:val="24"/>
          <w:highlight w:val="none"/>
          <w:lang w:eastAsia="zh-CN"/>
        </w:rPr>
        <w:t>公司</w:t>
      </w:r>
      <w:r>
        <w:rPr>
          <w:rFonts w:hint="eastAsia" w:ascii="宋体" w:hAnsi="宋体" w:eastAsia="宋体" w:cs="Times New Roman"/>
          <w:color w:val="auto"/>
          <w:sz w:val="24"/>
          <w:highlight w:val="none"/>
        </w:rPr>
        <w:t>各项管理规定情况等进行综合评价，并将评价结果作为向</w:t>
      </w:r>
      <w:r>
        <w:rPr>
          <w:rFonts w:hint="eastAsia" w:ascii="宋体" w:hAnsi="宋体" w:eastAsia="宋体" w:cs="Times New Roman"/>
          <w:color w:val="auto"/>
          <w:sz w:val="24"/>
          <w:highlight w:val="none"/>
          <w:lang w:eastAsia="zh-CN"/>
        </w:rPr>
        <w:t>中标人</w:t>
      </w:r>
      <w:r>
        <w:rPr>
          <w:rFonts w:hint="eastAsia" w:ascii="宋体" w:hAnsi="宋体" w:eastAsia="宋体" w:cs="Times New Roman"/>
          <w:color w:val="auto"/>
          <w:sz w:val="24"/>
          <w:highlight w:val="none"/>
        </w:rPr>
        <w:t>支付服务费用的依据之一。</w:t>
      </w:r>
    </w:p>
    <w:p w14:paraId="48F096E4">
      <w:pPr>
        <w:widowControl/>
        <w:spacing w:line="360" w:lineRule="auto"/>
        <w:ind w:firstLine="482" w:firstLineChars="200"/>
        <w:jc w:val="left"/>
        <w:rPr>
          <w:rFonts w:hint="eastAsia" w:ascii="宋体" w:hAnsi="宋体"/>
          <w:b/>
          <w:bCs/>
          <w:color w:val="auto"/>
          <w:sz w:val="24"/>
          <w:szCs w:val="24"/>
          <w:highlight w:val="none"/>
          <w:lang w:val="en-US" w:eastAsia="zh-CN"/>
        </w:rPr>
      </w:pPr>
      <w:r>
        <w:rPr>
          <w:rFonts w:hint="eastAsia" w:ascii="宋体" w:hAnsi="宋体"/>
          <w:b/>
          <w:bCs/>
          <w:color w:val="auto"/>
          <w:sz w:val="24"/>
          <w:szCs w:val="24"/>
          <w:highlight w:val="none"/>
          <w:lang w:val="en-US" w:eastAsia="zh-CN"/>
        </w:rPr>
        <w:t>（六）评价办法</w:t>
      </w:r>
    </w:p>
    <w:p w14:paraId="6DB12CE5">
      <w:pPr>
        <w:widowControl/>
        <w:spacing w:line="360" w:lineRule="auto"/>
        <w:ind w:firstLine="480" w:firstLineChars="200"/>
        <w:jc w:val="left"/>
        <w:outlineLvl w:val="0"/>
        <w:rPr>
          <w:rFonts w:hint="eastAsia" w:ascii="宋体" w:hAnsi="宋体" w:eastAsia="宋体" w:cs="Times New Roman"/>
          <w:color w:val="auto"/>
          <w:sz w:val="24"/>
          <w:highlight w:val="none"/>
        </w:rPr>
      </w:pPr>
      <w:r>
        <w:rPr>
          <w:rFonts w:hint="eastAsia" w:ascii="宋体" w:hAnsi="宋体" w:eastAsia="宋体" w:cs="Times New Roman"/>
          <w:color w:val="auto"/>
          <w:sz w:val="24"/>
          <w:highlight w:val="none"/>
          <w:lang w:val="en-US" w:eastAsia="zh-CN"/>
        </w:rPr>
        <w:t>1、</w:t>
      </w:r>
      <w:r>
        <w:rPr>
          <w:rFonts w:hint="eastAsia" w:ascii="宋体" w:hAnsi="宋体" w:eastAsia="宋体" w:cs="Times New Roman"/>
          <w:color w:val="auto"/>
          <w:sz w:val="24"/>
          <w:highlight w:val="none"/>
        </w:rPr>
        <w:t>严格按照附件《服务检查细则》条款进行每日、周、月、年评价。</w:t>
      </w:r>
    </w:p>
    <w:p w14:paraId="07767B9F">
      <w:pPr>
        <w:widowControl/>
        <w:spacing w:line="360" w:lineRule="auto"/>
        <w:ind w:firstLine="480" w:firstLineChars="200"/>
        <w:jc w:val="left"/>
        <w:outlineLvl w:val="0"/>
        <w:rPr>
          <w:rFonts w:hint="eastAsia" w:ascii="宋体" w:hAnsi="宋体" w:eastAsia="宋体" w:cs="Times New Roman"/>
          <w:color w:val="auto"/>
          <w:sz w:val="24"/>
          <w:highlight w:val="none"/>
        </w:rPr>
      </w:pPr>
      <w:r>
        <w:rPr>
          <w:rFonts w:hint="eastAsia" w:ascii="宋体" w:hAnsi="宋体" w:eastAsia="宋体" w:cs="Times New Roman"/>
          <w:color w:val="auto"/>
          <w:sz w:val="24"/>
          <w:highlight w:val="none"/>
          <w:lang w:val="en-US" w:eastAsia="zh-CN"/>
        </w:rPr>
        <w:t>2、</w:t>
      </w:r>
      <w:r>
        <w:rPr>
          <w:rFonts w:hint="eastAsia" w:ascii="宋体" w:hAnsi="宋体" w:eastAsia="宋体" w:cs="Times New Roman"/>
          <w:color w:val="auto"/>
          <w:sz w:val="24"/>
          <w:highlight w:val="none"/>
        </w:rPr>
        <w:t>评价方式：采取扣分的方式进行评价。</w:t>
      </w:r>
    </w:p>
    <w:p w14:paraId="5DBD6DA9">
      <w:pPr>
        <w:widowControl/>
        <w:spacing w:line="360" w:lineRule="auto"/>
        <w:ind w:firstLine="480" w:firstLineChars="200"/>
        <w:jc w:val="left"/>
        <w:outlineLvl w:val="0"/>
        <w:rPr>
          <w:rFonts w:hint="eastAsia" w:ascii="宋体" w:hAnsi="宋体" w:eastAsia="宋体" w:cs="Times New Roman"/>
          <w:color w:val="auto"/>
          <w:sz w:val="24"/>
          <w:highlight w:val="none"/>
        </w:rPr>
      </w:pPr>
      <w:r>
        <w:rPr>
          <w:rFonts w:hint="eastAsia" w:ascii="宋体" w:hAnsi="宋体" w:eastAsia="宋体" w:cs="Times New Roman"/>
          <w:color w:val="auto"/>
          <w:sz w:val="24"/>
          <w:highlight w:val="none"/>
          <w:lang w:val="en-US" w:eastAsia="zh-CN"/>
        </w:rPr>
        <w:t>3、</w:t>
      </w:r>
      <w:r>
        <w:rPr>
          <w:rFonts w:hint="eastAsia" w:ascii="宋体" w:hAnsi="宋体" w:eastAsia="宋体" w:cs="Times New Roman"/>
          <w:color w:val="auto"/>
          <w:sz w:val="24"/>
          <w:highlight w:val="none"/>
        </w:rPr>
        <w:t>检查人员由</w:t>
      </w:r>
      <w:r>
        <w:rPr>
          <w:rFonts w:hint="eastAsia" w:ascii="宋体" w:hAnsi="宋体" w:eastAsia="宋体" w:cs="Times New Roman"/>
          <w:color w:val="auto"/>
          <w:sz w:val="24"/>
          <w:highlight w:val="none"/>
          <w:lang w:val="en-US" w:eastAsia="zh-CN"/>
        </w:rPr>
        <w:t>物管部</w:t>
      </w:r>
      <w:r>
        <w:rPr>
          <w:rFonts w:hint="eastAsia" w:ascii="宋体" w:hAnsi="宋体" w:eastAsia="宋体" w:cs="Times New Roman"/>
          <w:color w:val="auto"/>
          <w:sz w:val="24"/>
          <w:highlight w:val="none"/>
        </w:rPr>
        <w:t>和各专业部门经理、</w:t>
      </w:r>
      <w:r>
        <w:rPr>
          <w:rFonts w:hint="eastAsia" w:ascii="宋体" w:hAnsi="宋体" w:eastAsia="宋体" w:cs="Times New Roman"/>
          <w:color w:val="auto"/>
          <w:sz w:val="24"/>
          <w:highlight w:val="none"/>
          <w:lang w:val="en-US" w:eastAsia="zh-CN"/>
        </w:rPr>
        <w:t>合作</w:t>
      </w:r>
      <w:r>
        <w:rPr>
          <w:rFonts w:hint="eastAsia" w:ascii="宋体" w:hAnsi="宋体" w:eastAsia="宋体" w:cs="Times New Roman"/>
          <w:color w:val="auto"/>
          <w:sz w:val="24"/>
          <w:highlight w:val="none"/>
        </w:rPr>
        <w:t>方现场负责人组成。</w:t>
      </w:r>
    </w:p>
    <w:p w14:paraId="6815979D">
      <w:pPr>
        <w:widowControl/>
        <w:spacing w:line="360" w:lineRule="auto"/>
        <w:ind w:firstLine="480" w:firstLineChars="200"/>
        <w:jc w:val="left"/>
        <w:outlineLvl w:val="0"/>
        <w:rPr>
          <w:rFonts w:hint="eastAsia" w:ascii="宋体" w:hAnsi="宋体" w:eastAsia="宋体" w:cs="Times New Roman"/>
          <w:color w:val="auto"/>
          <w:sz w:val="24"/>
          <w:highlight w:val="none"/>
        </w:rPr>
      </w:pPr>
      <w:r>
        <w:rPr>
          <w:rFonts w:hint="eastAsia" w:ascii="宋体" w:hAnsi="宋体" w:eastAsia="宋体" w:cs="Times New Roman"/>
          <w:color w:val="auto"/>
          <w:sz w:val="24"/>
          <w:highlight w:val="none"/>
          <w:lang w:val="en-US" w:eastAsia="zh-CN"/>
        </w:rPr>
        <w:t>6.5.3.4、</w:t>
      </w:r>
      <w:r>
        <w:rPr>
          <w:rFonts w:hint="eastAsia" w:ascii="宋体" w:hAnsi="宋体" w:eastAsia="宋体" w:cs="Times New Roman"/>
          <w:color w:val="auto"/>
          <w:sz w:val="24"/>
          <w:highlight w:val="none"/>
        </w:rPr>
        <w:t>检查方式：每月至少检查两次。采用随机抽查和普查两种方式交叉或重复进行，对检查中发现问题，按照相关条款和分值扣除相应的分数。</w:t>
      </w:r>
    </w:p>
    <w:p w14:paraId="0E669C5B">
      <w:pPr>
        <w:widowControl/>
        <w:spacing w:line="360" w:lineRule="auto"/>
        <w:ind w:firstLine="480" w:firstLineChars="200"/>
        <w:jc w:val="left"/>
        <w:outlineLvl w:val="0"/>
        <w:rPr>
          <w:rFonts w:hint="eastAsia" w:ascii="宋体" w:hAnsi="宋体" w:eastAsia="宋体" w:cs="Times New Roman"/>
          <w:color w:val="auto"/>
          <w:sz w:val="24"/>
          <w:highlight w:val="none"/>
        </w:rPr>
      </w:pPr>
      <w:r>
        <w:rPr>
          <w:rFonts w:hint="eastAsia" w:ascii="宋体" w:hAnsi="宋体" w:eastAsia="宋体" w:cs="Times New Roman"/>
          <w:color w:val="auto"/>
          <w:sz w:val="24"/>
          <w:highlight w:val="none"/>
          <w:lang w:val="en-US" w:eastAsia="zh-CN"/>
        </w:rPr>
        <w:t>①</w:t>
      </w:r>
      <w:r>
        <w:rPr>
          <w:rFonts w:hint="eastAsia" w:ascii="宋体" w:hAnsi="宋体" w:eastAsia="宋体" w:cs="Times New Roman"/>
          <w:color w:val="auto"/>
          <w:sz w:val="24"/>
          <w:highlight w:val="none"/>
        </w:rPr>
        <w:t>考核基础总分为</w:t>
      </w:r>
      <w:r>
        <w:rPr>
          <w:rFonts w:hint="eastAsia" w:ascii="宋体" w:hAnsi="宋体" w:eastAsia="宋体" w:cs="Times New Roman"/>
          <w:color w:val="auto"/>
          <w:sz w:val="24"/>
          <w:highlight w:val="none"/>
          <w:lang w:eastAsia="zh-CN"/>
        </w:rPr>
        <w:t>1</w:t>
      </w:r>
      <w:r>
        <w:rPr>
          <w:rFonts w:hint="eastAsia" w:ascii="宋体" w:hAnsi="宋体" w:eastAsia="宋体" w:cs="Times New Roman"/>
          <w:color w:val="auto"/>
          <w:sz w:val="24"/>
          <w:highlight w:val="none"/>
        </w:rPr>
        <w:t>00分，每月得分在95分（含）以上，则全额支付月服务费用；每降低一分，扣除月总服务费用的</w:t>
      </w:r>
      <w:r>
        <w:rPr>
          <w:rFonts w:hint="eastAsia" w:ascii="宋体" w:hAnsi="宋体" w:eastAsia="宋体" w:cs="Times New Roman"/>
          <w:color w:val="auto"/>
          <w:sz w:val="24"/>
          <w:highlight w:val="none"/>
          <w:lang w:eastAsia="zh-CN"/>
        </w:rPr>
        <w:t>1</w:t>
      </w:r>
      <w:r>
        <w:rPr>
          <w:rFonts w:hint="eastAsia" w:ascii="宋体" w:hAnsi="宋体" w:eastAsia="宋体" w:cs="Times New Roman"/>
          <w:color w:val="auto"/>
          <w:sz w:val="24"/>
          <w:highlight w:val="none"/>
        </w:rPr>
        <w:t>%，以此类推，扣完为止。</w:t>
      </w:r>
    </w:p>
    <w:p w14:paraId="5E82DA8F">
      <w:pPr>
        <w:widowControl/>
        <w:spacing w:line="360" w:lineRule="auto"/>
        <w:ind w:firstLine="480" w:firstLineChars="200"/>
        <w:jc w:val="left"/>
        <w:outlineLvl w:val="0"/>
        <w:rPr>
          <w:rFonts w:hint="eastAsia" w:ascii="宋体" w:hAnsi="宋体" w:eastAsia="宋体" w:cs="Times New Roman"/>
          <w:color w:val="auto"/>
          <w:sz w:val="24"/>
          <w:highlight w:val="none"/>
        </w:rPr>
      </w:pPr>
      <w:r>
        <w:rPr>
          <w:rFonts w:hint="eastAsia" w:ascii="宋体" w:hAnsi="宋体" w:eastAsia="宋体" w:cs="Times New Roman"/>
          <w:color w:val="auto"/>
          <w:sz w:val="24"/>
          <w:highlight w:val="none"/>
          <w:lang w:val="en-US" w:eastAsia="zh-CN"/>
        </w:rPr>
        <w:t>②</w:t>
      </w:r>
      <w:r>
        <w:rPr>
          <w:rFonts w:hint="eastAsia" w:ascii="宋体" w:hAnsi="宋体" w:eastAsia="宋体" w:cs="Times New Roman"/>
          <w:color w:val="auto"/>
          <w:sz w:val="24"/>
          <w:highlight w:val="none"/>
        </w:rPr>
        <w:t>如果连续2个月低于85分（不含），则</w:t>
      </w:r>
      <w:r>
        <w:rPr>
          <w:rFonts w:hint="eastAsia" w:ascii="宋体" w:hAnsi="宋体" w:eastAsia="宋体" w:cs="Times New Roman"/>
          <w:color w:val="auto"/>
          <w:sz w:val="24"/>
          <w:highlight w:val="none"/>
          <w:lang w:val="en-US" w:eastAsia="zh-CN"/>
        </w:rPr>
        <w:t>采购人</w:t>
      </w:r>
      <w:r>
        <w:rPr>
          <w:rFonts w:hint="eastAsia" w:ascii="宋体" w:hAnsi="宋体" w:eastAsia="宋体" w:cs="Times New Roman"/>
          <w:color w:val="auto"/>
          <w:sz w:val="24"/>
          <w:highlight w:val="none"/>
        </w:rPr>
        <w:t>有权加倍扣分，并可单方解除合同。</w:t>
      </w:r>
    </w:p>
    <w:p w14:paraId="5F748FDB">
      <w:pPr>
        <w:widowControl/>
        <w:spacing w:line="360" w:lineRule="auto"/>
        <w:ind w:firstLine="480" w:firstLineChars="200"/>
        <w:jc w:val="left"/>
        <w:outlineLvl w:val="0"/>
        <w:rPr>
          <w:rFonts w:hint="eastAsia" w:ascii="宋体" w:hAnsi="宋体" w:eastAsia="宋体" w:cs="Times New Roman"/>
          <w:color w:val="auto"/>
          <w:sz w:val="24"/>
          <w:highlight w:val="none"/>
        </w:rPr>
      </w:pPr>
      <w:r>
        <w:rPr>
          <w:rFonts w:hint="eastAsia" w:ascii="宋体" w:hAnsi="宋体" w:eastAsia="宋体" w:cs="Times New Roman"/>
          <w:color w:val="auto"/>
          <w:sz w:val="24"/>
          <w:highlight w:val="none"/>
          <w:lang w:val="en-US" w:eastAsia="zh-CN"/>
        </w:rPr>
        <w:t>③</w:t>
      </w:r>
      <w:r>
        <w:rPr>
          <w:rFonts w:hint="eastAsia" w:ascii="宋体" w:hAnsi="宋体" w:eastAsia="宋体" w:cs="Times New Roman"/>
          <w:color w:val="auto"/>
          <w:sz w:val="24"/>
          <w:highlight w:val="none"/>
        </w:rPr>
        <w:t>对于扣分标准为</w:t>
      </w:r>
      <w:r>
        <w:rPr>
          <w:rFonts w:hint="eastAsia" w:ascii="宋体" w:hAnsi="宋体" w:eastAsia="宋体" w:cs="Times New Roman"/>
          <w:color w:val="auto"/>
          <w:sz w:val="24"/>
          <w:highlight w:val="none"/>
          <w:lang w:eastAsia="zh-CN"/>
        </w:rPr>
        <w:t>1</w:t>
      </w:r>
      <w:r>
        <w:rPr>
          <w:rFonts w:hint="eastAsia" w:ascii="宋体" w:hAnsi="宋体" w:eastAsia="宋体" w:cs="Times New Roman"/>
          <w:color w:val="auto"/>
          <w:sz w:val="24"/>
          <w:highlight w:val="none"/>
        </w:rPr>
        <w:t>0分的项目，为</w:t>
      </w:r>
      <w:r>
        <w:rPr>
          <w:rFonts w:hint="eastAsia" w:ascii="宋体" w:hAnsi="宋体" w:eastAsia="宋体" w:cs="Times New Roman"/>
          <w:color w:val="auto"/>
          <w:sz w:val="24"/>
          <w:highlight w:val="none"/>
          <w:lang w:val="en-US" w:eastAsia="zh-CN"/>
        </w:rPr>
        <w:t>采购人</w:t>
      </w:r>
      <w:r>
        <w:rPr>
          <w:rFonts w:hint="eastAsia" w:ascii="宋体" w:hAnsi="宋体" w:eastAsia="宋体" w:cs="Times New Roman"/>
          <w:color w:val="auto"/>
          <w:sz w:val="24"/>
          <w:highlight w:val="none"/>
        </w:rPr>
        <w:t>重点关注项目，如果每年度内同项问题累计发生两次，则双倍扣分。同时</w:t>
      </w:r>
      <w:r>
        <w:rPr>
          <w:rFonts w:hint="eastAsia" w:ascii="宋体" w:hAnsi="宋体" w:eastAsia="宋体" w:cs="Times New Roman"/>
          <w:color w:val="auto"/>
          <w:sz w:val="24"/>
          <w:highlight w:val="none"/>
          <w:lang w:val="en-US" w:eastAsia="zh-CN"/>
        </w:rPr>
        <w:t>采购人</w:t>
      </w:r>
      <w:r>
        <w:rPr>
          <w:rFonts w:hint="eastAsia" w:ascii="宋体" w:hAnsi="宋体" w:eastAsia="宋体" w:cs="Times New Roman"/>
          <w:color w:val="auto"/>
          <w:sz w:val="24"/>
          <w:highlight w:val="none"/>
        </w:rPr>
        <w:t>有权直接单方面终止合同并没收合同履约保证金，并由</w:t>
      </w:r>
      <w:r>
        <w:rPr>
          <w:rFonts w:hint="eastAsia" w:ascii="宋体" w:hAnsi="宋体" w:eastAsia="宋体" w:cs="Times New Roman"/>
          <w:color w:val="auto"/>
          <w:sz w:val="24"/>
          <w:highlight w:val="none"/>
          <w:lang w:eastAsia="zh-CN"/>
        </w:rPr>
        <w:t>中标人</w:t>
      </w:r>
      <w:r>
        <w:rPr>
          <w:rFonts w:hint="eastAsia" w:ascii="宋体" w:hAnsi="宋体" w:eastAsia="宋体" w:cs="Times New Roman"/>
          <w:color w:val="auto"/>
          <w:sz w:val="24"/>
          <w:highlight w:val="none"/>
        </w:rPr>
        <w:t>承担所造成的损失。</w:t>
      </w:r>
    </w:p>
    <w:p w14:paraId="0BDCC7E7">
      <w:pPr>
        <w:widowControl/>
        <w:spacing w:line="360" w:lineRule="auto"/>
        <w:ind w:firstLine="480" w:firstLineChars="200"/>
        <w:jc w:val="left"/>
        <w:outlineLvl w:val="0"/>
        <w:rPr>
          <w:rFonts w:hint="eastAsia" w:ascii="宋体" w:hAnsi="宋体" w:eastAsia="宋体" w:cs="Times New Roman"/>
          <w:color w:val="auto"/>
          <w:sz w:val="24"/>
          <w:highlight w:val="none"/>
        </w:rPr>
      </w:pPr>
      <w:r>
        <w:rPr>
          <w:rFonts w:hint="eastAsia" w:ascii="宋体" w:hAnsi="宋体" w:eastAsia="宋体" w:cs="Times New Roman"/>
          <w:color w:val="auto"/>
          <w:sz w:val="24"/>
          <w:highlight w:val="none"/>
          <w:lang w:val="en-US" w:eastAsia="zh-CN"/>
        </w:rPr>
        <w:t>④</w:t>
      </w:r>
      <w:r>
        <w:rPr>
          <w:rFonts w:hint="eastAsia" w:ascii="宋体" w:hAnsi="宋体" w:eastAsia="宋体" w:cs="Times New Roman"/>
          <w:color w:val="auto"/>
          <w:sz w:val="24"/>
          <w:highlight w:val="none"/>
        </w:rPr>
        <w:t>对于未按照合同人数配备人员，在月底支付服务费用时先按照本办法扣除相应的分数，并扣除所缺人数的月服务费总额。特殊情况需由项目管理处经理写出书面报告，经总经理批准后可不扣除服务费。</w:t>
      </w:r>
    </w:p>
    <w:p w14:paraId="6D35876E">
      <w:pPr>
        <w:widowControl/>
        <w:spacing w:line="360" w:lineRule="auto"/>
        <w:ind w:firstLine="480" w:firstLineChars="200"/>
        <w:jc w:val="left"/>
        <w:outlineLvl w:val="0"/>
        <w:rPr>
          <w:rFonts w:hint="eastAsia" w:ascii="宋体" w:hAnsi="宋体" w:eastAsia="宋体" w:cs="Times New Roman"/>
          <w:color w:val="auto"/>
          <w:sz w:val="24"/>
          <w:highlight w:val="none"/>
        </w:rPr>
      </w:pPr>
      <w:r>
        <w:rPr>
          <w:rFonts w:hint="eastAsia" w:ascii="宋体" w:hAnsi="宋体" w:eastAsia="宋体" w:cs="Times New Roman"/>
          <w:color w:val="auto"/>
          <w:sz w:val="24"/>
          <w:highlight w:val="none"/>
          <w:lang w:val="en-US" w:eastAsia="zh-CN"/>
        </w:rPr>
        <w:t>⑤</w:t>
      </w:r>
      <w:r>
        <w:rPr>
          <w:rFonts w:hint="eastAsia" w:ascii="宋体" w:hAnsi="宋体" w:eastAsia="宋体" w:cs="Times New Roman"/>
          <w:color w:val="auto"/>
          <w:sz w:val="24"/>
          <w:highlight w:val="none"/>
        </w:rPr>
        <w:t>对于《服务检查细则》中未提及的项目出现问题，视情节轻重进行处理直至解除合同等处理。</w:t>
      </w:r>
    </w:p>
    <w:p w14:paraId="59D9BF72">
      <w:pPr>
        <w:widowControl/>
        <w:spacing w:line="360" w:lineRule="auto"/>
        <w:ind w:firstLine="480" w:firstLineChars="200"/>
        <w:jc w:val="left"/>
        <w:outlineLvl w:val="0"/>
        <w:rPr>
          <w:rFonts w:hint="eastAsia"/>
          <w:color w:val="auto"/>
          <w:highlight w:val="none"/>
        </w:rPr>
      </w:pPr>
      <w:r>
        <w:rPr>
          <w:rFonts w:hint="eastAsia" w:ascii="宋体" w:hAnsi="宋体" w:eastAsia="宋体" w:cs="Times New Roman"/>
          <w:color w:val="auto"/>
          <w:sz w:val="24"/>
          <w:highlight w:val="none"/>
          <w:lang w:val="en-US" w:eastAsia="zh-CN"/>
        </w:rPr>
        <w:t>⑥</w:t>
      </w:r>
      <w:r>
        <w:rPr>
          <w:rFonts w:hint="eastAsia" w:ascii="宋体" w:hAnsi="宋体" w:eastAsia="宋体" w:cs="Times New Roman"/>
          <w:color w:val="auto"/>
          <w:sz w:val="24"/>
          <w:highlight w:val="none"/>
        </w:rPr>
        <w:t>对于同类问题发生多处、多起、多次的，扣分计算公式为：本项扣分标准分值×N次×N起×N处。</w:t>
      </w:r>
    </w:p>
    <w:p w14:paraId="757F89B2">
      <w:pPr>
        <w:rPr>
          <w:rFonts w:hint="eastAsia"/>
          <w:color w:val="auto"/>
          <w:highlight w:val="none"/>
          <w:lang w:val="en-US" w:eastAsia="zh-CN"/>
        </w:rPr>
      </w:pPr>
    </w:p>
    <w:p w14:paraId="4EA3F001">
      <w:pPr>
        <w:adjustRightInd w:val="0"/>
        <w:snapToGrid w:val="0"/>
        <w:spacing w:after="0" w:line="360" w:lineRule="auto"/>
        <w:ind w:left="0" w:leftChars="0" w:firstLine="480" w:firstLineChars="200"/>
        <w:jc w:val="left"/>
        <w:rPr>
          <w:rFonts w:hint="eastAsia" w:ascii="宋体" w:hAnsi="宋体" w:cs="宋体"/>
          <w:color w:val="auto"/>
          <w:sz w:val="24"/>
          <w:szCs w:val="24"/>
          <w:highlight w:val="none"/>
          <w:lang w:eastAsia="zh-CN"/>
        </w:rPr>
      </w:pPr>
      <w:r>
        <w:rPr>
          <w:rFonts w:hint="eastAsia" w:ascii="宋体" w:hAnsi="宋体" w:cs="宋体"/>
          <w:color w:val="auto"/>
          <w:sz w:val="24"/>
          <w:szCs w:val="24"/>
          <w:highlight w:val="none"/>
          <w:lang w:val="en-US" w:eastAsia="zh-CN"/>
        </w:rPr>
        <w:t>（七）服务期</w:t>
      </w:r>
      <w:r>
        <w:rPr>
          <w:rFonts w:hint="eastAsia" w:ascii="宋体" w:hAnsi="宋体" w:cs="宋体"/>
          <w:color w:val="auto"/>
          <w:sz w:val="24"/>
          <w:szCs w:val="24"/>
          <w:highlight w:val="none"/>
          <w:lang w:eastAsia="zh-CN"/>
        </w:rPr>
        <w:t>：</w:t>
      </w:r>
    </w:p>
    <w:p w14:paraId="02F01E50">
      <w:pPr>
        <w:adjustRightInd w:val="0"/>
        <w:snapToGrid w:val="0"/>
        <w:spacing w:before="0" w:after="0" w:line="360" w:lineRule="auto"/>
        <w:ind w:firstLine="480" w:firstLineChars="200"/>
        <w:jc w:val="left"/>
        <w:rPr>
          <w:rFonts w:hint="default" w:ascii="宋体" w:hAnsi="宋体" w:eastAsia="宋体" w:cs="宋体"/>
          <w:b w:val="0"/>
          <w:color w:val="auto"/>
          <w:sz w:val="24"/>
          <w:szCs w:val="24"/>
          <w:highlight w:val="none"/>
          <w:lang w:val="en-US"/>
        </w:rPr>
      </w:pPr>
      <w:r>
        <w:rPr>
          <w:rFonts w:hint="eastAsia" w:asciiTheme="minorEastAsia" w:hAnsiTheme="minorEastAsia" w:eastAsiaTheme="minorEastAsia"/>
          <w:color w:val="auto"/>
          <w:sz w:val="24"/>
          <w:highlight w:val="none"/>
          <w:lang w:val="en-US" w:eastAsia="zh-CN"/>
        </w:rPr>
        <w:t>2026年1月1日至2026年12月31日</w:t>
      </w:r>
    </w:p>
    <w:p w14:paraId="64CD4510">
      <w:pPr>
        <w:adjustRightInd w:val="0"/>
        <w:snapToGrid w:val="0"/>
        <w:spacing w:before="0" w:after="0"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b w:val="0"/>
          <w:color w:val="auto"/>
          <w:sz w:val="24"/>
          <w:szCs w:val="24"/>
          <w:highlight w:val="none"/>
        </w:rPr>
        <w:t>（</w:t>
      </w:r>
      <w:r>
        <w:rPr>
          <w:rFonts w:hint="eastAsia" w:ascii="宋体" w:hAnsi="宋体" w:cs="宋体"/>
          <w:b w:val="0"/>
          <w:color w:val="auto"/>
          <w:sz w:val="24"/>
          <w:szCs w:val="24"/>
          <w:highlight w:val="none"/>
          <w:lang w:val="en-US" w:eastAsia="zh-CN"/>
        </w:rPr>
        <w:t>八</w:t>
      </w:r>
      <w:r>
        <w:rPr>
          <w:rFonts w:hint="eastAsia" w:ascii="宋体" w:hAnsi="宋体" w:eastAsia="宋体" w:cs="宋体"/>
          <w:b w:val="0"/>
          <w:color w:val="auto"/>
          <w:sz w:val="24"/>
          <w:szCs w:val="24"/>
          <w:highlight w:val="none"/>
        </w:rPr>
        <w:t>）保密要求</w:t>
      </w:r>
    </w:p>
    <w:p w14:paraId="064F4D47">
      <w:pPr>
        <w:adjustRightInd w:val="0"/>
        <w:snapToGrid w:val="0"/>
        <w:spacing w:before="0" w:after="0" w:line="360" w:lineRule="auto"/>
        <w:ind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（1）成交供应商承担本采购项目保密义务，不得将因本次成交获得的任何信息向任何未经允许的第三人外传。</w:t>
      </w:r>
    </w:p>
    <w:p w14:paraId="0878268C">
      <w:pPr>
        <w:adjustRightInd w:val="0"/>
        <w:snapToGrid w:val="0"/>
        <w:spacing w:before="0" w:after="0" w:line="360" w:lineRule="auto"/>
        <w:ind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（2）采购人有权将成交供应商提供的所有资料向其他政府部门或有关的非政府机构负责评审的人员或与评审有关的人员披露。</w:t>
      </w:r>
    </w:p>
    <w:p w14:paraId="554F8852">
      <w:pPr>
        <w:adjustRightInd w:val="0"/>
        <w:snapToGrid w:val="0"/>
        <w:spacing w:before="0" w:after="0" w:line="360" w:lineRule="auto"/>
        <w:ind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（3）成交供应商必须对合作过程中涉及的工作秘密、业务需求、协议、各类成果资料等内容和相关事务保密。</w:t>
      </w:r>
    </w:p>
    <w:p w14:paraId="5C9F7B46">
      <w:pPr>
        <w:adjustRightInd w:val="0"/>
        <w:snapToGrid w:val="0"/>
        <w:spacing w:before="0" w:after="0" w:line="360" w:lineRule="auto"/>
        <w:ind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（4）成交供应商及其服务人员应绝对保证经手资料的保密和安全，不得以任何方式泄露工作过程中知悉的资料信息。</w:t>
      </w:r>
    </w:p>
    <w:p w14:paraId="7B4DE183">
      <w:pPr>
        <w:adjustRightInd w:val="0"/>
        <w:snapToGrid w:val="0"/>
        <w:spacing w:before="0" w:after="0" w:line="360" w:lineRule="auto"/>
        <w:ind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（5）任何因成交供应商泄密引起的不良社会影响和法律责任均由成交供应商承担。</w:t>
      </w:r>
    </w:p>
    <w:p w14:paraId="77F288AF">
      <w:pPr>
        <w:adjustRightInd w:val="0"/>
        <w:snapToGrid w:val="0"/>
        <w:spacing w:line="360" w:lineRule="auto"/>
        <w:ind w:left="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cs="宋体"/>
          <w:color w:val="auto"/>
          <w:sz w:val="24"/>
          <w:szCs w:val="24"/>
          <w:highlight w:val="none"/>
          <w:lang w:val="en-US" w:eastAsia="zh-CN"/>
        </w:rPr>
        <w:t>2</w:t>
      </w:r>
      <w:r>
        <w:rPr>
          <w:rFonts w:hint="eastAsia" w:ascii="宋体" w:hAnsi="宋体" w:eastAsia="宋体" w:cs="宋体"/>
          <w:color w:val="auto"/>
          <w:sz w:val="24"/>
          <w:szCs w:val="24"/>
          <w:highlight w:val="none"/>
        </w:rPr>
        <w:t>）服务人员名单须报备采购人，如需更换须经采购人同意。</w:t>
      </w:r>
    </w:p>
    <w:p w14:paraId="018DE0C3">
      <w:pPr>
        <w:pStyle w:val="3"/>
        <w:adjustRightInd w:val="0"/>
        <w:snapToGrid w:val="0"/>
        <w:spacing w:before="0" w:after="0" w:line="360" w:lineRule="auto"/>
        <w:ind w:left="482" w:hanging="482" w:hangingChars="200"/>
        <w:rPr>
          <w:rFonts w:ascii="宋体" w:hAnsi="宋体" w:cs="宋体"/>
          <w:color w:val="auto"/>
          <w:sz w:val="24"/>
          <w:szCs w:val="24"/>
          <w:highlight w:val="none"/>
        </w:rPr>
      </w:pPr>
      <w:r>
        <w:rPr>
          <w:rFonts w:hint="eastAsia" w:ascii="宋体" w:hAnsi="宋体" w:cs="宋体"/>
          <w:color w:val="auto"/>
          <w:sz w:val="24"/>
          <w:szCs w:val="24"/>
          <w:highlight w:val="none"/>
        </w:rPr>
        <w:t>三、  商务条件</w:t>
      </w:r>
      <w:r>
        <w:rPr>
          <w:rFonts w:hint="eastAsia" w:ascii="宋体" w:hAnsi="宋体" w:cs="宋体"/>
          <w:color w:val="auto"/>
          <w:sz w:val="24"/>
          <w:szCs w:val="24"/>
          <w:highlight w:val="none"/>
        </w:rPr>
        <w:br w:type="textWrapping"/>
      </w:r>
      <w:r>
        <w:rPr>
          <w:rFonts w:hint="eastAsia" w:ascii="宋体" w:hAnsi="宋体" w:cs="宋体"/>
          <w:b w:val="0"/>
          <w:bCs w:val="0"/>
          <w:color w:val="auto"/>
          <w:sz w:val="24"/>
          <w:szCs w:val="24"/>
          <w:highlight w:val="none"/>
          <w:lang w:eastAsia="zh-CN"/>
        </w:rPr>
        <w:t>（一）服务</w:t>
      </w:r>
      <w:r>
        <w:rPr>
          <w:rFonts w:hint="eastAsia" w:ascii="宋体" w:hAnsi="宋体" w:cs="宋体"/>
          <w:b w:val="0"/>
          <w:bCs w:val="0"/>
          <w:color w:val="auto"/>
          <w:sz w:val="24"/>
          <w:szCs w:val="24"/>
          <w:highlight w:val="none"/>
        </w:rPr>
        <w:t>地点：厦门市湖里区。</w:t>
      </w:r>
      <w:r>
        <w:rPr>
          <w:rFonts w:hint="eastAsia" w:ascii="宋体" w:hAnsi="宋体" w:cs="宋体"/>
          <w:b w:val="0"/>
          <w:bCs w:val="0"/>
          <w:color w:val="auto"/>
          <w:sz w:val="24"/>
          <w:szCs w:val="24"/>
          <w:highlight w:val="none"/>
        </w:rPr>
        <w:br w:type="textWrapping"/>
      </w:r>
      <w:r>
        <w:rPr>
          <w:rFonts w:hint="eastAsia" w:ascii="宋体" w:hAnsi="宋体" w:cs="宋体"/>
          <w:b w:val="0"/>
          <w:bCs w:val="0"/>
          <w:color w:val="auto"/>
          <w:sz w:val="24"/>
          <w:szCs w:val="24"/>
          <w:highlight w:val="none"/>
          <w:lang w:eastAsia="zh-CN"/>
        </w:rPr>
        <w:t>（二）服务</w:t>
      </w:r>
      <w:r>
        <w:rPr>
          <w:rFonts w:hint="eastAsia" w:ascii="宋体" w:hAnsi="宋体" w:cs="宋体"/>
          <w:b w:val="0"/>
          <w:bCs w:val="0"/>
          <w:color w:val="auto"/>
          <w:sz w:val="24"/>
          <w:szCs w:val="24"/>
          <w:highlight w:val="none"/>
        </w:rPr>
        <w:t>日期：</w:t>
      </w:r>
      <w:r>
        <w:rPr>
          <w:rFonts w:hint="eastAsia" w:ascii="宋体" w:hAnsi="宋体" w:cs="宋体"/>
          <w:b w:val="0"/>
          <w:bCs w:val="0"/>
          <w:color w:val="auto"/>
          <w:sz w:val="24"/>
          <w:szCs w:val="24"/>
          <w:highlight w:val="none"/>
          <w:lang w:val="en-US" w:eastAsia="zh-CN"/>
        </w:rPr>
        <w:t>2026年1月1日至2026年12月31日</w:t>
      </w:r>
      <w:r>
        <w:rPr>
          <w:rFonts w:hint="eastAsia" w:ascii="宋体" w:hAnsi="宋体" w:cs="宋体"/>
          <w:b w:val="0"/>
          <w:bCs w:val="0"/>
          <w:color w:val="auto"/>
          <w:sz w:val="24"/>
          <w:szCs w:val="24"/>
          <w:highlight w:val="none"/>
        </w:rPr>
        <w:t>。</w:t>
      </w:r>
    </w:p>
    <w:p w14:paraId="50565A4D">
      <w:pPr>
        <w:pStyle w:val="3"/>
        <w:adjustRightInd w:val="0"/>
        <w:snapToGrid w:val="0"/>
        <w:spacing w:before="0" w:after="0" w:line="360" w:lineRule="auto"/>
        <w:ind w:firstLine="480" w:firstLineChars="200"/>
        <w:rPr>
          <w:rFonts w:hint="eastAsia" w:ascii="宋体" w:hAnsi="宋体" w:cs="宋体"/>
          <w:b w:val="0"/>
          <w:bCs w:val="0"/>
          <w:color w:val="auto"/>
          <w:sz w:val="24"/>
          <w:szCs w:val="24"/>
          <w:highlight w:val="none"/>
        </w:rPr>
      </w:pPr>
      <w:bookmarkStart w:id="148" w:name="_Toc169877476"/>
      <w:bookmarkStart w:id="149" w:name="_Toc90180873"/>
      <w:bookmarkStart w:id="150" w:name="_Toc11845138"/>
      <w:bookmarkStart w:id="151" w:name="_Toc148496402"/>
      <w:bookmarkStart w:id="152" w:name="_Toc105315000"/>
      <w:bookmarkStart w:id="153" w:name="_Toc146679650"/>
      <w:bookmarkStart w:id="154" w:name="_Toc146679241"/>
      <w:bookmarkStart w:id="155" w:name="_Toc89791596"/>
      <w:bookmarkStart w:id="156" w:name="_Toc116895408"/>
      <w:bookmarkStart w:id="157" w:name="_Toc144818372"/>
      <w:bookmarkStart w:id="158" w:name="_Toc168037533"/>
      <w:bookmarkStart w:id="159" w:name="_Toc145393563"/>
      <w:bookmarkStart w:id="160" w:name="_Toc169944023"/>
      <w:bookmarkStart w:id="161" w:name="_Toc89791698"/>
      <w:bookmarkStart w:id="162" w:name="_Toc189832470"/>
      <w:bookmarkStart w:id="163" w:name="_Toc152583389"/>
      <w:bookmarkStart w:id="164" w:name="_Toc116869901"/>
      <w:bookmarkStart w:id="165" w:name="_Toc141847066"/>
      <w:bookmarkStart w:id="166" w:name="_Toc148496351"/>
      <w:bookmarkStart w:id="167" w:name="_Toc150163485"/>
      <w:bookmarkStart w:id="168" w:name="_Toc150852805"/>
      <w:bookmarkStart w:id="169" w:name="_Toc37236847"/>
      <w:bookmarkStart w:id="170" w:name="_Toc36885854"/>
      <w:bookmarkStart w:id="171" w:name="_Toc32815547"/>
      <w:bookmarkStart w:id="172" w:name="_Toc36973198"/>
      <w:bookmarkStart w:id="173" w:name="_Toc36974340"/>
      <w:bookmarkStart w:id="174" w:name="_Toc36974289"/>
      <w:bookmarkStart w:id="175" w:name="_Toc36974051"/>
      <w:bookmarkStart w:id="176" w:name="_Toc34471344"/>
      <w:bookmarkStart w:id="177" w:name="_Toc36867048"/>
      <w:bookmarkStart w:id="178" w:name="_Toc36974207"/>
      <w:bookmarkStart w:id="179" w:name="_Toc36973985"/>
      <w:r>
        <w:rPr>
          <w:rFonts w:hint="eastAsia" w:ascii="宋体" w:hAnsi="宋体" w:cs="宋体"/>
          <w:b w:val="0"/>
          <w:bCs w:val="0"/>
          <w:color w:val="auto"/>
          <w:sz w:val="24"/>
          <w:szCs w:val="24"/>
          <w:highlight w:val="none"/>
          <w:lang w:eastAsia="zh-CN"/>
        </w:rPr>
        <w:t>（三）</w:t>
      </w:r>
      <w:r>
        <w:rPr>
          <w:rFonts w:hint="eastAsia" w:ascii="宋体" w:hAnsi="宋体" w:cs="宋体"/>
          <w:b w:val="0"/>
          <w:bCs w:val="0"/>
          <w:color w:val="auto"/>
          <w:sz w:val="24"/>
          <w:szCs w:val="24"/>
          <w:highlight w:val="none"/>
        </w:rPr>
        <w:t>报价要求</w:t>
      </w:r>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p>
    <w:p w14:paraId="3284AEE8">
      <w:pPr>
        <w:numPr>
          <w:ilvl w:val="-1"/>
          <w:numId w:val="0"/>
        </w:numPr>
        <w:tabs>
          <w:tab w:val="left" w:pos="1050"/>
        </w:tabs>
        <w:spacing w:line="360" w:lineRule="auto"/>
        <w:ind w:left="420" w:leftChars="200" w:firstLine="0" w:firstLineChars="0"/>
        <w:rPr>
          <w:rFonts w:hint="eastAsia" w:ascii="宋体" w:hAnsi="宋体"/>
          <w:bCs/>
          <w:color w:val="auto"/>
          <w:sz w:val="24"/>
          <w:highlight w:val="none"/>
        </w:rPr>
      </w:pPr>
      <w:r>
        <w:rPr>
          <w:rFonts w:hint="eastAsia" w:ascii="宋体" w:hAnsi="宋体"/>
          <w:bCs/>
          <w:color w:val="auto"/>
          <w:sz w:val="24"/>
          <w:highlight w:val="none"/>
          <w:lang w:val="en-US" w:eastAsia="zh-CN"/>
        </w:rPr>
        <w:t>1.</w:t>
      </w:r>
      <w:r>
        <w:rPr>
          <w:rFonts w:hint="eastAsia" w:ascii="宋体" w:hAnsi="宋体"/>
          <w:bCs/>
          <w:color w:val="auto"/>
          <w:sz w:val="24"/>
          <w:highlight w:val="none"/>
        </w:rPr>
        <w:t>本次招标为整体招标，投标人必须对本项目的所有内容及服务进行投标响应。</w:t>
      </w:r>
    </w:p>
    <w:p w14:paraId="0E0B6AE7">
      <w:pPr>
        <w:numPr>
          <w:ilvl w:val="-1"/>
          <w:numId w:val="0"/>
        </w:numPr>
        <w:tabs>
          <w:tab w:val="left" w:pos="1050"/>
        </w:tabs>
        <w:spacing w:line="360" w:lineRule="auto"/>
        <w:ind w:left="420" w:leftChars="200" w:firstLine="0" w:firstLineChars="0"/>
        <w:rPr>
          <w:rFonts w:hint="eastAsia" w:ascii="宋体" w:hAnsi="宋体"/>
          <w:bCs/>
          <w:color w:val="auto"/>
          <w:sz w:val="24"/>
          <w:highlight w:val="none"/>
        </w:rPr>
      </w:pPr>
      <w:r>
        <w:rPr>
          <w:rFonts w:hint="eastAsia" w:ascii="宋体" w:hAnsi="宋体"/>
          <w:bCs/>
          <w:color w:val="auto"/>
          <w:sz w:val="24"/>
          <w:highlight w:val="none"/>
          <w:lang w:val="en-US" w:eastAsia="zh-CN"/>
        </w:rPr>
        <w:t>2.</w:t>
      </w:r>
      <w:r>
        <w:rPr>
          <w:rFonts w:hint="eastAsia" w:ascii="宋体" w:hAnsi="宋体"/>
          <w:bCs/>
          <w:color w:val="auto"/>
          <w:sz w:val="24"/>
          <w:highlight w:val="none"/>
        </w:rPr>
        <w:t>报价以人民币为货币单位</w:t>
      </w:r>
      <w:r>
        <w:rPr>
          <w:rFonts w:hint="eastAsia" w:ascii="宋体" w:hAnsi="宋体"/>
          <w:bCs/>
          <w:color w:val="auto"/>
          <w:sz w:val="24"/>
          <w:highlight w:val="none"/>
          <w:lang w:eastAsia="zh-CN"/>
        </w:rPr>
        <w:t>，</w:t>
      </w:r>
      <w:r>
        <w:rPr>
          <w:rFonts w:hint="eastAsia" w:ascii="宋体" w:hAnsi="宋体"/>
          <w:bCs/>
          <w:color w:val="auto"/>
          <w:sz w:val="24"/>
          <w:highlight w:val="none"/>
          <w:lang w:val="en-US" w:eastAsia="zh-CN"/>
          <w:rPrChange w:id="1" w:author="秦岳" w:date="2025-12-25T17:39:43Z">
            <w:rPr>
              <w:rFonts w:hint="eastAsia" w:ascii="宋体" w:hAnsi="宋体"/>
              <w:bCs/>
              <w:color w:val="FF0000"/>
              <w:sz w:val="24"/>
              <w:highlight w:val="none"/>
              <w:lang w:val="en-US" w:eastAsia="zh-CN"/>
            </w:rPr>
          </w:rPrChange>
        </w:rPr>
        <w:t>需填报投标单价及投标总价</w:t>
      </w:r>
      <w:r>
        <w:rPr>
          <w:rFonts w:hint="eastAsia" w:ascii="宋体" w:hAnsi="宋体"/>
          <w:bCs/>
          <w:color w:val="auto"/>
          <w:sz w:val="24"/>
          <w:highlight w:val="none"/>
          <w:rPrChange w:id="2" w:author="秦岳" w:date="2025-12-25T17:39:43Z">
            <w:rPr>
              <w:rFonts w:hint="eastAsia" w:ascii="宋体" w:hAnsi="宋体"/>
              <w:bCs/>
              <w:color w:val="FF0000"/>
              <w:sz w:val="24"/>
              <w:highlight w:val="none"/>
            </w:rPr>
          </w:rPrChange>
        </w:rPr>
        <w:t>。</w:t>
      </w:r>
    </w:p>
    <w:p w14:paraId="3F9B0703">
      <w:pPr>
        <w:numPr>
          <w:ilvl w:val="-1"/>
          <w:numId w:val="0"/>
        </w:numPr>
        <w:tabs>
          <w:tab w:val="left" w:pos="1050"/>
        </w:tabs>
        <w:spacing w:line="360" w:lineRule="auto"/>
        <w:ind w:left="420" w:leftChars="200" w:firstLine="0" w:firstLineChars="0"/>
        <w:rPr>
          <w:rFonts w:hint="eastAsia" w:ascii="宋体" w:hAnsi="宋体"/>
          <w:bCs/>
          <w:color w:val="auto"/>
          <w:sz w:val="24"/>
          <w:highlight w:val="none"/>
        </w:rPr>
      </w:pPr>
      <w:r>
        <w:rPr>
          <w:rFonts w:hint="eastAsia" w:ascii="宋体" w:hAnsi="宋体"/>
          <w:bCs/>
          <w:color w:val="auto"/>
          <w:sz w:val="24"/>
          <w:highlight w:val="none"/>
          <w:lang w:val="en-US" w:eastAsia="zh-CN"/>
        </w:rPr>
        <w:t>3.</w:t>
      </w:r>
      <w:r>
        <w:rPr>
          <w:rFonts w:hint="eastAsia" w:ascii="宋体" w:hAnsi="宋体"/>
          <w:bCs/>
          <w:color w:val="auto"/>
          <w:sz w:val="24"/>
          <w:highlight w:val="none"/>
        </w:rPr>
        <w:t>本项目为</w:t>
      </w:r>
      <w:r>
        <w:rPr>
          <w:rFonts w:hint="eastAsia" w:ascii="宋体" w:hAnsi="宋体"/>
          <w:bCs/>
          <w:color w:val="auto"/>
          <w:sz w:val="24"/>
          <w:highlight w:val="none"/>
          <w:lang w:val="en-US" w:eastAsia="zh-CN"/>
        </w:rPr>
        <w:t>总价合同</w:t>
      </w:r>
      <w:r>
        <w:rPr>
          <w:rFonts w:hint="eastAsia" w:ascii="宋体" w:hAnsi="宋体"/>
          <w:bCs/>
          <w:color w:val="auto"/>
          <w:sz w:val="24"/>
          <w:highlight w:val="none"/>
        </w:rPr>
        <w:t>招标项目，报价为投标人提供本项目项下所有服务（含服务中应履行的各项义务）应收取的全部费用，其包括但不限于以下费用：员工工资、办公费用、交通费、劳动保护费、其他物料消耗费、保险费、服装费、工具设备费、税费、管理费及不可预见费等所有费用。</w:t>
      </w:r>
    </w:p>
    <w:p w14:paraId="639D7872">
      <w:pPr>
        <w:numPr>
          <w:ilvl w:val="0"/>
          <w:numId w:val="0"/>
        </w:numPr>
        <w:tabs>
          <w:tab w:val="left" w:pos="1050"/>
        </w:tabs>
        <w:spacing w:line="360" w:lineRule="auto"/>
        <w:ind w:leftChars="200"/>
        <w:rPr>
          <w:rFonts w:hint="eastAsia" w:ascii="宋体" w:hAnsi="宋体"/>
          <w:bCs/>
          <w:color w:val="auto"/>
          <w:sz w:val="24"/>
          <w:highlight w:val="none"/>
        </w:rPr>
      </w:pPr>
      <w:r>
        <w:rPr>
          <w:rFonts w:hint="eastAsia" w:ascii="宋体" w:hAnsi="宋体"/>
          <w:bCs/>
          <w:color w:val="auto"/>
          <w:sz w:val="24"/>
          <w:highlight w:val="none"/>
          <w:lang w:val="en-US" w:eastAsia="zh-CN"/>
        </w:rPr>
        <w:t>4.</w:t>
      </w:r>
      <w:r>
        <w:rPr>
          <w:rFonts w:hint="eastAsia" w:ascii="宋体" w:hAnsi="宋体"/>
          <w:bCs/>
          <w:color w:val="auto"/>
          <w:sz w:val="24"/>
          <w:highlight w:val="none"/>
        </w:rPr>
        <w:t>招标人不接受投标人任何因遗漏报价而发生的费用追加，因投标人违反《劳动法》等法律法规而造成招标人的连带责任和损失全部由投标人承担。</w:t>
      </w:r>
    </w:p>
    <w:p w14:paraId="4DA2B0F5">
      <w:pPr>
        <w:spacing w:line="360" w:lineRule="auto"/>
        <w:ind w:firstLine="480" w:firstLineChars="200"/>
        <w:jc w:val="left"/>
        <w:rPr>
          <w:rFonts w:hint="eastAsia" w:ascii="宋体" w:hAnsi="宋体" w:cs="宋体"/>
          <w:color w:val="auto"/>
          <w:sz w:val="24"/>
          <w:highlight w:val="none"/>
        </w:rPr>
      </w:pPr>
      <w:r>
        <w:rPr>
          <w:rFonts w:hint="eastAsia" w:ascii="宋体" w:hAnsi="宋体" w:cs="宋体"/>
          <w:color w:val="auto"/>
          <w:sz w:val="24"/>
          <w:highlight w:val="none"/>
          <w:lang w:val="en-US" w:eastAsia="zh-CN"/>
        </w:rPr>
        <w:t>5.采购</w:t>
      </w:r>
      <w:r>
        <w:rPr>
          <w:rFonts w:hint="eastAsia" w:ascii="宋体" w:hAnsi="宋体" w:cs="宋体"/>
          <w:color w:val="auto"/>
          <w:sz w:val="24"/>
          <w:highlight w:val="none"/>
        </w:rPr>
        <w:t>人对确定为实质上响应询价文件要求的报价文件进行校核，看其是否有计算或表达上的错误及修改清单列项或工程量的情况，若存在，按以下原则进行修正：</w:t>
      </w:r>
    </w:p>
    <w:p w14:paraId="53300C7E">
      <w:pPr>
        <w:spacing w:line="360" w:lineRule="auto"/>
        <w:ind w:firstLine="480" w:firstLineChars="200"/>
        <w:jc w:val="left"/>
        <w:rPr>
          <w:rFonts w:hint="eastAsia" w:ascii="宋体" w:hAnsi="宋体" w:cs="宋体"/>
          <w:color w:val="auto"/>
          <w:sz w:val="24"/>
          <w:highlight w:val="none"/>
        </w:rPr>
      </w:pPr>
      <w:r>
        <w:rPr>
          <w:rFonts w:hint="eastAsia" w:ascii="宋体" w:hAnsi="宋体" w:cs="宋体"/>
          <w:color w:val="auto"/>
          <w:sz w:val="24"/>
          <w:highlight w:val="none"/>
        </w:rPr>
        <w:t>A、如果数字表示的数额和用文字表示的数额不一致时，以文字表示的数额为准；</w:t>
      </w:r>
    </w:p>
    <w:p w14:paraId="2392772D">
      <w:pPr>
        <w:spacing w:line="360" w:lineRule="auto"/>
        <w:ind w:firstLine="480" w:firstLineChars="200"/>
        <w:jc w:val="left"/>
        <w:rPr>
          <w:rFonts w:hint="eastAsia" w:ascii="宋体" w:hAnsi="宋体" w:cs="宋体"/>
          <w:color w:val="auto"/>
          <w:sz w:val="24"/>
          <w:highlight w:val="none"/>
        </w:rPr>
      </w:pPr>
      <w:r>
        <w:rPr>
          <w:rFonts w:hint="eastAsia" w:ascii="宋体" w:hAnsi="宋体" w:cs="宋体"/>
          <w:color w:val="auto"/>
          <w:sz w:val="24"/>
          <w:highlight w:val="none"/>
        </w:rPr>
        <w:t>B、当单价与数量的乘积与合价不一致时，以标出的单价为准。除非询价人认为单价有明显小数点错误，此时应以标出的合价为准，并修改单价；</w:t>
      </w:r>
    </w:p>
    <w:p w14:paraId="3DD81C13">
      <w:pPr>
        <w:spacing w:line="360" w:lineRule="auto"/>
        <w:ind w:firstLine="480" w:firstLineChars="200"/>
        <w:jc w:val="left"/>
        <w:rPr>
          <w:rFonts w:hint="eastAsia" w:ascii="宋体" w:hAnsi="宋体" w:cs="宋体"/>
          <w:color w:val="auto"/>
          <w:sz w:val="24"/>
          <w:highlight w:val="none"/>
        </w:rPr>
      </w:pPr>
      <w:r>
        <w:rPr>
          <w:rFonts w:hint="eastAsia" w:ascii="宋体" w:hAnsi="宋体" w:cs="宋体"/>
          <w:color w:val="auto"/>
          <w:sz w:val="24"/>
          <w:highlight w:val="none"/>
        </w:rPr>
        <w:t>C、当各单项金额相加与其合计金额不一致时，以各单项金额为准，并修改相应合计金额；</w:t>
      </w:r>
    </w:p>
    <w:p w14:paraId="31FDD75E">
      <w:pPr>
        <w:spacing w:line="360" w:lineRule="auto"/>
        <w:ind w:firstLine="480" w:firstLineChars="200"/>
        <w:jc w:val="left"/>
        <w:rPr>
          <w:rFonts w:hint="eastAsia" w:ascii="宋体" w:hAnsi="宋体" w:cs="宋体"/>
          <w:color w:val="auto"/>
          <w:sz w:val="24"/>
          <w:highlight w:val="none"/>
        </w:rPr>
      </w:pPr>
      <w:r>
        <w:rPr>
          <w:rFonts w:hint="eastAsia" w:ascii="宋体" w:hAnsi="宋体" w:cs="宋体"/>
          <w:color w:val="auto"/>
          <w:sz w:val="24"/>
          <w:highlight w:val="none"/>
        </w:rPr>
        <w:t>D、若修改统一询价清单工程量的：按统一询价工程量进行修正，并按其所报单价修正相应合计金额；</w:t>
      </w:r>
    </w:p>
    <w:p w14:paraId="31582D54">
      <w:pPr>
        <w:spacing w:line="360" w:lineRule="auto"/>
        <w:ind w:firstLine="480" w:firstLineChars="200"/>
        <w:jc w:val="left"/>
        <w:rPr>
          <w:rFonts w:hint="eastAsia" w:ascii="宋体" w:hAnsi="宋体" w:cs="宋体"/>
          <w:color w:val="auto"/>
          <w:sz w:val="24"/>
          <w:highlight w:val="none"/>
        </w:rPr>
      </w:pPr>
      <w:r>
        <w:rPr>
          <w:rFonts w:hint="eastAsia" w:ascii="宋体" w:hAnsi="宋体" w:cs="宋体"/>
          <w:color w:val="auto"/>
          <w:sz w:val="24"/>
          <w:highlight w:val="none"/>
        </w:rPr>
        <w:t>E、若修改统一询价项目的：增加子目报价的予以删除扣减并修正相应合计金额，减少子目报价的在不调增总报价的前提下增补相应子目报价；</w:t>
      </w:r>
    </w:p>
    <w:p w14:paraId="2AB1754B">
      <w:pPr>
        <w:spacing w:line="360" w:lineRule="auto"/>
        <w:ind w:firstLine="480" w:firstLineChars="200"/>
        <w:jc w:val="left"/>
        <w:rPr>
          <w:rFonts w:hint="eastAsia" w:ascii="宋体" w:hAnsi="宋体" w:cs="宋体"/>
          <w:color w:val="auto"/>
          <w:sz w:val="24"/>
          <w:highlight w:val="none"/>
        </w:rPr>
      </w:pPr>
      <w:r>
        <w:rPr>
          <w:rFonts w:hint="eastAsia" w:ascii="宋体" w:hAnsi="宋体" w:cs="宋体"/>
          <w:color w:val="auto"/>
          <w:sz w:val="24"/>
          <w:highlight w:val="none"/>
        </w:rPr>
        <w:t>当执行上述修正后的合价出现与报价函中的总报价不一致时，按以下原则确定为修正后总报价：</w:t>
      </w:r>
    </w:p>
    <w:p w14:paraId="46FE4889">
      <w:pPr>
        <w:spacing w:line="360" w:lineRule="auto"/>
        <w:ind w:firstLine="480" w:firstLineChars="200"/>
        <w:jc w:val="left"/>
        <w:rPr>
          <w:rFonts w:hint="eastAsia" w:ascii="宋体" w:hAnsi="宋体" w:cs="宋体"/>
          <w:color w:val="auto"/>
          <w:sz w:val="24"/>
          <w:highlight w:val="none"/>
        </w:rPr>
      </w:pPr>
      <w:r>
        <w:rPr>
          <w:rFonts w:hint="eastAsia" w:ascii="宋体" w:hAnsi="宋体" w:cs="宋体"/>
          <w:color w:val="auto"/>
          <w:sz w:val="24"/>
          <w:highlight w:val="none"/>
        </w:rPr>
        <w:t>a、若修正后的合价低于报价函中的总报价，则有效评标价以报价函中的总报价为准，中标价（若被推荐为中标候选人）以修正后的合价为准。</w:t>
      </w:r>
    </w:p>
    <w:p w14:paraId="50FC7139">
      <w:pPr>
        <w:spacing w:line="360" w:lineRule="auto"/>
        <w:ind w:firstLine="480" w:firstLineChars="200"/>
        <w:jc w:val="left"/>
        <w:rPr>
          <w:rFonts w:hint="eastAsia" w:ascii="宋体" w:hAnsi="宋体" w:cs="宋体"/>
          <w:color w:val="auto"/>
          <w:sz w:val="24"/>
          <w:highlight w:val="none"/>
        </w:rPr>
      </w:pPr>
      <w:r>
        <w:rPr>
          <w:rFonts w:hint="eastAsia" w:ascii="宋体" w:hAnsi="宋体" w:cs="宋体"/>
          <w:color w:val="auto"/>
          <w:sz w:val="24"/>
          <w:highlight w:val="none"/>
        </w:rPr>
        <w:t>b、若修正后的合价高于报价函中的总报价，则有效评标价应以报价函中的总报价为准，由报价人在总报价不变的情况下修正平衡各报价的综合单价，中标价（若被推荐为中标候选人）以报价函中的总报价为准。</w:t>
      </w:r>
    </w:p>
    <w:p w14:paraId="3D27DA0F">
      <w:pPr>
        <w:numPr>
          <w:ilvl w:val="-1"/>
          <w:numId w:val="0"/>
        </w:numPr>
        <w:spacing w:line="360" w:lineRule="auto"/>
        <w:ind w:leftChars="0" w:firstLine="480" w:firstLineChars="200"/>
        <w:jc w:val="left"/>
        <w:rPr>
          <w:rFonts w:hint="eastAsia" w:ascii="宋体" w:hAnsi="宋体"/>
          <w:bCs/>
          <w:color w:val="auto"/>
          <w:sz w:val="24"/>
          <w:highlight w:val="none"/>
        </w:rPr>
      </w:pPr>
      <w:r>
        <w:rPr>
          <w:rFonts w:hint="eastAsia" w:ascii="宋体" w:hAnsi="宋体" w:cs="宋体"/>
          <w:color w:val="auto"/>
          <w:sz w:val="24"/>
          <w:highlight w:val="none"/>
        </w:rPr>
        <w:t>按上述修正原则及方法修正的报价，经报价人确认同意后，修正后的报价对报价人起约束作用。</w:t>
      </w:r>
    </w:p>
    <w:p w14:paraId="0BABE164">
      <w:pPr>
        <w:numPr>
          <w:ilvl w:val="-1"/>
          <w:numId w:val="0"/>
        </w:numPr>
        <w:adjustRightInd w:val="0"/>
        <w:snapToGrid w:val="0"/>
        <w:spacing w:line="360" w:lineRule="auto"/>
        <w:ind w:firstLine="400"/>
        <w:rPr>
          <w:rFonts w:ascii="宋体" w:hAnsi="宋体" w:cs="宋体"/>
          <w:color w:val="auto"/>
          <w:sz w:val="24"/>
          <w:szCs w:val="24"/>
          <w:highlight w:val="none"/>
        </w:rPr>
      </w:pPr>
      <w:r>
        <w:rPr>
          <w:rFonts w:hint="eastAsia" w:ascii="宋体" w:hAnsi="宋体"/>
          <w:bCs/>
          <w:color w:val="auto"/>
          <w:sz w:val="24"/>
          <w:highlight w:val="none"/>
          <w:lang w:val="en-US" w:eastAsia="zh-CN"/>
        </w:rPr>
        <w:t>6</w:t>
      </w:r>
      <w:r>
        <w:rPr>
          <w:rFonts w:hint="eastAsia" w:ascii="宋体" w:hAnsi="宋体" w:cs="宋体"/>
          <w:color w:val="auto"/>
          <w:sz w:val="24"/>
          <w:szCs w:val="24"/>
          <w:highlight w:val="none"/>
          <w:lang w:val="en-US" w:eastAsia="zh-CN"/>
        </w:rPr>
        <w:t>、</w:t>
      </w:r>
      <w:r>
        <w:rPr>
          <w:rFonts w:hint="eastAsia" w:ascii="宋体" w:hAnsi="宋体" w:eastAsia="宋体" w:cs="宋体"/>
          <w:color w:val="auto"/>
          <w:sz w:val="24"/>
          <w:szCs w:val="24"/>
          <w:highlight w:val="none"/>
          <w:lang w:val="en-US" w:eastAsia="zh-CN"/>
        </w:rPr>
        <w:t>★</w:t>
      </w:r>
      <w:r>
        <w:rPr>
          <w:rFonts w:hint="eastAsia" w:ascii="宋体" w:hAnsi="宋体" w:cs="宋体"/>
          <w:color w:val="auto"/>
          <w:sz w:val="24"/>
          <w:szCs w:val="24"/>
          <w:highlight w:val="none"/>
        </w:rPr>
        <w:t>本采购项目的采购预算为人民币</w:t>
      </w:r>
      <w:r>
        <w:rPr>
          <w:rFonts w:hint="eastAsia" w:ascii="宋体" w:hAnsi="宋体" w:cs="宋体"/>
          <w:color w:val="auto"/>
          <w:sz w:val="24"/>
          <w:szCs w:val="24"/>
          <w:highlight w:val="none"/>
          <w:lang w:val="en-US" w:eastAsia="zh-CN"/>
        </w:rPr>
        <w:t>玖拾玖万捌仟肆佰</w:t>
      </w:r>
      <w:r>
        <w:rPr>
          <w:rFonts w:hint="eastAsia" w:ascii="宋体" w:hAnsi="宋体" w:cs="宋体"/>
          <w:color w:val="auto"/>
          <w:sz w:val="24"/>
          <w:szCs w:val="24"/>
          <w:highlight w:val="none"/>
          <w:lang w:eastAsia="zh-CN"/>
        </w:rPr>
        <w:t>元整</w:t>
      </w:r>
      <w:r>
        <w:rPr>
          <w:rFonts w:hint="eastAsia" w:ascii="宋体" w:hAnsi="宋体" w:cs="宋体"/>
          <w:color w:val="auto"/>
          <w:sz w:val="24"/>
          <w:szCs w:val="24"/>
          <w:highlight w:val="none"/>
        </w:rPr>
        <w:t>（￥</w:t>
      </w:r>
      <w:r>
        <w:rPr>
          <w:rFonts w:hint="eastAsia" w:ascii="宋体" w:hAnsi="宋体" w:cs="宋体"/>
          <w:color w:val="auto"/>
          <w:sz w:val="24"/>
          <w:szCs w:val="24"/>
          <w:highlight w:val="none"/>
          <w:lang w:val="en-US" w:eastAsia="zh-CN"/>
        </w:rPr>
        <w:t>998400</w:t>
      </w:r>
      <w:r>
        <w:rPr>
          <w:rFonts w:hint="eastAsia" w:ascii="宋体" w:hAnsi="宋体" w:cs="宋体"/>
          <w:color w:val="auto"/>
          <w:sz w:val="24"/>
          <w:szCs w:val="24"/>
          <w:highlight w:val="none"/>
        </w:rPr>
        <w:t>），采购预算为总报价的最高限价。</w:t>
      </w:r>
      <w:r>
        <w:rPr>
          <w:rFonts w:hint="eastAsia" w:ascii="宋体" w:hAnsi="宋体" w:cs="宋体"/>
          <w:color w:val="auto"/>
          <w:sz w:val="24"/>
          <w:szCs w:val="24"/>
          <w:highlight w:val="none"/>
          <w:lang w:val="en-US" w:eastAsia="zh-CN"/>
        </w:rPr>
        <w:t>其中源昌国际城项目</w:t>
      </w:r>
      <w:r>
        <w:rPr>
          <w:rFonts w:hint="eastAsia" w:cs="宋体"/>
          <w:color w:val="auto"/>
          <w:sz w:val="24"/>
          <w:szCs w:val="24"/>
          <w:highlight w:val="none"/>
          <w:lang w:val="en-US" w:eastAsia="zh-CN"/>
        </w:rPr>
        <w:t>维序服务费普通岗11700元/月/个（含税），消控岗13000元/月/个（含税），月服务费合计83200元（含税），年服务费合计998400元（含税），最高限价</w:t>
      </w:r>
      <w:r>
        <w:rPr>
          <w:rFonts w:hint="eastAsia" w:ascii="宋体" w:hAnsi="宋体" w:cs="宋体"/>
          <w:color w:val="auto"/>
          <w:sz w:val="24"/>
          <w:szCs w:val="24"/>
          <w:highlight w:val="none"/>
          <w:lang w:val="en-US" w:eastAsia="zh-CN"/>
        </w:rPr>
        <w:t>998400元</w:t>
      </w:r>
      <w:r>
        <w:rPr>
          <w:rFonts w:hint="eastAsia" w:ascii="宋体" w:hAnsi="宋体" w:cs="宋体"/>
          <w:color w:val="auto"/>
          <w:kern w:val="0"/>
          <w:sz w:val="24"/>
          <w:highlight w:val="none"/>
          <w:lang w:val="en-US" w:eastAsia="zh-CN"/>
        </w:rPr>
        <w:t>。</w:t>
      </w:r>
      <w:r>
        <w:rPr>
          <w:rFonts w:hint="eastAsia" w:ascii="宋体" w:hAnsi="宋体" w:cs="宋体"/>
          <w:color w:val="auto"/>
          <w:sz w:val="24"/>
          <w:highlight w:val="none"/>
          <w:lang w:val="en-US" w:eastAsia="zh-CN"/>
        </w:rPr>
        <w:t>供应商投标总报价低于最高限价总价，单项年服务费投标报价低于单项年服务费最高限价且单个岗位投标单价低于岗位最高限价</w:t>
      </w:r>
      <w:r>
        <w:rPr>
          <w:rFonts w:hint="eastAsia" w:ascii="宋体" w:hAnsi="宋体" w:cs="宋体"/>
          <w:color w:val="auto"/>
          <w:sz w:val="24"/>
          <w:szCs w:val="24"/>
          <w:highlight w:val="none"/>
        </w:rPr>
        <w:t>，否则作无效响应处理。</w:t>
      </w:r>
    </w:p>
    <w:bookmarkEnd w:id="169"/>
    <w:bookmarkEnd w:id="170"/>
    <w:bookmarkEnd w:id="171"/>
    <w:bookmarkEnd w:id="172"/>
    <w:bookmarkEnd w:id="173"/>
    <w:bookmarkEnd w:id="174"/>
    <w:bookmarkEnd w:id="175"/>
    <w:bookmarkEnd w:id="176"/>
    <w:bookmarkEnd w:id="177"/>
    <w:bookmarkEnd w:id="178"/>
    <w:bookmarkEnd w:id="179"/>
    <w:p w14:paraId="7C7A98B9">
      <w:pPr>
        <w:pStyle w:val="3"/>
        <w:adjustRightInd w:val="0"/>
        <w:snapToGrid w:val="0"/>
        <w:spacing w:before="0" w:after="0" w:line="360" w:lineRule="auto"/>
        <w:rPr>
          <w:rFonts w:ascii="宋体" w:hAnsi="宋体" w:cs="宋体"/>
          <w:color w:val="auto"/>
          <w:sz w:val="24"/>
          <w:szCs w:val="24"/>
          <w:highlight w:val="none"/>
        </w:rPr>
      </w:pPr>
      <w:bookmarkStart w:id="180" w:name="_Toc141847067"/>
      <w:bookmarkStart w:id="181" w:name="_Toc148496403"/>
      <w:bookmarkStart w:id="182" w:name="_Toc189832480"/>
      <w:bookmarkStart w:id="183" w:name="_Toc169877477"/>
      <w:bookmarkStart w:id="184" w:name="_Toc148496352"/>
      <w:bookmarkStart w:id="185" w:name="_Toc146679242"/>
      <w:bookmarkStart w:id="186" w:name="_Toc150852806"/>
      <w:bookmarkStart w:id="187" w:name="_Toc105315001"/>
      <w:bookmarkStart w:id="188" w:name="_Toc169944024"/>
      <w:bookmarkStart w:id="189" w:name="_Toc90180874"/>
      <w:bookmarkStart w:id="190" w:name="_Toc116869902"/>
      <w:bookmarkStart w:id="191" w:name="_Toc150163486"/>
      <w:bookmarkStart w:id="192" w:name="_Toc146679651"/>
      <w:bookmarkStart w:id="193" w:name="_Toc152583390"/>
      <w:bookmarkStart w:id="194" w:name="_Toc168037534"/>
      <w:bookmarkStart w:id="195" w:name="_Toc144818373"/>
      <w:bookmarkStart w:id="196" w:name="_Toc116895409"/>
      <w:bookmarkStart w:id="197" w:name="_Toc89791597"/>
      <w:bookmarkStart w:id="198" w:name="_Toc145393564"/>
      <w:bookmarkStart w:id="199" w:name="_Toc89791699"/>
      <w:bookmarkStart w:id="200" w:name="_Toc11845145"/>
      <w:r>
        <w:rPr>
          <w:rFonts w:hint="eastAsia" w:ascii="宋体" w:hAnsi="宋体" w:cs="宋体"/>
          <w:color w:val="auto"/>
          <w:sz w:val="24"/>
          <w:szCs w:val="24"/>
          <w:highlight w:val="none"/>
          <w:lang w:val="en-US" w:eastAsia="zh-CN"/>
        </w:rPr>
        <w:t>四、</w:t>
      </w:r>
      <w:r>
        <w:rPr>
          <w:rFonts w:hint="eastAsia" w:ascii="宋体" w:hAnsi="宋体" w:cs="宋体"/>
          <w:color w:val="auto"/>
          <w:sz w:val="24"/>
          <w:szCs w:val="24"/>
          <w:highlight w:val="none"/>
        </w:rPr>
        <w:t>合同签订</w:t>
      </w:r>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r>
        <w:rPr>
          <w:rFonts w:hint="eastAsia" w:ascii="宋体" w:hAnsi="宋体" w:cs="宋体"/>
          <w:color w:val="auto"/>
          <w:sz w:val="24"/>
          <w:szCs w:val="24"/>
          <w:highlight w:val="none"/>
        </w:rPr>
        <w:t>和付款方式</w:t>
      </w:r>
      <w:bookmarkEnd w:id="200"/>
    </w:p>
    <w:p w14:paraId="1A20F7FF">
      <w:pPr>
        <w:pStyle w:val="23"/>
        <w:adjustRightInd w:val="0"/>
        <w:snapToGrid w:val="0"/>
        <w:spacing w:line="360" w:lineRule="auto"/>
        <w:ind w:right="-42" w:firstLine="480"/>
        <w:rPr>
          <w:rFonts w:hint="eastAsia" w:ascii="宋体" w:hAnsi="宋体" w:cs="宋体"/>
          <w:color w:val="auto"/>
          <w:kern w:val="2"/>
          <w:sz w:val="24"/>
          <w:highlight w:val="none"/>
        </w:rPr>
      </w:pPr>
      <w:r>
        <w:rPr>
          <w:rFonts w:hint="eastAsia" w:ascii="宋体" w:hAnsi="宋体" w:cs="宋体"/>
          <w:color w:val="auto"/>
          <w:kern w:val="2"/>
          <w:sz w:val="24"/>
          <w:highlight w:val="none"/>
        </w:rPr>
        <w:t>合同签订时限：自中标通知书发出之日起30个日历日内。</w:t>
      </w:r>
    </w:p>
    <w:p w14:paraId="5DC91E7F">
      <w:pPr>
        <w:pStyle w:val="23"/>
        <w:adjustRightInd w:val="0"/>
        <w:snapToGrid w:val="0"/>
        <w:spacing w:line="360" w:lineRule="auto"/>
        <w:ind w:right="-42" w:firstLine="480"/>
        <w:rPr>
          <w:rFonts w:hint="eastAsia" w:ascii="宋体" w:hAnsi="宋体" w:eastAsia="宋体" w:cs="宋体"/>
          <w:color w:val="auto"/>
          <w:kern w:val="2"/>
          <w:sz w:val="24"/>
          <w:highlight w:val="none"/>
          <w:lang w:eastAsia="zh-CN"/>
        </w:rPr>
      </w:pPr>
      <w:r>
        <w:rPr>
          <w:rFonts w:hint="eastAsia" w:ascii="宋体" w:hAnsi="宋体" w:cs="宋体"/>
          <w:color w:val="auto"/>
          <w:kern w:val="2"/>
          <w:sz w:val="24"/>
          <w:highlight w:val="none"/>
          <w:lang w:eastAsia="zh-CN"/>
        </w:rPr>
        <w:t>其余内容详见</w:t>
      </w:r>
      <w:r>
        <w:rPr>
          <w:rFonts w:hint="eastAsia" w:ascii="宋体" w:hAnsi="宋体" w:cs="宋体"/>
          <w:color w:val="auto"/>
          <w:kern w:val="2"/>
          <w:sz w:val="24"/>
          <w:highlight w:val="none"/>
          <w:lang w:val="en-US" w:eastAsia="zh-CN"/>
        </w:rPr>
        <w:t>采购</w:t>
      </w:r>
      <w:r>
        <w:rPr>
          <w:rFonts w:hint="eastAsia" w:ascii="宋体" w:hAnsi="宋体" w:cs="宋体"/>
          <w:color w:val="auto"/>
          <w:kern w:val="2"/>
          <w:sz w:val="24"/>
          <w:highlight w:val="none"/>
          <w:lang w:eastAsia="zh-CN"/>
        </w:rPr>
        <w:t>合同。</w:t>
      </w:r>
    </w:p>
    <w:bookmarkEnd w:id="140"/>
    <w:bookmarkEnd w:id="141"/>
    <w:p w14:paraId="1B98B50B">
      <w:pPr>
        <w:adjustRightInd w:val="0"/>
        <w:snapToGrid w:val="0"/>
        <w:jc w:val="center"/>
        <w:outlineLvl w:val="1"/>
        <w:rPr>
          <w:rFonts w:hint="default" w:ascii="宋体" w:hAnsi="宋体" w:eastAsia="宋体" w:cs="宋体"/>
          <w:b/>
          <w:bCs/>
          <w:color w:val="auto"/>
          <w:sz w:val="36"/>
          <w:szCs w:val="24"/>
          <w:highlight w:val="none"/>
        </w:rPr>
      </w:pPr>
      <w:r>
        <w:rPr>
          <w:rFonts w:hint="default" w:ascii="宋体" w:hAnsi="宋体" w:eastAsia="宋体" w:cs="宋体"/>
          <w:b/>
          <w:bCs/>
          <w:color w:val="auto"/>
          <w:sz w:val="36"/>
          <w:szCs w:val="24"/>
          <w:highlight w:val="none"/>
        </w:rPr>
        <w:br w:type="page"/>
      </w:r>
    </w:p>
    <w:p w14:paraId="6F362089">
      <w:pPr>
        <w:pStyle w:val="94"/>
        <w:jc w:val="center"/>
        <w:outlineLvl w:val="1"/>
        <w:rPr>
          <w:rFonts w:hint="default" w:ascii="宋体" w:hAnsi="宋体" w:eastAsia="宋体" w:cs="宋体"/>
          <w:color w:val="auto"/>
          <w:highlight w:val="none"/>
        </w:rPr>
      </w:pPr>
      <w:r>
        <w:rPr>
          <w:rFonts w:ascii="宋体" w:hAnsi="宋体" w:eastAsia="宋体" w:cs="宋体"/>
          <w:b/>
          <w:bCs/>
          <w:color w:val="auto"/>
          <w:sz w:val="36"/>
          <w:szCs w:val="24"/>
          <w:highlight w:val="none"/>
        </w:rPr>
        <w:t xml:space="preserve">第四章   </w:t>
      </w:r>
      <w:r>
        <w:rPr>
          <w:rFonts w:ascii="宋体" w:hAnsi="宋体" w:eastAsia="宋体" w:cs="宋体"/>
          <w:b/>
          <w:color w:val="auto"/>
          <w:sz w:val="36"/>
          <w:highlight w:val="none"/>
        </w:rPr>
        <w:t>政府采购合同</w:t>
      </w:r>
    </w:p>
    <w:p w14:paraId="3F5A354C">
      <w:pPr>
        <w:pStyle w:val="94"/>
        <w:jc w:val="center"/>
        <w:outlineLvl w:val="2"/>
        <w:rPr>
          <w:color w:val="auto"/>
          <w:highlight w:val="none"/>
        </w:rPr>
      </w:pPr>
      <w:r>
        <w:rPr>
          <w:rFonts w:ascii="宋体" w:hAnsi="宋体" w:eastAsia="宋体" w:cs="宋体"/>
          <w:b/>
          <w:color w:val="auto"/>
          <w:sz w:val="28"/>
          <w:highlight w:val="none"/>
        </w:rPr>
        <w:t xml:space="preserve">   </w:t>
      </w:r>
      <w:r>
        <w:rPr>
          <w:rFonts w:ascii="仿宋_GB2312" w:hAnsi="仿宋_GB2312" w:eastAsia="仿宋_GB2312" w:cs="仿宋_GB2312"/>
          <w:b/>
          <w:color w:val="auto"/>
          <w:sz w:val="28"/>
          <w:highlight w:val="none"/>
        </w:rPr>
        <w:t>参考文本</w:t>
      </w:r>
    </w:p>
    <w:p w14:paraId="342865ED">
      <w:pPr>
        <w:jc w:val="center"/>
        <w:rPr>
          <w:rFonts w:hint="eastAsia" w:ascii="Times New Roman" w:hAnsi="Times New Roman" w:eastAsia="仿宋_GB2312" w:cs="仿宋_GB2312"/>
          <w:b/>
          <w:color w:val="auto"/>
          <w:sz w:val="52"/>
          <w:szCs w:val="52"/>
          <w:highlight w:val="none"/>
          <w:lang w:bidi="ar"/>
        </w:rPr>
      </w:pPr>
    </w:p>
    <w:p w14:paraId="4B69E135">
      <w:pPr>
        <w:jc w:val="center"/>
        <w:rPr>
          <w:rFonts w:hint="eastAsia" w:ascii="Times New Roman" w:hAnsi="Times New Roman" w:eastAsia="仿宋_GB2312" w:cs="仿宋_GB2312"/>
          <w:b/>
          <w:color w:val="auto"/>
          <w:sz w:val="52"/>
          <w:szCs w:val="52"/>
          <w:highlight w:val="none"/>
          <w:lang w:bidi="ar"/>
        </w:rPr>
      </w:pPr>
    </w:p>
    <w:p w14:paraId="2324D56B">
      <w:pPr>
        <w:spacing w:line="360" w:lineRule="auto"/>
        <w:jc w:val="center"/>
        <w:rPr>
          <w:rFonts w:hint="eastAsia" w:ascii="宋体" w:hAnsi="宋体" w:cs="宋体"/>
          <w:b/>
          <w:bCs/>
          <w:color w:val="auto"/>
          <w:sz w:val="24"/>
          <w:highlight w:val="none"/>
          <w:lang w:val="en-GB"/>
        </w:rPr>
      </w:pPr>
    </w:p>
    <w:p w14:paraId="7C42221E">
      <w:pPr>
        <w:spacing w:line="360" w:lineRule="auto"/>
        <w:jc w:val="center"/>
        <w:rPr>
          <w:rFonts w:hint="eastAsia" w:ascii="宋体" w:hAnsi="宋体" w:cs="宋体"/>
          <w:b/>
          <w:bCs/>
          <w:color w:val="auto"/>
          <w:sz w:val="32"/>
          <w:szCs w:val="32"/>
          <w:highlight w:val="none"/>
          <w:lang w:val="en-GB"/>
        </w:rPr>
      </w:pPr>
      <w:r>
        <w:rPr>
          <w:rFonts w:hint="eastAsia" w:ascii="宋体" w:hAnsi="宋体" w:cs="宋体"/>
          <w:b/>
          <w:bCs/>
          <w:color w:val="auto"/>
          <w:sz w:val="36"/>
          <w:szCs w:val="36"/>
          <w:highlight w:val="none"/>
          <w:lang w:val="en-GB"/>
        </w:rPr>
        <w:t>维序服务合同</w:t>
      </w:r>
    </w:p>
    <w:p w14:paraId="29B23FE6">
      <w:pPr>
        <w:spacing w:line="360" w:lineRule="auto"/>
        <w:ind w:firstLine="964" w:firstLineChars="300"/>
        <w:jc w:val="both"/>
        <w:rPr>
          <w:rFonts w:hint="eastAsia" w:ascii="宋体" w:hAnsi="宋体" w:cs="宋体"/>
          <w:b/>
          <w:bCs/>
          <w:color w:val="auto"/>
          <w:sz w:val="32"/>
          <w:szCs w:val="32"/>
          <w:highlight w:val="none"/>
          <w:lang w:val="en-GB"/>
        </w:rPr>
      </w:pPr>
      <w:r>
        <w:rPr>
          <w:rFonts w:hint="eastAsia" w:ascii="宋体" w:hAnsi="宋体" w:cs="宋体"/>
          <w:b/>
          <w:bCs/>
          <w:color w:val="auto"/>
          <w:sz w:val="32"/>
          <w:szCs w:val="32"/>
          <w:highlight w:val="none"/>
          <w:lang w:val="en-GB"/>
        </w:rPr>
        <w:t>项目名称：【</w:t>
      </w:r>
      <w:r>
        <w:rPr>
          <w:rFonts w:hint="eastAsia" w:ascii="宋体" w:hAnsi="宋体" w:cs="宋体"/>
          <w:b/>
          <w:bCs/>
          <w:color w:val="auto"/>
          <w:sz w:val="32"/>
          <w:szCs w:val="32"/>
          <w:highlight w:val="none"/>
        </w:rPr>
        <w:t xml:space="preserve">        </w:t>
      </w:r>
      <w:r>
        <w:rPr>
          <w:rFonts w:hint="eastAsia" w:ascii="宋体" w:hAnsi="宋体" w:cs="宋体"/>
          <w:b/>
          <w:bCs/>
          <w:color w:val="auto"/>
          <w:sz w:val="32"/>
          <w:szCs w:val="32"/>
          <w:highlight w:val="none"/>
          <w:lang w:val="en-US" w:eastAsia="zh-CN"/>
        </w:rPr>
        <w:t xml:space="preserve">     </w:t>
      </w:r>
      <w:r>
        <w:rPr>
          <w:rFonts w:hint="eastAsia" w:ascii="宋体" w:hAnsi="宋体" w:cs="宋体"/>
          <w:b/>
          <w:bCs/>
          <w:color w:val="auto"/>
          <w:sz w:val="32"/>
          <w:szCs w:val="32"/>
          <w:highlight w:val="none"/>
        </w:rPr>
        <w:t xml:space="preserve">    </w:t>
      </w:r>
      <w:r>
        <w:rPr>
          <w:rFonts w:hint="eastAsia" w:ascii="宋体" w:hAnsi="宋体" w:cs="宋体"/>
          <w:b/>
          <w:bCs/>
          <w:color w:val="auto"/>
          <w:sz w:val="32"/>
          <w:szCs w:val="32"/>
          <w:highlight w:val="none"/>
          <w:lang w:val="en-GB"/>
        </w:rPr>
        <w:t>】</w:t>
      </w:r>
      <w:r>
        <w:rPr>
          <w:rFonts w:hint="eastAsia" w:ascii="宋体" w:hAnsi="宋体" w:cs="宋体"/>
          <w:b/>
          <w:bCs/>
          <w:color w:val="auto"/>
          <w:sz w:val="36"/>
          <w:szCs w:val="36"/>
          <w:highlight w:val="none"/>
          <w:lang w:val="en-GB"/>
        </w:rPr>
        <w:t>维序服务合同</w:t>
      </w:r>
      <w:r>
        <w:rPr>
          <w:rFonts w:hint="eastAsia" w:ascii="宋体" w:hAnsi="宋体" w:cs="宋体"/>
          <w:b/>
          <w:bCs/>
          <w:color w:val="auto"/>
          <w:sz w:val="32"/>
          <w:szCs w:val="32"/>
          <w:highlight w:val="none"/>
          <w:lang w:val="en-GB"/>
        </w:rPr>
        <w:tab/>
      </w:r>
    </w:p>
    <w:p w14:paraId="3EFE47D4">
      <w:pPr>
        <w:spacing w:line="360" w:lineRule="auto"/>
        <w:ind w:firstLine="321"/>
        <w:rPr>
          <w:rFonts w:hint="eastAsia" w:ascii="宋体" w:hAnsi="宋体" w:cs="宋体"/>
          <w:b/>
          <w:bCs/>
          <w:color w:val="auto"/>
          <w:sz w:val="32"/>
          <w:szCs w:val="32"/>
          <w:highlight w:val="none"/>
        </w:rPr>
      </w:pPr>
      <w:r>
        <w:rPr>
          <w:rFonts w:hint="eastAsia" w:ascii="宋体" w:hAnsi="宋体" w:cs="宋体"/>
          <w:b/>
          <w:bCs/>
          <w:color w:val="auto"/>
          <w:sz w:val="32"/>
          <w:szCs w:val="32"/>
          <w:highlight w:val="none"/>
          <w:lang w:val="en-GB"/>
        </w:rPr>
        <w:t xml:space="preserve">    发包单位（甲方）：【</w:t>
      </w:r>
      <w:r>
        <w:rPr>
          <w:rFonts w:hint="eastAsia" w:ascii="宋体" w:hAnsi="宋体" w:cs="宋体"/>
          <w:b/>
          <w:bCs/>
          <w:color w:val="auto"/>
          <w:sz w:val="32"/>
          <w:szCs w:val="32"/>
          <w:highlight w:val="none"/>
          <w:lang w:val="en-US" w:eastAsia="zh-CN"/>
        </w:rPr>
        <w:t xml:space="preserve">                        </w:t>
      </w:r>
      <w:r>
        <w:rPr>
          <w:rFonts w:hint="eastAsia" w:ascii="宋体" w:hAnsi="宋体" w:cs="宋体"/>
          <w:b/>
          <w:bCs/>
          <w:color w:val="auto"/>
          <w:sz w:val="32"/>
          <w:szCs w:val="32"/>
          <w:highlight w:val="none"/>
          <w:lang w:val="en-GB"/>
        </w:rPr>
        <w:t>】</w:t>
      </w:r>
    </w:p>
    <w:p w14:paraId="5061E26A">
      <w:pPr>
        <w:spacing w:line="360" w:lineRule="auto"/>
        <w:rPr>
          <w:rFonts w:hint="eastAsia" w:ascii="宋体" w:hAnsi="宋体" w:cs="宋体"/>
          <w:b/>
          <w:bCs/>
          <w:color w:val="auto"/>
          <w:sz w:val="32"/>
          <w:szCs w:val="32"/>
          <w:highlight w:val="none"/>
          <w:lang w:val="en-GB"/>
        </w:rPr>
      </w:pPr>
      <w:r>
        <w:rPr>
          <w:rFonts w:hint="eastAsia" w:ascii="宋体" w:hAnsi="宋体" w:cs="宋体"/>
          <w:b/>
          <w:bCs/>
          <w:color w:val="auto"/>
          <w:sz w:val="32"/>
          <w:szCs w:val="32"/>
          <w:highlight w:val="none"/>
        </w:rPr>
        <w:t xml:space="preserve">      </w:t>
      </w:r>
      <w:r>
        <w:rPr>
          <w:rFonts w:hint="eastAsia" w:ascii="宋体" w:hAnsi="宋体" w:cs="宋体"/>
          <w:b/>
          <w:bCs/>
          <w:color w:val="auto"/>
          <w:sz w:val="32"/>
          <w:szCs w:val="32"/>
          <w:highlight w:val="none"/>
          <w:lang w:val="en-GB"/>
        </w:rPr>
        <w:t>承包单位（乙方）：【</w:t>
      </w:r>
      <w:r>
        <w:rPr>
          <w:rFonts w:hint="eastAsia" w:ascii="宋体" w:hAnsi="宋体" w:cs="宋体"/>
          <w:b/>
          <w:bCs/>
          <w:color w:val="auto"/>
          <w:sz w:val="32"/>
          <w:szCs w:val="32"/>
          <w:highlight w:val="none"/>
        </w:rPr>
        <w:t xml:space="preserve">            </w:t>
      </w:r>
      <w:r>
        <w:rPr>
          <w:rFonts w:hint="eastAsia" w:ascii="宋体" w:hAnsi="宋体" w:cs="宋体"/>
          <w:b/>
          <w:bCs/>
          <w:color w:val="auto"/>
          <w:sz w:val="32"/>
          <w:szCs w:val="32"/>
          <w:highlight w:val="none"/>
          <w:lang w:val="en-US" w:eastAsia="zh-CN"/>
        </w:rPr>
        <w:t xml:space="preserve">         </w:t>
      </w:r>
      <w:r>
        <w:rPr>
          <w:rFonts w:hint="eastAsia" w:ascii="宋体" w:hAnsi="宋体" w:cs="宋体"/>
          <w:b/>
          <w:bCs/>
          <w:color w:val="auto"/>
          <w:sz w:val="32"/>
          <w:szCs w:val="32"/>
          <w:highlight w:val="none"/>
        </w:rPr>
        <w:t xml:space="preserve">   </w:t>
      </w:r>
      <w:r>
        <w:rPr>
          <w:rFonts w:hint="eastAsia" w:ascii="宋体" w:hAnsi="宋体" w:cs="宋体"/>
          <w:b/>
          <w:bCs/>
          <w:color w:val="auto"/>
          <w:sz w:val="32"/>
          <w:szCs w:val="32"/>
          <w:highlight w:val="none"/>
          <w:lang w:val="en-GB"/>
        </w:rPr>
        <w:t>】</w:t>
      </w:r>
      <w:r>
        <w:rPr>
          <w:rFonts w:hint="eastAsia" w:ascii="宋体" w:hAnsi="宋体" w:cs="宋体"/>
          <w:b/>
          <w:bCs/>
          <w:color w:val="auto"/>
          <w:sz w:val="32"/>
          <w:szCs w:val="32"/>
          <w:highlight w:val="none"/>
          <w:lang w:val="en-GB"/>
        </w:rPr>
        <w:tab/>
      </w:r>
      <w:r>
        <w:rPr>
          <w:rFonts w:hint="eastAsia" w:ascii="宋体" w:hAnsi="宋体" w:cs="宋体"/>
          <w:b/>
          <w:bCs/>
          <w:color w:val="auto"/>
          <w:sz w:val="32"/>
          <w:szCs w:val="32"/>
          <w:highlight w:val="none"/>
          <w:lang w:val="en-GB"/>
        </w:rPr>
        <w:tab/>
      </w:r>
      <w:r>
        <w:rPr>
          <w:rFonts w:hint="eastAsia" w:ascii="宋体" w:hAnsi="宋体" w:cs="宋体"/>
          <w:b/>
          <w:bCs/>
          <w:color w:val="auto"/>
          <w:sz w:val="32"/>
          <w:szCs w:val="32"/>
          <w:highlight w:val="none"/>
          <w:lang w:val="en-GB"/>
        </w:rPr>
        <w:t xml:space="preserve"> </w:t>
      </w:r>
    </w:p>
    <w:p w14:paraId="2F4DA6D2">
      <w:pPr>
        <w:spacing w:line="360" w:lineRule="auto"/>
        <w:jc w:val="center"/>
        <w:rPr>
          <w:rFonts w:hint="eastAsia" w:ascii="宋体" w:hAnsi="宋体" w:cs="宋体"/>
          <w:b/>
          <w:bCs/>
          <w:color w:val="auto"/>
          <w:sz w:val="32"/>
          <w:szCs w:val="32"/>
          <w:highlight w:val="none"/>
          <w:lang w:val="en-GB"/>
        </w:rPr>
      </w:pPr>
    </w:p>
    <w:p w14:paraId="4F5916ED">
      <w:pPr>
        <w:spacing w:line="360" w:lineRule="auto"/>
        <w:jc w:val="center"/>
        <w:rPr>
          <w:rFonts w:hint="eastAsia" w:ascii="宋体" w:hAnsi="宋体" w:cs="宋体"/>
          <w:b/>
          <w:bCs/>
          <w:color w:val="auto"/>
          <w:sz w:val="32"/>
          <w:szCs w:val="32"/>
          <w:highlight w:val="none"/>
          <w:lang w:val="en-GB"/>
        </w:rPr>
      </w:pPr>
    </w:p>
    <w:p w14:paraId="3AB35120">
      <w:pPr>
        <w:spacing w:line="360" w:lineRule="auto"/>
        <w:jc w:val="center"/>
        <w:rPr>
          <w:rFonts w:hint="eastAsia" w:ascii="宋体" w:hAnsi="宋体" w:cs="宋体"/>
          <w:b/>
          <w:bCs/>
          <w:color w:val="auto"/>
          <w:sz w:val="24"/>
          <w:szCs w:val="32"/>
          <w:highlight w:val="none"/>
          <w:lang w:val="en-GB"/>
        </w:rPr>
      </w:pPr>
    </w:p>
    <w:p w14:paraId="67F22D1C">
      <w:pPr>
        <w:spacing w:line="360" w:lineRule="auto"/>
        <w:jc w:val="center"/>
        <w:rPr>
          <w:rFonts w:hint="eastAsia" w:ascii="宋体" w:hAnsi="宋体" w:cs="宋体"/>
          <w:b/>
          <w:bCs/>
          <w:color w:val="auto"/>
          <w:sz w:val="24"/>
          <w:highlight w:val="none"/>
          <w:lang w:val="en-GB"/>
        </w:rPr>
      </w:pPr>
    </w:p>
    <w:p w14:paraId="747613E4">
      <w:pPr>
        <w:spacing w:line="360" w:lineRule="auto"/>
        <w:jc w:val="center"/>
        <w:rPr>
          <w:rFonts w:hint="eastAsia" w:ascii="宋体" w:hAnsi="宋体" w:cs="宋体"/>
          <w:b/>
          <w:bCs/>
          <w:color w:val="auto"/>
          <w:sz w:val="24"/>
          <w:highlight w:val="none"/>
          <w:lang w:val="en-GB"/>
        </w:rPr>
      </w:pPr>
    </w:p>
    <w:p w14:paraId="513C1D77">
      <w:pPr>
        <w:spacing w:line="360" w:lineRule="auto"/>
        <w:jc w:val="center"/>
        <w:rPr>
          <w:rFonts w:hint="eastAsia" w:ascii="宋体" w:hAnsi="宋体" w:cs="宋体"/>
          <w:b/>
          <w:bCs/>
          <w:color w:val="auto"/>
          <w:sz w:val="24"/>
          <w:highlight w:val="none"/>
          <w:lang w:val="en-GB"/>
        </w:rPr>
      </w:pPr>
    </w:p>
    <w:p w14:paraId="04B4AD25">
      <w:pPr>
        <w:spacing w:line="360" w:lineRule="auto"/>
        <w:rPr>
          <w:rFonts w:hint="eastAsia" w:ascii="宋体" w:hAnsi="宋体" w:cs="宋体"/>
          <w:b/>
          <w:bCs/>
          <w:color w:val="auto"/>
          <w:sz w:val="24"/>
          <w:highlight w:val="none"/>
          <w:lang w:val="en-GB"/>
        </w:rPr>
      </w:pPr>
    </w:p>
    <w:p w14:paraId="2CFAD0B3">
      <w:pPr>
        <w:spacing w:line="360" w:lineRule="auto"/>
        <w:rPr>
          <w:rFonts w:hint="eastAsia" w:ascii="宋体" w:hAnsi="宋体" w:cs="宋体"/>
          <w:b/>
          <w:bCs/>
          <w:color w:val="auto"/>
          <w:sz w:val="24"/>
          <w:highlight w:val="none"/>
          <w:lang w:val="en-GB"/>
        </w:rPr>
      </w:pPr>
    </w:p>
    <w:p w14:paraId="02DB364B">
      <w:pPr>
        <w:spacing w:line="360" w:lineRule="auto"/>
        <w:rPr>
          <w:rFonts w:hint="eastAsia" w:ascii="宋体" w:hAnsi="宋体" w:cs="宋体"/>
          <w:b/>
          <w:bCs/>
          <w:color w:val="auto"/>
          <w:sz w:val="24"/>
          <w:highlight w:val="none"/>
          <w:lang w:val="en-GB"/>
        </w:rPr>
      </w:pPr>
    </w:p>
    <w:p w14:paraId="7690909C">
      <w:pPr>
        <w:spacing w:line="360" w:lineRule="auto"/>
        <w:rPr>
          <w:rFonts w:hint="eastAsia" w:ascii="宋体" w:hAnsi="宋体" w:cs="宋体"/>
          <w:b/>
          <w:bCs/>
          <w:color w:val="auto"/>
          <w:sz w:val="24"/>
          <w:highlight w:val="none"/>
          <w:lang w:val="en-GB"/>
        </w:rPr>
      </w:pPr>
    </w:p>
    <w:p w14:paraId="1E7E7FD9">
      <w:pPr>
        <w:spacing w:line="360" w:lineRule="auto"/>
        <w:rPr>
          <w:rFonts w:hint="eastAsia" w:ascii="宋体" w:hAnsi="宋体" w:cs="宋体"/>
          <w:b/>
          <w:bCs/>
          <w:color w:val="auto"/>
          <w:sz w:val="24"/>
          <w:highlight w:val="none"/>
          <w:lang w:val="en-GB"/>
        </w:rPr>
      </w:pPr>
    </w:p>
    <w:p w14:paraId="42ABF2D1">
      <w:pPr>
        <w:spacing w:line="360" w:lineRule="auto"/>
        <w:rPr>
          <w:rFonts w:hint="eastAsia" w:ascii="宋体" w:hAnsi="宋体" w:cs="宋体"/>
          <w:b/>
          <w:bCs/>
          <w:color w:val="auto"/>
          <w:sz w:val="24"/>
          <w:highlight w:val="none"/>
          <w:lang w:val="en-GB"/>
        </w:rPr>
      </w:pPr>
    </w:p>
    <w:p w14:paraId="65A05AC0">
      <w:pPr>
        <w:spacing w:line="360" w:lineRule="auto"/>
        <w:rPr>
          <w:rFonts w:hint="eastAsia" w:ascii="宋体" w:hAnsi="宋体" w:cs="宋体"/>
          <w:b/>
          <w:bCs/>
          <w:color w:val="auto"/>
          <w:sz w:val="24"/>
          <w:highlight w:val="none"/>
          <w:lang w:val="en-GB"/>
        </w:rPr>
      </w:pPr>
    </w:p>
    <w:p w14:paraId="708CA4C1">
      <w:pPr>
        <w:spacing w:line="360" w:lineRule="auto"/>
        <w:rPr>
          <w:rFonts w:hint="eastAsia" w:ascii="宋体" w:hAnsi="宋体" w:cs="宋体"/>
          <w:b/>
          <w:bCs/>
          <w:color w:val="auto"/>
          <w:sz w:val="24"/>
          <w:highlight w:val="none"/>
          <w:lang w:val="en-GB"/>
        </w:rPr>
      </w:pPr>
    </w:p>
    <w:p w14:paraId="65A13B53">
      <w:pPr>
        <w:spacing w:line="360" w:lineRule="auto"/>
        <w:rPr>
          <w:rFonts w:hint="eastAsia" w:ascii="宋体" w:hAnsi="宋体" w:cs="宋体"/>
          <w:b/>
          <w:bCs/>
          <w:color w:val="auto"/>
          <w:sz w:val="24"/>
          <w:highlight w:val="none"/>
          <w:lang w:val="en-GB"/>
        </w:rPr>
      </w:pPr>
    </w:p>
    <w:p w14:paraId="67D69AE9">
      <w:pPr>
        <w:spacing w:line="360" w:lineRule="auto"/>
        <w:rPr>
          <w:rFonts w:hint="eastAsia" w:ascii="宋体" w:hAnsi="宋体" w:cs="宋体"/>
          <w:b/>
          <w:bCs/>
          <w:color w:val="auto"/>
          <w:sz w:val="24"/>
          <w:highlight w:val="none"/>
          <w:lang w:val="en-GB"/>
        </w:rPr>
      </w:pPr>
    </w:p>
    <w:p w14:paraId="1C079C63">
      <w:pPr>
        <w:spacing w:line="360" w:lineRule="auto"/>
        <w:rPr>
          <w:rFonts w:hint="eastAsia" w:ascii="宋体" w:hAnsi="宋体" w:cs="宋体"/>
          <w:b/>
          <w:bCs/>
          <w:color w:val="auto"/>
          <w:sz w:val="24"/>
          <w:highlight w:val="none"/>
          <w:lang w:val="en-GB"/>
        </w:rPr>
      </w:pPr>
    </w:p>
    <w:p w14:paraId="46FDC85A">
      <w:pPr>
        <w:spacing w:line="360" w:lineRule="auto"/>
        <w:jc w:val="center"/>
        <w:rPr>
          <w:rFonts w:hint="eastAsia" w:ascii="宋体" w:hAnsi="宋体" w:cs="宋体"/>
          <w:b/>
          <w:bCs/>
          <w:color w:val="auto"/>
          <w:sz w:val="28"/>
          <w:szCs w:val="28"/>
          <w:highlight w:val="none"/>
          <w:lang w:val="en-GB"/>
        </w:rPr>
      </w:pPr>
      <w:r>
        <w:rPr>
          <w:rFonts w:hint="eastAsia" w:ascii="宋体" w:hAnsi="宋体" w:cs="宋体"/>
          <w:b/>
          <w:color w:val="auto"/>
          <w:sz w:val="28"/>
          <w:szCs w:val="28"/>
          <w:highlight w:val="none"/>
        </w:rPr>
        <w:t>签订时间：   年    月   日</w:t>
      </w:r>
    </w:p>
    <w:p w14:paraId="1D3FF8AE">
      <w:pPr>
        <w:spacing w:line="360" w:lineRule="auto"/>
        <w:ind w:firstLine="3373"/>
        <w:rPr>
          <w:rFonts w:hint="eastAsia" w:ascii="宋体" w:hAnsi="宋体" w:cs="宋体"/>
          <w:b/>
          <w:bCs/>
          <w:color w:val="auto"/>
          <w:sz w:val="28"/>
          <w:szCs w:val="28"/>
          <w:highlight w:val="none"/>
          <w:lang w:val="en-GB"/>
        </w:rPr>
      </w:pPr>
      <w:bookmarkStart w:id="209" w:name="_GoBack"/>
      <w:bookmarkEnd w:id="209"/>
    </w:p>
    <w:p w14:paraId="061D808B">
      <w:pPr>
        <w:spacing w:line="360" w:lineRule="auto"/>
        <w:rPr>
          <w:rFonts w:hint="eastAsia" w:ascii="宋体" w:hAnsi="宋体" w:cs="宋体"/>
          <w:b/>
          <w:bCs/>
          <w:color w:val="auto"/>
          <w:sz w:val="28"/>
          <w:szCs w:val="28"/>
          <w:highlight w:val="none"/>
          <w:lang w:val="en-GB"/>
        </w:rPr>
      </w:pPr>
    </w:p>
    <w:p w14:paraId="2BEEDC17">
      <w:pPr>
        <w:spacing w:line="360" w:lineRule="auto"/>
        <w:jc w:val="center"/>
        <w:rPr>
          <w:rFonts w:hint="eastAsia" w:ascii="宋体" w:hAnsi="宋体" w:cs="宋体"/>
          <w:b/>
          <w:bCs/>
          <w:color w:val="auto"/>
          <w:sz w:val="28"/>
          <w:szCs w:val="28"/>
          <w:highlight w:val="none"/>
          <w:lang w:val="en-GB"/>
        </w:rPr>
      </w:pPr>
    </w:p>
    <w:p w14:paraId="7A36C4D3">
      <w:pPr>
        <w:spacing w:line="360" w:lineRule="auto"/>
        <w:jc w:val="center"/>
        <w:rPr>
          <w:rFonts w:hint="eastAsia" w:ascii="宋体" w:hAnsi="宋体" w:cs="宋体"/>
          <w:color w:val="auto"/>
          <w:sz w:val="24"/>
          <w:highlight w:val="none"/>
        </w:rPr>
      </w:pPr>
      <w:r>
        <w:rPr>
          <w:rFonts w:hint="eastAsia" w:ascii="宋体" w:hAnsi="宋体" w:cs="宋体"/>
          <w:b/>
          <w:bCs/>
          <w:color w:val="auto"/>
          <w:sz w:val="28"/>
          <w:szCs w:val="28"/>
          <w:highlight w:val="none"/>
          <w:lang w:val="en-GB"/>
        </w:rPr>
        <w:t>维序服务合同</w:t>
      </w:r>
    </w:p>
    <w:p w14:paraId="512821D6">
      <w:pPr>
        <w:spacing w:line="360" w:lineRule="auto"/>
        <w:rPr>
          <w:rFonts w:hint="eastAsia" w:ascii="宋体" w:hAnsi="宋体" w:cs="宋体"/>
          <w:color w:val="auto"/>
          <w:sz w:val="24"/>
          <w:highlight w:val="none"/>
        </w:rPr>
      </w:pPr>
    </w:p>
    <w:p w14:paraId="32B29533">
      <w:pPr>
        <w:spacing w:line="360" w:lineRule="auto"/>
        <w:rPr>
          <w:rFonts w:hint="eastAsia" w:ascii="宋体" w:hAnsi="宋体" w:cs="宋体"/>
          <w:color w:val="auto"/>
          <w:sz w:val="24"/>
          <w:highlight w:val="none"/>
          <w:lang w:val="en-US" w:eastAsia="zh-CN"/>
        </w:rPr>
      </w:pPr>
      <w:r>
        <w:rPr>
          <w:rFonts w:hint="eastAsia" w:ascii="宋体" w:hAnsi="宋体" w:cs="宋体"/>
          <w:color w:val="auto"/>
          <w:sz w:val="24"/>
          <w:highlight w:val="none"/>
        </w:rPr>
        <w:t>甲方（发包方）：</w:t>
      </w:r>
      <w:r>
        <w:rPr>
          <w:rFonts w:hint="eastAsia" w:ascii="宋体" w:hAnsi="宋体" w:cs="宋体"/>
          <w:color w:val="auto"/>
          <w:sz w:val="24"/>
          <w:highlight w:val="none"/>
          <w:lang w:val="en-US" w:eastAsia="zh-CN"/>
        </w:rPr>
        <w:t xml:space="preserve"> </w:t>
      </w:r>
    </w:p>
    <w:p w14:paraId="32FD1B57">
      <w:pPr>
        <w:spacing w:line="360" w:lineRule="auto"/>
        <w:rPr>
          <w:rFonts w:ascii="宋体" w:hAnsi="宋体" w:cs="宋体"/>
          <w:color w:val="auto"/>
          <w:sz w:val="24"/>
          <w:highlight w:val="none"/>
        </w:rPr>
      </w:pPr>
      <w:r>
        <w:rPr>
          <w:rFonts w:hint="eastAsia" w:ascii="宋体" w:hAnsi="宋体" w:cs="宋体"/>
          <w:color w:val="auto"/>
          <w:sz w:val="24"/>
          <w:highlight w:val="none"/>
        </w:rPr>
        <w:t xml:space="preserve">乙方（承包方）：   </w:t>
      </w:r>
    </w:p>
    <w:p w14:paraId="51045E5A">
      <w:pPr>
        <w:spacing w:line="360" w:lineRule="auto"/>
        <w:rPr>
          <w:rFonts w:hint="eastAsia" w:ascii="宋体" w:hAnsi="宋体" w:cs="宋体"/>
          <w:color w:val="auto"/>
          <w:sz w:val="24"/>
          <w:highlight w:val="none"/>
        </w:rPr>
      </w:pPr>
    </w:p>
    <w:p w14:paraId="3CEB1C19">
      <w:pPr>
        <w:spacing w:line="360" w:lineRule="auto"/>
        <w:rPr>
          <w:rFonts w:ascii="宋体" w:hAnsi="宋体" w:cs="宋体"/>
          <w:b/>
          <w:bCs/>
          <w:color w:val="auto"/>
          <w:sz w:val="24"/>
          <w:highlight w:val="none"/>
        </w:rPr>
      </w:pPr>
      <w:r>
        <w:rPr>
          <w:rFonts w:ascii="宋体" w:hAnsi="宋体" w:cs="宋体"/>
          <w:color w:val="auto"/>
          <w:sz w:val="24"/>
          <w:highlight w:val="none"/>
        </w:rPr>
        <w:t xml:space="preserve">   为确保甲方时刻处于安全有序的状态，甲方委托乙方提供甲方所属</w:t>
      </w:r>
      <w:r>
        <w:rPr>
          <w:rFonts w:ascii="宋体" w:hAnsi="宋体" w:cs="宋体"/>
          <w:color w:val="auto"/>
          <w:sz w:val="24"/>
          <w:highlight w:val="none"/>
          <w:u w:val="single"/>
        </w:rPr>
        <w:t xml:space="preserve"> </w:t>
      </w:r>
      <w:r>
        <w:rPr>
          <w:rFonts w:hint="eastAsia" w:ascii="宋体" w:hAnsi="宋体" w:cs="宋体"/>
          <w:color w:val="auto"/>
          <w:sz w:val="24"/>
          <w:highlight w:val="none"/>
          <w:u w:val="single"/>
        </w:rPr>
        <w:t xml:space="preserve">        </w:t>
      </w:r>
      <w:r>
        <w:rPr>
          <w:rFonts w:ascii="宋体" w:hAnsi="宋体" w:cs="宋体"/>
          <w:color w:val="auto"/>
          <w:sz w:val="24"/>
          <w:highlight w:val="none"/>
          <w:u w:val="single"/>
        </w:rPr>
        <w:t>项目</w:t>
      </w:r>
      <w:r>
        <w:rPr>
          <w:rFonts w:ascii="宋体" w:hAnsi="宋体" w:cs="宋体"/>
          <w:color w:val="auto"/>
          <w:sz w:val="24"/>
          <w:highlight w:val="none"/>
        </w:rPr>
        <w:t>维序服务，乙方接受委托同意按照甲方的要求提供维序服务。经甲、乙双方平等友好协商，达成一致意见，特订立本服务合同如下，以资信守。</w:t>
      </w:r>
    </w:p>
    <w:p w14:paraId="00FC12B2">
      <w:pPr>
        <w:spacing w:line="360" w:lineRule="auto"/>
        <w:rPr>
          <w:rFonts w:ascii="宋体" w:hAnsi="宋体" w:cs="宋体"/>
          <w:bCs/>
          <w:color w:val="auto"/>
          <w:sz w:val="24"/>
          <w:highlight w:val="none"/>
        </w:rPr>
      </w:pPr>
      <w:r>
        <w:rPr>
          <w:rFonts w:ascii="宋体" w:hAnsi="宋体" w:cs="宋体"/>
          <w:b/>
          <w:bCs/>
          <w:color w:val="auto"/>
          <w:sz w:val="24"/>
          <w:highlight w:val="none"/>
        </w:rPr>
        <w:t xml:space="preserve">    一、定义</w:t>
      </w:r>
    </w:p>
    <w:p w14:paraId="071FB3A4">
      <w:pPr>
        <w:spacing w:line="360" w:lineRule="auto"/>
        <w:ind w:firstLine="537"/>
        <w:rPr>
          <w:rFonts w:ascii="宋体" w:hAnsi="宋体" w:cs="宋体"/>
          <w:color w:val="auto"/>
          <w:highlight w:val="none"/>
        </w:rPr>
      </w:pPr>
      <w:r>
        <w:rPr>
          <w:rFonts w:ascii="宋体" w:hAnsi="宋体" w:cs="宋体"/>
          <w:bCs/>
          <w:color w:val="auto"/>
          <w:sz w:val="24"/>
          <w:highlight w:val="none"/>
        </w:rPr>
        <w:t>1、</w:t>
      </w:r>
      <w:r>
        <w:rPr>
          <w:rFonts w:ascii="宋体" w:hAnsi="宋体" w:cs="宋体"/>
          <w:color w:val="auto"/>
          <w:sz w:val="24"/>
          <w:highlight w:val="none"/>
        </w:rPr>
        <w:t>项目：指位于甲方所属项目的建筑主体内外及相连接的建筑物、道路、园林绿化、景观、全部公共区域及其他所有区域（包括</w:t>
      </w:r>
      <w:r>
        <w:rPr>
          <w:rFonts w:hint="eastAsia" w:ascii="宋体" w:hAnsi="宋体" w:cs="宋体"/>
          <w:color w:val="auto"/>
          <w:sz w:val="24"/>
          <w:highlight w:val="none"/>
        </w:rPr>
        <w:t>但不</w:t>
      </w:r>
      <w:r>
        <w:rPr>
          <w:rFonts w:ascii="宋体" w:hAnsi="宋体" w:cs="宋体"/>
          <w:color w:val="auto"/>
          <w:sz w:val="24"/>
          <w:highlight w:val="none"/>
        </w:rPr>
        <w:t>限于与之相关的全部设施设备，以及园区四周围墙）。</w:t>
      </w:r>
    </w:p>
    <w:p w14:paraId="539A2371">
      <w:pPr>
        <w:spacing w:line="360" w:lineRule="auto"/>
        <w:ind w:firstLine="540"/>
        <w:rPr>
          <w:rFonts w:ascii="宋体" w:hAnsi="宋体" w:cs="宋体"/>
          <w:b/>
          <w:color w:val="auto"/>
          <w:sz w:val="24"/>
          <w:highlight w:val="none"/>
        </w:rPr>
      </w:pPr>
      <w:r>
        <w:rPr>
          <w:rFonts w:ascii="宋体" w:hAnsi="宋体" w:cs="宋体"/>
          <w:color w:val="auto"/>
          <w:sz w:val="24"/>
          <w:highlight w:val="none"/>
        </w:rPr>
        <w:t>2、“维序服务”：包括但不限于项目内及外围甲方要求的巡逻和消防及安全监控，维护所属项目的秩序，保障所属项目内所有财产及人身的安全。</w:t>
      </w:r>
    </w:p>
    <w:p w14:paraId="4FFCCEC1">
      <w:pPr>
        <w:tabs>
          <w:tab w:val="left" w:pos="900"/>
        </w:tabs>
        <w:spacing w:line="360" w:lineRule="auto"/>
        <w:ind w:firstLine="482"/>
        <w:rPr>
          <w:rFonts w:ascii="宋体" w:hAnsi="宋体" w:cs="宋体"/>
          <w:color w:val="auto"/>
          <w:sz w:val="24"/>
          <w:highlight w:val="none"/>
        </w:rPr>
      </w:pPr>
      <w:r>
        <w:rPr>
          <w:rFonts w:ascii="宋体" w:hAnsi="宋体" w:cs="宋体"/>
          <w:b/>
          <w:color w:val="auto"/>
          <w:sz w:val="24"/>
          <w:highlight w:val="none"/>
        </w:rPr>
        <w:t>二、合同期限</w:t>
      </w:r>
    </w:p>
    <w:p w14:paraId="721CE545">
      <w:pPr>
        <w:tabs>
          <w:tab w:val="left" w:pos="900"/>
        </w:tabs>
        <w:spacing w:line="360" w:lineRule="auto"/>
        <w:ind w:firstLine="480" w:firstLineChars="200"/>
        <w:rPr>
          <w:rFonts w:ascii="宋体" w:hAnsi="宋体" w:cs="宋体"/>
          <w:color w:val="auto"/>
          <w:sz w:val="24"/>
          <w:highlight w:val="none"/>
        </w:rPr>
      </w:pPr>
      <w:r>
        <w:rPr>
          <w:rFonts w:ascii="宋体" w:hAnsi="宋体" w:cs="宋体"/>
          <w:color w:val="auto"/>
          <w:sz w:val="24"/>
          <w:highlight w:val="none"/>
        </w:rPr>
        <w:t>1、本合同维序服务期(以下简称“本合同服务期”)为</w:t>
      </w:r>
      <w:r>
        <w:rPr>
          <w:rFonts w:hint="eastAsia" w:ascii="宋体" w:hAnsi="宋体" w:cs="宋体"/>
          <w:color w:val="auto"/>
          <w:sz w:val="24"/>
          <w:highlight w:val="none"/>
        </w:rPr>
        <w:t xml:space="preserve">   </w:t>
      </w:r>
      <w:r>
        <w:rPr>
          <w:rFonts w:ascii="宋体" w:hAnsi="宋体" w:cs="宋体"/>
          <w:color w:val="auto"/>
          <w:sz w:val="24"/>
          <w:highlight w:val="none"/>
        </w:rPr>
        <w:t>个月，暂定</w:t>
      </w:r>
      <w:r>
        <w:rPr>
          <w:rFonts w:ascii="宋体" w:hAnsi="宋体" w:cs="宋体"/>
          <w:b/>
          <w:color w:val="auto"/>
          <w:sz w:val="24"/>
          <w:highlight w:val="none"/>
        </w:rPr>
        <w:t>自</w:t>
      </w:r>
      <w:r>
        <w:rPr>
          <w:rFonts w:hint="eastAsia" w:ascii="宋体" w:hAnsi="宋体" w:cs="宋体"/>
          <w:b/>
          <w:color w:val="auto"/>
          <w:sz w:val="24"/>
          <w:highlight w:val="none"/>
          <w:u w:val="single"/>
        </w:rPr>
        <w:t xml:space="preserve">   </w:t>
      </w:r>
      <w:r>
        <w:rPr>
          <w:rFonts w:ascii="宋体" w:hAnsi="宋体" w:cs="宋体"/>
          <w:b/>
          <w:color w:val="auto"/>
          <w:sz w:val="24"/>
          <w:highlight w:val="none"/>
        </w:rPr>
        <w:t>年</w:t>
      </w:r>
      <w:r>
        <w:rPr>
          <w:rFonts w:hint="eastAsia" w:ascii="宋体" w:hAnsi="宋体" w:cs="宋体"/>
          <w:b/>
          <w:color w:val="auto"/>
          <w:sz w:val="24"/>
          <w:highlight w:val="none"/>
          <w:u w:val="single"/>
        </w:rPr>
        <w:t xml:space="preserve">   </w:t>
      </w:r>
      <w:r>
        <w:rPr>
          <w:rFonts w:ascii="宋体" w:hAnsi="宋体" w:cs="宋体"/>
          <w:b/>
          <w:color w:val="auto"/>
          <w:sz w:val="24"/>
          <w:highlight w:val="none"/>
        </w:rPr>
        <w:t>月</w:t>
      </w:r>
      <w:r>
        <w:rPr>
          <w:rFonts w:hint="eastAsia" w:ascii="宋体" w:hAnsi="宋体" w:cs="宋体"/>
          <w:b/>
          <w:color w:val="auto"/>
          <w:sz w:val="24"/>
          <w:highlight w:val="none"/>
          <w:u w:val="single"/>
        </w:rPr>
        <w:t xml:space="preserve">  </w:t>
      </w:r>
      <w:r>
        <w:rPr>
          <w:rFonts w:ascii="宋体" w:hAnsi="宋体" w:cs="宋体"/>
          <w:b/>
          <w:color w:val="auto"/>
          <w:sz w:val="24"/>
          <w:highlight w:val="none"/>
        </w:rPr>
        <w:t>日至</w:t>
      </w:r>
      <w:r>
        <w:rPr>
          <w:rFonts w:hint="eastAsia" w:ascii="宋体" w:hAnsi="宋体" w:cs="宋体"/>
          <w:b/>
          <w:color w:val="auto"/>
          <w:sz w:val="24"/>
          <w:highlight w:val="none"/>
        </w:rPr>
        <w:t xml:space="preserve">    </w:t>
      </w:r>
      <w:r>
        <w:rPr>
          <w:rFonts w:ascii="宋体" w:hAnsi="宋体" w:cs="宋体"/>
          <w:b/>
          <w:color w:val="auto"/>
          <w:sz w:val="24"/>
          <w:highlight w:val="none"/>
        </w:rPr>
        <w:t>年</w:t>
      </w:r>
      <w:r>
        <w:rPr>
          <w:rFonts w:hint="eastAsia" w:ascii="宋体" w:hAnsi="宋体" w:cs="宋体"/>
          <w:b/>
          <w:color w:val="auto"/>
          <w:sz w:val="24"/>
          <w:highlight w:val="none"/>
          <w:u w:val="single"/>
        </w:rPr>
        <w:t xml:space="preserve">   </w:t>
      </w:r>
      <w:r>
        <w:rPr>
          <w:rFonts w:ascii="宋体" w:hAnsi="宋体" w:cs="宋体"/>
          <w:b/>
          <w:color w:val="auto"/>
          <w:sz w:val="24"/>
          <w:highlight w:val="none"/>
        </w:rPr>
        <w:t>月</w:t>
      </w:r>
      <w:r>
        <w:rPr>
          <w:rFonts w:hint="eastAsia" w:ascii="宋体" w:hAnsi="宋体" w:cs="宋体"/>
          <w:b/>
          <w:color w:val="auto"/>
          <w:sz w:val="24"/>
          <w:highlight w:val="none"/>
          <w:u w:val="single"/>
        </w:rPr>
        <w:t xml:space="preserve">  </w:t>
      </w:r>
      <w:r>
        <w:rPr>
          <w:rFonts w:ascii="宋体" w:hAnsi="宋体" w:cs="宋体"/>
          <w:b/>
          <w:color w:val="auto"/>
          <w:sz w:val="24"/>
          <w:highlight w:val="none"/>
        </w:rPr>
        <w:t>日</w:t>
      </w:r>
      <w:r>
        <w:rPr>
          <w:rFonts w:ascii="宋体" w:hAnsi="宋体" w:cs="宋体"/>
          <w:color w:val="auto"/>
          <w:sz w:val="24"/>
          <w:highlight w:val="none"/>
        </w:rPr>
        <w:t>，因客观原因(如因甲方终止项目物业管理等)造成本合同终止的，则本合同也立即自动终止，双方互不承担责任，费用结算至合同终止之日。</w:t>
      </w:r>
    </w:p>
    <w:p w14:paraId="39D4D985">
      <w:pPr>
        <w:tabs>
          <w:tab w:val="left" w:pos="900"/>
        </w:tabs>
        <w:spacing w:line="360" w:lineRule="auto"/>
        <w:ind w:firstLine="480"/>
        <w:rPr>
          <w:rFonts w:ascii="宋体" w:hAnsi="宋体" w:cs="宋体"/>
          <w:b/>
          <w:color w:val="auto"/>
          <w:sz w:val="24"/>
          <w:highlight w:val="none"/>
        </w:rPr>
      </w:pPr>
      <w:r>
        <w:rPr>
          <w:rFonts w:ascii="宋体" w:hAnsi="宋体" w:cs="宋体"/>
          <w:color w:val="auto"/>
          <w:sz w:val="24"/>
          <w:highlight w:val="none"/>
        </w:rPr>
        <w:t>2、本合同服务期内</w:t>
      </w:r>
      <w:r>
        <w:rPr>
          <w:rFonts w:ascii="宋体" w:hAnsi="宋体" w:cs="宋体"/>
          <w:b/>
          <w:color w:val="auto"/>
          <w:sz w:val="24"/>
          <w:highlight w:val="none"/>
        </w:rPr>
        <w:t>首三个月</w:t>
      </w:r>
      <w:r>
        <w:rPr>
          <w:rFonts w:ascii="宋体" w:hAnsi="宋体" w:cs="宋体"/>
          <w:color w:val="auto"/>
          <w:sz w:val="24"/>
          <w:highlight w:val="none"/>
        </w:rPr>
        <w:t>为试用期，在试用期内，如乙方服务质量未达附件一《维序服务检查细则》的要求，经甲方发出整改通知后10个工作日内未完成整改或整改结果未符合甲方服务标准，则甲方可提前15个工作日以书面形式通知乙方单方面解除合同，乙方不得因此要求甲方给予任何赔偿，同时甲方可要求乙方赔偿因此而遭受的一切损失。试用期届满后，若乙方持续或严重违反合同要求，甲方有权于合同有效期内任何时间，提前一个月书面通知终止合同，而无需承担任何赔偿责任。同时乙方应赔偿因此给甲方造成的经济损失，甲方可保留追究乙方法律责任的权利。</w:t>
      </w:r>
    </w:p>
    <w:p w14:paraId="36F2564C">
      <w:pPr>
        <w:tabs>
          <w:tab w:val="left" w:pos="900"/>
        </w:tabs>
        <w:spacing w:line="360" w:lineRule="auto"/>
        <w:ind w:firstLine="482"/>
        <w:rPr>
          <w:rFonts w:ascii="宋体" w:hAnsi="宋体" w:cs="宋体"/>
          <w:color w:val="auto"/>
          <w:sz w:val="24"/>
          <w:highlight w:val="none"/>
        </w:rPr>
      </w:pPr>
      <w:r>
        <w:rPr>
          <w:rFonts w:ascii="宋体" w:hAnsi="宋体" w:cs="宋体"/>
          <w:b/>
          <w:color w:val="auto"/>
          <w:sz w:val="24"/>
          <w:highlight w:val="none"/>
        </w:rPr>
        <w:t>三、委托服务内容</w:t>
      </w:r>
    </w:p>
    <w:p w14:paraId="26DFD394">
      <w:pPr>
        <w:tabs>
          <w:tab w:val="left" w:pos="900"/>
        </w:tabs>
        <w:spacing w:line="360" w:lineRule="auto"/>
        <w:ind w:firstLine="480"/>
        <w:rPr>
          <w:rFonts w:ascii="宋体" w:hAnsi="宋体" w:cs="宋体"/>
          <w:color w:val="auto"/>
          <w:sz w:val="24"/>
          <w:highlight w:val="none"/>
        </w:rPr>
      </w:pPr>
      <w:r>
        <w:rPr>
          <w:rFonts w:ascii="宋体" w:hAnsi="宋体" w:cs="宋体"/>
          <w:color w:val="auto"/>
          <w:sz w:val="24"/>
          <w:highlight w:val="none"/>
        </w:rPr>
        <w:t>乙方需向甲方提供的维序服务范围包括但不限于：</w:t>
      </w:r>
    </w:p>
    <w:p w14:paraId="62C5C67D">
      <w:pPr>
        <w:tabs>
          <w:tab w:val="left" w:pos="900"/>
        </w:tabs>
        <w:spacing w:line="360" w:lineRule="auto"/>
        <w:ind w:firstLine="480"/>
        <w:rPr>
          <w:rFonts w:ascii="宋体" w:hAnsi="宋体" w:cs="宋体"/>
          <w:color w:val="auto"/>
          <w:sz w:val="24"/>
          <w:highlight w:val="none"/>
        </w:rPr>
      </w:pPr>
      <w:r>
        <w:rPr>
          <w:rFonts w:ascii="宋体" w:hAnsi="宋体" w:cs="宋体"/>
          <w:color w:val="auto"/>
          <w:sz w:val="24"/>
          <w:highlight w:val="none"/>
        </w:rPr>
        <w:t>1、服务区域为所属项目内所有房屋、道路、园林绿化、景观、停车场、非机动车停车区、物业办公区域(含各类管理用房)、设施设备用房、市政公共设施、全部公共区域。</w:t>
      </w:r>
    </w:p>
    <w:p w14:paraId="0EAA3257">
      <w:pPr>
        <w:tabs>
          <w:tab w:val="left" w:pos="900"/>
        </w:tabs>
        <w:spacing w:line="360" w:lineRule="auto"/>
        <w:ind w:firstLine="480"/>
        <w:rPr>
          <w:rFonts w:ascii="宋体" w:hAnsi="宋体" w:cs="宋体"/>
          <w:color w:val="auto"/>
          <w:sz w:val="24"/>
          <w:highlight w:val="none"/>
        </w:rPr>
      </w:pPr>
      <w:r>
        <w:rPr>
          <w:rFonts w:ascii="宋体" w:hAnsi="宋体" w:cs="宋体"/>
          <w:color w:val="auto"/>
          <w:sz w:val="24"/>
          <w:highlight w:val="none"/>
        </w:rPr>
        <w:t>2、治安管理：所属项目之公区、停车场、所有楼层、消防通道、围墙巡逻、安全监控，维护所属项目范围内秩序、负责服务区域财产安全、人员与物品出入管理、装修管理；熟练应用周界红外报警系统、震动光缆报警系统、电子围栏报警系统、消防系统、视频监控系统、车辆管理系统、门禁及可视对讲系统及巡更系统等设备设施</w:t>
      </w:r>
      <w:r>
        <w:rPr>
          <w:rFonts w:hint="eastAsia" w:ascii="宋体" w:hAnsi="宋体" w:cs="宋体"/>
          <w:color w:val="auto"/>
          <w:sz w:val="24"/>
          <w:highlight w:val="none"/>
        </w:rPr>
        <w:t>。</w:t>
      </w:r>
    </w:p>
    <w:p w14:paraId="1202914B">
      <w:pPr>
        <w:tabs>
          <w:tab w:val="left" w:pos="900"/>
        </w:tabs>
        <w:spacing w:line="360" w:lineRule="auto"/>
        <w:ind w:firstLine="480"/>
        <w:rPr>
          <w:rFonts w:ascii="宋体" w:hAnsi="宋体" w:cs="宋体"/>
          <w:color w:val="auto"/>
          <w:sz w:val="24"/>
          <w:highlight w:val="none"/>
        </w:rPr>
      </w:pPr>
      <w:r>
        <w:rPr>
          <w:rFonts w:ascii="宋体" w:hAnsi="宋体" w:cs="宋体"/>
          <w:color w:val="auto"/>
          <w:sz w:val="24"/>
          <w:highlight w:val="none"/>
        </w:rPr>
        <w:t>3、消防管理：熟悉消防设施设备、掌握各种消防器材使用方法、组建义务消防队并每月组织相关培训工作，每日做好消防巡查，每月对消火栓及消防设施设备进行月检查记录，驻场管理人员亦同时担任消防主管，消防控制室值班人员须持</w:t>
      </w:r>
      <w:r>
        <w:rPr>
          <w:rFonts w:hint="eastAsia" w:ascii="宋体" w:hAnsi="宋体" w:cs="宋体"/>
          <w:color w:val="auto"/>
          <w:sz w:val="24"/>
          <w:highlight w:val="none"/>
          <w:lang w:val="en-US" w:eastAsia="zh-CN"/>
        </w:rPr>
        <w:t>中级消防设施操作员证</w:t>
      </w:r>
      <w:r>
        <w:rPr>
          <w:rFonts w:ascii="宋体" w:hAnsi="宋体" w:cs="宋体"/>
          <w:color w:val="auto"/>
          <w:sz w:val="24"/>
          <w:highlight w:val="none"/>
        </w:rPr>
        <w:t>；</w:t>
      </w:r>
    </w:p>
    <w:p w14:paraId="314A111A">
      <w:pPr>
        <w:tabs>
          <w:tab w:val="left" w:pos="900"/>
        </w:tabs>
        <w:spacing w:line="360" w:lineRule="auto"/>
        <w:ind w:firstLine="480"/>
        <w:rPr>
          <w:rFonts w:ascii="宋体" w:hAnsi="宋体" w:cs="宋体"/>
          <w:color w:val="auto"/>
          <w:sz w:val="24"/>
          <w:highlight w:val="none"/>
        </w:rPr>
      </w:pPr>
      <w:r>
        <w:rPr>
          <w:rFonts w:ascii="宋体" w:hAnsi="宋体" w:cs="宋体"/>
          <w:color w:val="auto"/>
          <w:sz w:val="24"/>
          <w:highlight w:val="none"/>
        </w:rPr>
        <w:t>4、车辆管理：熟练掌握所属项目车辆进出操作流程，严格核实驾驶人身份执行登记制度、进出控制、疏导及指引，严格遵守交通规则，以保障所属项目车辆进出及停放有序，协助物业服务中心收取停车费(收费事宜以甲方要求为准);</w:t>
      </w:r>
    </w:p>
    <w:p w14:paraId="48AB1402">
      <w:pPr>
        <w:tabs>
          <w:tab w:val="left" w:pos="900"/>
        </w:tabs>
        <w:spacing w:line="360" w:lineRule="auto"/>
        <w:ind w:firstLine="480"/>
        <w:rPr>
          <w:rFonts w:ascii="宋体" w:hAnsi="宋体" w:cs="宋体"/>
          <w:color w:val="auto"/>
          <w:sz w:val="24"/>
          <w:highlight w:val="none"/>
        </w:rPr>
      </w:pPr>
      <w:r>
        <w:rPr>
          <w:rFonts w:ascii="宋体" w:hAnsi="宋体" w:cs="宋体"/>
          <w:color w:val="auto"/>
          <w:sz w:val="24"/>
          <w:highlight w:val="none"/>
        </w:rPr>
        <w:t>5、人员出入管理：租户及装修、施工人员、工作人员出入管理、进出登记及管理，仔细巡逻，发现可疑人员立即上报甲方并防范控制；</w:t>
      </w:r>
    </w:p>
    <w:p w14:paraId="389AEF6C">
      <w:pPr>
        <w:tabs>
          <w:tab w:val="left" w:pos="900"/>
        </w:tabs>
        <w:spacing w:line="360" w:lineRule="auto"/>
        <w:ind w:firstLine="480"/>
        <w:rPr>
          <w:rFonts w:ascii="宋体" w:hAnsi="宋体" w:cs="宋体"/>
          <w:color w:val="auto"/>
          <w:sz w:val="24"/>
          <w:highlight w:val="none"/>
        </w:rPr>
      </w:pPr>
      <w:r>
        <w:rPr>
          <w:rFonts w:ascii="宋体" w:hAnsi="宋体" w:cs="宋体"/>
          <w:color w:val="auto"/>
          <w:sz w:val="24"/>
          <w:highlight w:val="none"/>
        </w:rPr>
        <w:t>6、物品管理：仔细检查公共设施设备物品是否完好，对物品进出登记、检查、核对、汇报， 禁止危险品进入项目；</w:t>
      </w:r>
    </w:p>
    <w:p w14:paraId="41860013">
      <w:pPr>
        <w:tabs>
          <w:tab w:val="left" w:pos="900"/>
        </w:tabs>
        <w:spacing w:line="360" w:lineRule="auto"/>
        <w:ind w:firstLine="480"/>
        <w:rPr>
          <w:rFonts w:ascii="宋体" w:hAnsi="宋体" w:cs="宋体"/>
          <w:color w:val="auto"/>
          <w:sz w:val="24"/>
          <w:highlight w:val="none"/>
        </w:rPr>
      </w:pPr>
      <w:r>
        <w:rPr>
          <w:rFonts w:ascii="宋体" w:hAnsi="宋体" w:cs="宋体"/>
          <w:color w:val="auto"/>
          <w:sz w:val="24"/>
          <w:highlight w:val="none"/>
        </w:rPr>
        <w:t>7、装修管理：装修人员、车辆、物品进出检查登记，装修巡查、违章装修的监管；</w:t>
      </w:r>
    </w:p>
    <w:p w14:paraId="3C9AAB3C">
      <w:pPr>
        <w:tabs>
          <w:tab w:val="left" w:pos="900"/>
        </w:tabs>
        <w:spacing w:line="360" w:lineRule="auto"/>
        <w:ind w:firstLine="480"/>
        <w:rPr>
          <w:rFonts w:ascii="宋体" w:hAnsi="宋体" w:cs="宋体"/>
          <w:color w:val="auto"/>
          <w:sz w:val="24"/>
          <w:highlight w:val="none"/>
        </w:rPr>
      </w:pPr>
      <w:r>
        <w:rPr>
          <w:rFonts w:ascii="宋体" w:hAnsi="宋体" w:cs="宋体"/>
          <w:color w:val="auto"/>
          <w:sz w:val="24"/>
          <w:highlight w:val="none"/>
        </w:rPr>
        <w:t>8、钥匙管理：严格对大门、管理用房及甲方移交之所有钥匙(含进出门禁卡)的管理；</w:t>
      </w:r>
    </w:p>
    <w:p w14:paraId="55E8BFC3">
      <w:pPr>
        <w:tabs>
          <w:tab w:val="left" w:pos="900"/>
        </w:tabs>
        <w:spacing w:line="360" w:lineRule="auto"/>
        <w:ind w:firstLine="480"/>
        <w:rPr>
          <w:rFonts w:ascii="宋体" w:hAnsi="宋体" w:cs="宋体"/>
          <w:color w:val="auto"/>
          <w:sz w:val="24"/>
          <w:highlight w:val="none"/>
        </w:rPr>
      </w:pPr>
      <w:r>
        <w:rPr>
          <w:rFonts w:ascii="宋体" w:hAnsi="宋体" w:cs="宋体"/>
          <w:color w:val="auto"/>
          <w:sz w:val="24"/>
          <w:highlight w:val="none"/>
        </w:rPr>
        <w:t>9、做好所属项目各围墙的巡逻及预防性管理；</w:t>
      </w:r>
    </w:p>
    <w:p w14:paraId="3BE1D1C6">
      <w:pPr>
        <w:tabs>
          <w:tab w:val="left" w:pos="900"/>
        </w:tabs>
        <w:spacing w:line="360" w:lineRule="auto"/>
        <w:ind w:firstLine="480"/>
        <w:rPr>
          <w:rFonts w:ascii="宋体" w:hAnsi="宋体" w:cs="宋体"/>
          <w:color w:val="auto"/>
          <w:sz w:val="24"/>
          <w:highlight w:val="none"/>
        </w:rPr>
      </w:pPr>
      <w:r>
        <w:rPr>
          <w:rFonts w:ascii="宋体" w:hAnsi="宋体" w:cs="宋体"/>
          <w:color w:val="auto"/>
          <w:sz w:val="24"/>
          <w:highlight w:val="none"/>
        </w:rPr>
        <w:t>10、做好安全注意事项的提示及安全管理宣导培训，安全事故的处理及涉及安全的外联工作；</w:t>
      </w:r>
    </w:p>
    <w:p w14:paraId="1275030C">
      <w:pPr>
        <w:tabs>
          <w:tab w:val="left" w:pos="900"/>
        </w:tabs>
        <w:spacing w:line="360" w:lineRule="auto"/>
        <w:ind w:firstLine="480"/>
        <w:rPr>
          <w:rFonts w:ascii="宋体" w:hAnsi="宋体" w:cs="宋体"/>
          <w:color w:val="auto"/>
          <w:sz w:val="24"/>
          <w:highlight w:val="none"/>
        </w:rPr>
      </w:pPr>
      <w:r>
        <w:rPr>
          <w:rFonts w:ascii="宋体" w:hAnsi="宋体" w:cs="宋体"/>
          <w:color w:val="auto"/>
          <w:sz w:val="24"/>
          <w:highlight w:val="none"/>
        </w:rPr>
        <w:t>11、紧急事件处理(现场控制、急救、通知相关部门及采取措施防止事态扩大等)；</w:t>
      </w:r>
    </w:p>
    <w:p w14:paraId="39B5F320">
      <w:pPr>
        <w:tabs>
          <w:tab w:val="left" w:pos="900"/>
        </w:tabs>
        <w:spacing w:line="360" w:lineRule="auto"/>
        <w:ind w:firstLine="480"/>
        <w:rPr>
          <w:rFonts w:ascii="宋体" w:hAnsi="宋体" w:cs="宋体"/>
          <w:color w:val="auto"/>
          <w:sz w:val="24"/>
          <w:highlight w:val="none"/>
        </w:rPr>
      </w:pPr>
      <w:r>
        <w:rPr>
          <w:rFonts w:ascii="宋体" w:hAnsi="宋体" w:cs="宋体"/>
          <w:color w:val="auto"/>
          <w:sz w:val="24"/>
          <w:highlight w:val="none"/>
        </w:rPr>
        <w:t>12、所属项目所有设备房以及所有空置房内及室外所有设施设备，以及所有岗位物品及甲方移交之物品，乙方负有保管义务，如上述设施设备财产如有遗失或损坏，乙方应承担相应赔偿责任：</w:t>
      </w:r>
    </w:p>
    <w:p w14:paraId="2F676F91">
      <w:pPr>
        <w:tabs>
          <w:tab w:val="left" w:pos="900"/>
        </w:tabs>
        <w:spacing w:line="360" w:lineRule="auto"/>
        <w:ind w:firstLine="480"/>
        <w:rPr>
          <w:rFonts w:ascii="宋体" w:hAnsi="宋体" w:cs="宋体"/>
          <w:color w:val="auto"/>
          <w:sz w:val="24"/>
          <w:highlight w:val="none"/>
        </w:rPr>
      </w:pPr>
      <w:r>
        <w:rPr>
          <w:rFonts w:ascii="宋体" w:hAnsi="宋体" w:cs="宋体"/>
          <w:color w:val="auto"/>
          <w:sz w:val="24"/>
          <w:highlight w:val="none"/>
        </w:rPr>
        <w:t>13、所属项目内的所有人身和财产安全负责(业主/租户、甲方员工等因不可抗力、或业主/租户内部矛盾纠纷发生的打闹除外),并按甲方规定的服务内容、服务班次、各岗位职责及行为规范在所属项目提供维序服务，并保持维序服务质量，符合甲方要求；</w:t>
      </w:r>
    </w:p>
    <w:p w14:paraId="487589A6">
      <w:pPr>
        <w:tabs>
          <w:tab w:val="left" w:pos="900"/>
        </w:tabs>
        <w:spacing w:line="360" w:lineRule="auto"/>
        <w:ind w:firstLine="480"/>
        <w:rPr>
          <w:rFonts w:ascii="宋体" w:hAnsi="宋体" w:cs="宋体"/>
          <w:color w:val="auto"/>
          <w:sz w:val="24"/>
          <w:highlight w:val="none"/>
        </w:rPr>
      </w:pPr>
      <w:r>
        <w:rPr>
          <w:rFonts w:ascii="宋体" w:hAnsi="宋体" w:cs="宋体"/>
          <w:color w:val="auto"/>
          <w:sz w:val="24"/>
          <w:highlight w:val="none"/>
        </w:rPr>
        <w:t>14、非机动车辆管理：乙方须按照甲方要求规范非机动车停放，以保障所属项目非机动车辆进出及停放有序。乙方对停入非机动车停车场负保管责任，如出现遗失、损坏，由乙方承担一切责任；</w:t>
      </w:r>
    </w:p>
    <w:p w14:paraId="0C485DD7">
      <w:pPr>
        <w:tabs>
          <w:tab w:val="left" w:pos="900"/>
        </w:tabs>
        <w:spacing w:line="360" w:lineRule="auto"/>
        <w:ind w:firstLine="480"/>
        <w:rPr>
          <w:rFonts w:ascii="宋体" w:hAnsi="宋体" w:cs="宋体"/>
          <w:b/>
          <w:color w:val="auto"/>
          <w:sz w:val="24"/>
          <w:highlight w:val="none"/>
        </w:rPr>
      </w:pPr>
      <w:r>
        <w:rPr>
          <w:rFonts w:ascii="宋体" w:hAnsi="宋体" w:cs="宋体"/>
          <w:color w:val="auto"/>
          <w:sz w:val="24"/>
          <w:highlight w:val="none"/>
        </w:rPr>
        <w:t>15、其它甲方合理要求。</w:t>
      </w:r>
    </w:p>
    <w:p w14:paraId="640073D6">
      <w:pPr>
        <w:tabs>
          <w:tab w:val="left" w:pos="900"/>
        </w:tabs>
        <w:spacing w:line="360" w:lineRule="auto"/>
        <w:ind w:firstLine="482"/>
        <w:rPr>
          <w:rFonts w:ascii="宋体" w:hAnsi="宋体" w:cs="宋体"/>
          <w:color w:val="auto"/>
          <w:sz w:val="24"/>
          <w:highlight w:val="none"/>
        </w:rPr>
      </w:pPr>
      <w:r>
        <w:rPr>
          <w:rFonts w:ascii="宋体" w:hAnsi="宋体" w:cs="宋体"/>
          <w:b/>
          <w:color w:val="auto"/>
          <w:sz w:val="24"/>
          <w:highlight w:val="none"/>
        </w:rPr>
        <w:t>四 、维序岗位服务调配</w:t>
      </w:r>
    </w:p>
    <w:p w14:paraId="027462C4">
      <w:pPr>
        <w:tabs>
          <w:tab w:val="left" w:pos="900"/>
        </w:tabs>
        <w:spacing w:line="360" w:lineRule="auto"/>
        <w:ind w:firstLine="480"/>
        <w:rPr>
          <w:rFonts w:ascii="宋体" w:hAnsi="宋体" w:cs="宋体"/>
          <w:color w:val="auto"/>
          <w:sz w:val="24"/>
          <w:highlight w:val="none"/>
        </w:rPr>
      </w:pPr>
      <w:r>
        <w:rPr>
          <w:rFonts w:ascii="宋体" w:hAnsi="宋体" w:cs="宋体"/>
          <w:color w:val="auto"/>
          <w:sz w:val="24"/>
          <w:highlight w:val="none"/>
        </w:rPr>
        <w:t>1、乙方派驻的维序人员受甲方管理和领导，并遵守国家有关法律法规和甲方有关维序(保安)管理规章制度。甲方可根据现场维序服务需要布置岗位和维序人员，开展管理服务工作，入职前乙方对派驻的维序人员进行培训工作(培训内容包括但不限于：军事化队列、体能训练、人员物品出入的控制及管理、车辆及道路的管理、消防/监控/红外周界报警、应急事件处理、岗位职责、职业安全及基本急救技巧、物业管理等相关法律常识、投诉处理技巧、施工/装修人员管理规定、客户服务、礼仪及服务意识等)。</w:t>
      </w:r>
    </w:p>
    <w:p w14:paraId="16F31A6C">
      <w:pPr>
        <w:tabs>
          <w:tab w:val="left" w:pos="900"/>
        </w:tabs>
        <w:spacing w:line="360" w:lineRule="auto"/>
        <w:ind w:firstLine="480"/>
        <w:rPr>
          <w:rFonts w:ascii="宋体" w:hAnsi="宋体" w:cs="宋体"/>
          <w:color w:val="auto"/>
          <w:sz w:val="24"/>
          <w:highlight w:val="none"/>
        </w:rPr>
      </w:pPr>
      <w:r>
        <w:rPr>
          <w:rFonts w:ascii="宋体" w:hAnsi="宋体" w:cs="宋体"/>
          <w:color w:val="auto"/>
          <w:sz w:val="24"/>
          <w:highlight w:val="none"/>
        </w:rPr>
        <w:t>2、乙方派驻的维序人员在岗位服务中必须遵纪守法，乙方对其派驻人员的行为及后果负责，保证甲方不会因乙方派驻人员的行为而受到损失。若甲方因乙方派驻人员造成实际损失的，乙方需在接到甲方书面通知后三个工作日内向甲方承担赔偿责任。</w:t>
      </w:r>
    </w:p>
    <w:p w14:paraId="3125D654">
      <w:pPr>
        <w:tabs>
          <w:tab w:val="left" w:pos="900"/>
        </w:tabs>
        <w:spacing w:line="360" w:lineRule="auto"/>
        <w:ind w:firstLine="480"/>
        <w:rPr>
          <w:rFonts w:ascii="宋体" w:hAnsi="宋体" w:cs="宋体"/>
          <w:color w:val="auto"/>
          <w:sz w:val="24"/>
          <w:highlight w:val="none"/>
        </w:rPr>
      </w:pPr>
      <w:r>
        <w:rPr>
          <w:rFonts w:ascii="宋体" w:hAnsi="宋体" w:cs="宋体"/>
          <w:color w:val="auto"/>
          <w:sz w:val="24"/>
          <w:highlight w:val="none"/>
        </w:rPr>
        <w:t>3、甲方或其代表有权在日常、夜间或假期内，监督乙方对所属项目提供的维序服务，若有特别需要，如大型活动项目等，乙方收到甲方人员补充通知后按要求及时将人员补充到位。</w:t>
      </w:r>
    </w:p>
    <w:p w14:paraId="596046D2">
      <w:pPr>
        <w:tabs>
          <w:tab w:val="left" w:pos="900"/>
        </w:tabs>
        <w:spacing w:line="360" w:lineRule="auto"/>
        <w:ind w:firstLine="480"/>
        <w:rPr>
          <w:rFonts w:ascii="宋体" w:hAnsi="宋体" w:cs="宋体"/>
          <w:color w:val="auto"/>
          <w:sz w:val="24"/>
          <w:highlight w:val="none"/>
        </w:rPr>
      </w:pPr>
      <w:r>
        <w:rPr>
          <w:rFonts w:ascii="宋体" w:hAnsi="宋体" w:cs="宋体"/>
          <w:color w:val="auto"/>
          <w:sz w:val="24"/>
          <w:highlight w:val="none"/>
        </w:rPr>
        <w:t>4、乙方必须及时提供足够的维序人员在岗，特别在星期六、星期日及国家法定节假日，为所属项目保持高质量的维序及服务水平提供保障。</w:t>
      </w:r>
    </w:p>
    <w:p w14:paraId="4F1245B5">
      <w:pPr>
        <w:tabs>
          <w:tab w:val="left" w:pos="900"/>
        </w:tabs>
        <w:spacing w:line="360" w:lineRule="auto"/>
        <w:ind w:firstLine="480"/>
        <w:rPr>
          <w:rFonts w:ascii="宋体" w:hAnsi="宋体" w:cs="宋体"/>
          <w:color w:val="auto"/>
          <w:sz w:val="24"/>
          <w:highlight w:val="none"/>
        </w:rPr>
      </w:pPr>
      <w:r>
        <w:rPr>
          <w:rFonts w:ascii="宋体" w:hAnsi="宋体" w:cs="宋体"/>
          <w:color w:val="auto"/>
          <w:sz w:val="24"/>
          <w:highlight w:val="none"/>
        </w:rPr>
        <w:t>5、乙方应做好派驻维序人员的体检、面试及政审工作，选派素质高、责任心强的人员进驻所属项目维序服务。乙方所派驻的维序人员必须相貌端正、五官无明显疤痕、无纹身、无残疾、无违法记录、初中以上文化程度、会讲流利的普通话、有礼貌、持有效证件等，同时乙方须向甲方出具《个人无不良违法违规犯罪记录承诺书》,并组织全部驻场维序员(包含管理人员)参加相关培训及由乙方办理相关从业资格证(保安员证等)。所有维序员必须遵守国家法律，乙方应按《保安服务管理条例》要求组织全部驻场维序员(包含管理人员)参加相关培训及办理相关从业资格证；须持公安机关颁发的保安员证或与之合格的从业资格证，若乙方违约，甲方有权扣除当月维序服务费用每人每月100元作为违约金，直至乙方派驻合格的从业资格证(保安员证等)为止。</w:t>
      </w:r>
    </w:p>
    <w:p w14:paraId="3FA27B02">
      <w:pPr>
        <w:tabs>
          <w:tab w:val="left" w:pos="900"/>
        </w:tabs>
        <w:spacing w:line="360" w:lineRule="auto"/>
        <w:ind w:firstLine="480"/>
        <w:rPr>
          <w:rFonts w:ascii="宋体" w:hAnsi="宋体" w:cs="宋体"/>
          <w:color w:val="auto"/>
          <w:sz w:val="24"/>
          <w:highlight w:val="none"/>
        </w:rPr>
      </w:pPr>
      <w:r>
        <w:rPr>
          <w:rFonts w:ascii="宋体" w:hAnsi="宋体" w:cs="宋体"/>
          <w:color w:val="auto"/>
          <w:sz w:val="24"/>
          <w:highlight w:val="none"/>
        </w:rPr>
        <w:t>6、乙方派驻甲方所属项目的维序人员标准为；</w:t>
      </w:r>
    </w:p>
    <w:p w14:paraId="3D046328">
      <w:pPr>
        <w:tabs>
          <w:tab w:val="left" w:pos="900"/>
        </w:tabs>
        <w:spacing w:line="360" w:lineRule="auto"/>
        <w:ind w:firstLine="480"/>
        <w:rPr>
          <w:rFonts w:ascii="宋体" w:hAnsi="宋体" w:cs="宋体"/>
          <w:color w:val="auto"/>
          <w:sz w:val="24"/>
          <w:highlight w:val="none"/>
        </w:rPr>
      </w:pPr>
      <w:r>
        <w:rPr>
          <w:rFonts w:ascii="宋体" w:hAnsi="宋体" w:cs="宋体"/>
          <w:color w:val="auto"/>
          <w:sz w:val="24"/>
          <w:highlight w:val="none"/>
        </w:rPr>
        <w:t>(1)普通岗位：男性须满足：18-5</w:t>
      </w:r>
      <w:r>
        <w:rPr>
          <w:rFonts w:hint="eastAsia" w:ascii="宋体" w:hAnsi="宋体" w:cs="宋体"/>
          <w:color w:val="auto"/>
          <w:sz w:val="24"/>
          <w:highlight w:val="none"/>
        </w:rPr>
        <w:t>7</w:t>
      </w:r>
      <w:r>
        <w:rPr>
          <w:rFonts w:ascii="宋体" w:hAnsi="宋体" w:cs="宋体"/>
          <w:color w:val="auto"/>
          <w:sz w:val="24"/>
          <w:highlight w:val="none"/>
        </w:rPr>
        <w:t>周岁，五官端正、身高170cm 以上；女性须满足：18-50周岁</w:t>
      </w:r>
      <w:r>
        <w:rPr>
          <w:rFonts w:hint="eastAsia" w:ascii="宋体" w:hAnsi="宋体" w:cs="宋体"/>
          <w:color w:val="auto"/>
          <w:sz w:val="24"/>
          <w:highlight w:val="none"/>
        </w:rPr>
        <w:t>，不论男性或女性均需持有保安员证。</w:t>
      </w:r>
    </w:p>
    <w:p w14:paraId="3340DCE4">
      <w:pPr>
        <w:tabs>
          <w:tab w:val="left" w:pos="900"/>
        </w:tabs>
        <w:spacing w:line="360" w:lineRule="auto"/>
        <w:ind w:firstLine="480"/>
        <w:rPr>
          <w:rFonts w:ascii="宋体" w:hAnsi="宋体" w:cs="宋体"/>
          <w:color w:val="auto"/>
          <w:sz w:val="24"/>
          <w:highlight w:val="none"/>
        </w:rPr>
      </w:pPr>
      <w:r>
        <w:rPr>
          <w:rFonts w:ascii="宋体" w:hAnsi="宋体" w:cs="宋体"/>
          <w:color w:val="auto"/>
          <w:sz w:val="24"/>
          <w:highlight w:val="none"/>
        </w:rPr>
        <w:t>(2)特殊岗位：</w:t>
      </w:r>
    </w:p>
    <w:p w14:paraId="056E66C2">
      <w:pPr>
        <w:tabs>
          <w:tab w:val="left" w:pos="900"/>
        </w:tabs>
        <w:spacing w:line="360" w:lineRule="auto"/>
        <w:ind w:firstLine="480"/>
        <w:rPr>
          <w:rFonts w:ascii="宋体" w:hAnsi="宋体" w:cs="宋体"/>
          <w:color w:val="auto"/>
          <w:sz w:val="24"/>
          <w:highlight w:val="none"/>
        </w:rPr>
      </w:pPr>
      <w:r>
        <w:rPr>
          <w:rFonts w:ascii="宋体" w:hAnsi="宋体" w:cs="宋体"/>
          <w:color w:val="auto"/>
          <w:sz w:val="24"/>
          <w:highlight w:val="none"/>
        </w:rPr>
        <w:t>形象岗：男性</w:t>
      </w:r>
      <w:r>
        <w:rPr>
          <w:rFonts w:hint="eastAsia" w:ascii="宋体" w:hAnsi="宋体" w:cs="宋体"/>
          <w:color w:val="auto"/>
          <w:sz w:val="24"/>
          <w:highlight w:val="none"/>
        </w:rPr>
        <w:t>，</w:t>
      </w:r>
      <w:r>
        <w:rPr>
          <w:rFonts w:ascii="宋体" w:hAnsi="宋体" w:cs="宋体"/>
          <w:color w:val="auto"/>
          <w:sz w:val="24"/>
          <w:highlight w:val="none"/>
        </w:rPr>
        <w:t>18-45周岁</w:t>
      </w:r>
      <w:r>
        <w:rPr>
          <w:rFonts w:hint="eastAsia" w:ascii="宋体" w:hAnsi="宋体" w:cs="宋体"/>
          <w:color w:val="auto"/>
          <w:sz w:val="24"/>
          <w:highlight w:val="none"/>
        </w:rPr>
        <w:t>，</w:t>
      </w:r>
      <w:r>
        <w:rPr>
          <w:rFonts w:ascii="宋体" w:hAnsi="宋体" w:cs="宋体"/>
          <w:color w:val="auto"/>
          <w:sz w:val="24"/>
          <w:highlight w:val="none"/>
        </w:rPr>
        <w:t>五官端正</w:t>
      </w:r>
      <w:r>
        <w:rPr>
          <w:rFonts w:hint="eastAsia" w:ascii="宋体" w:hAnsi="宋体" w:cs="宋体"/>
          <w:color w:val="auto"/>
          <w:sz w:val="24"/>
          <w:highlight w:val="none"/>
        </w:rPr>
        <w:t>，</w:t>
      </w:r>
      <w:r>
        <w:rPr>
          <w:rFonts w:ascii="宋体" w:hAnsi="宋体" w:cs="宋体"/>
          <w:color w:val="auto"/>
          <w:sz w:val="24"/>
          <w:highlight w:val="none"/>
        </w:rPr>
        <w:t>身高175cm以上</w:t>
      </w:r>
      <w:r>
        <w:rPr>
          <w:rFonts w:hint="eastAsia" w:ascii="宋体" w:hAnsi="宋体" w:cs="宋体"/>
          <w:color w:val="auto"/>
          <w:sz w:val="24"/>
          <w:highlight w:val="none"/>
        </w:rPr>
        <w:t>，</w:t>
      </w:r>
      <w:r>
        <w:rPr>
          <w:rFonts w:ascii="宋体" w:hAnsi="宋体" w:cs="宋体"/>
          <w:color w:val="auto"/>
          <w:sz w:val="24"/>
          <w:highlight w:val="none"/>
        </w:rPr>
        <w:t>持有保安员证。</w:t>
      </w:r>
    </w:p>
    <w:p w14:paraId="7B608C83">
      <w:pPr>
        <w:tabs>
          <w:tab w:val="left" w:pos="900"/>
        </w:tabs>
        <w:spacing w:line="360" w:lineRule="auto"/>
        <w:ind w:firstLine="480"/>
        <w:rPr>
          <w:rFonts w:hint="eastAsia" w:ascii="宋体" w:hAnsi="宋体" w:cs="宋体"/>
          <w:color w:val="auto"/>
          <w:sz w:val="24"/>
          <w:highlight w:val="none"/>
        </w:rPr>
      </w:pPr>
      <w:r>
        <w:rPr>
          <w:rFonts w:ascii="宋体" w:hAnsi="宋体" w:cs="宋体"/>
          <w:color w:val="auto"/>
          <w:sz w:val="24"/>
          <w:highlight w:val="none"/>
        </w:rPr>
        <w:t>消中控岗：</w:t>
      </w:r>
      <w:r>
        <w:rPr>
          <w:rFonts w:ascii="宋体" w:hAnsi="宋体" w:cs="宋体"/>
          <w:color w:val="auto"/>
          <w:sz w:val="24"/>
          <w:highlight w:val="none"/>
          <w:rPrChange w:id="3" w:author="秦岳" w:date="2025-12-25T17:39:43Z">
            <w:rPr>
              <w:rFonts w:ascii="宋体" w:hAnsi="宋体" w:cs="宋体"/>
              <w:color w:val="FF0000"/>
              <w:sz w:val="24"/>
              <w:highlight w:val="none"/>
            </w:rPr>
          </w:rPrChange>
        </w:rPr>
        <w:t>持有效</w:t>
      </w:r>
      <w:r>
        <w:rPr>
          <w:rFonts w:hint="eastAsia" w:ascii="宋体" w:hAnsi="宋体" w:cs="宋体"/>
          <w:color w:val="auto"/>
          <w:sz w:val="24"/>
          <w:highlight w:val="none"/>
          <w:lang w:val="en-US" w:eastAsia="zh-CN"/>
          <w:rPrChange w:id="4" w:author="秦岳" w:date="2025-12-25T17:39:43Z">
            <w:rPr>
              <w:rFonts w:hint="eastAsia" w:ascii="宋体" w:hAnsi="宋体" w:cs="宋体"/>
              <w:color w:val="FF0000"/>
              <w:sz w:val="24"/>
              <w:highlight w:val="none"/>
              <w:lang w:val="en-US" w:eastAsia="zh-CN"/>
            </w:rPr>
          </w:rPrChange>
        </w:rPr>
        <w:t>中级</w:t>
      </w:r>
      <w:r>
        <w:rPr>
          <w:rFonts w:ascii="宋体" w:hAnsi="宋体" w:cs="宋体"/>
          <w:color w:val="auto"/>
          <w:sz w:val="24"/>
          <w:highlight w:val="none"/>
          <w:rPrChange w:id="5" w:author="秦岳" w:date="2025-12-25T17:39:43Z">
            <w:rPr>
              <w:rFonts w:ascii="宋体" w:hAnsi="宋体" w:cs="宋体"/>
              <w:color w:val="FF0000"/>
              <w:sz w:val="24"/>
              <w:highlight w:val="none"/>
            </w:rPr>
          </w:rPrChange>
        </w:rPr>
        <w:t>消防设施操作员</w:t>
      </w:r>
      <w:r>
        <w:rPr>
          <w:rFonts w:hint="eastAsia" w:ascii="宋体" w:hAnsi="宋体" w:cs="宋体"/>
          <w:color w:val="auto"/>
          <w:sz w:val="24"/>
          <w:highlight w:val="none"/>
          <w:lang w:val="en-US" w:eastAsia="zh-CN"/>
          <w:rPrChange w:id="6" w:author="秦岳" w:date="2025-12-25T17:39:43Z">
            <w:rPr>
              <w:rFonts w:hint="eastAsia" w:ascii="宋体" w:hAnsi="宋体" w:cs="宋体"/>
              <w:color w:val="FF0000"/>
              <w:sz w:val="24"/>
              <w:highlight w:val="none"/>
              <w:lang w:val="en-US" w:eastAsia="zh-CN"/>
            </w:rPr>
          </w:rPrChange>
        </w:rPr>
        <w:t>证</w:t>
      </w:r>
      <w:r>
        <w:rPr>
          <w:rFonts w:ascii="宋体" w:hAnsi="宋体" w:cs="宋体"/>
          <w:color w:val="auto"/>
          <w:sz w:val="24"/>
          <w:highlight w:val="none"/>
          <w:rPrChange w:id="7" w:author="秦岳" w:date="2025-12-25T17:39:43Z">
            <w:rPr>
              <w:rFonts w:ascii="宋体" w:hAnsi="宋体" w:cs="宋体"/>
              <w:color w:val="FF0000"/>
              <w:sz w:val="24"/>
              <w:highlight w:val="none"/>
            </w:rPr>
          </w:rPrChange>
        </w:rPr>
        <w:t>，</w:t>
      </w:r>
      <w:r>
        <w:rPr>
          <w:rFonts w:ascii="宋体" w:hAnsi="宋体" w:cs="宋体"/>
          <w:color w:val="auto"/>
          <w:sz w:val="24"/>
          <w:highlight w:val="none"/>
        </w:rPr>
        <w:t>且男性须满足：18-5</w:t>
      </w:r>
      <w:r>
        <w:rPr>
          <w:rFonts w:hint="eastAsia" w:ascii="宋体" w:hAnsi="宋体" w:cs="宋体"/>
          <w:color w:val="auto"/>
          <w:sz w:val="24"/>
          <w:highlight w:val="none"/>
        </w:rPr>
        <w:t>7</w:t>
      </w:r>
      <w:r>
        <w:rPr>
          <w:rFonts w:ascii="宋体" w:hAnsi="宋体" w:cs="宋体"/>
          <w:color w:val="auto"/>
          <w:sz w:val="24"/>
          <w:highlight w:val="none"/>
        </w:rPr>
        <w:t>周岁、五官端正、身高170cm 以上；女性须满足：18-50周岁。</w:t>
      </w:r>
    </w:p>
    <w:p w14:paraId="67C92870">
      <w:pPr>
        <w:tabs>
          <w:tab w:val="left" w:pos="900"/>
        </w:tabs>
        <w:spacing w:line="360" w:lineRule="auto"/>
        <w:ind w:firstLine="480"/>
        <w:rPr>
          <w:rFonts w:ascii="宋体" w:hAnsi="宋体" w:cs="宋体"/>
          <w:color w:val="auto"/>
          <w:sz w:val="24"/>
          <w:highlight w:val="none"/>
        </w:rPr>
      </w:pPr>
      <w:r>
        <w:rPr>
          <w:rFonts w:hint="eastAsia" w:ascii="宋体" w:hAnsi="宋体" w:cs="宋体"/>
          <w:color w:val="auto"/>
          <w:sz w:val="24"/>
          <w:highlight w:val="none"/>
        </w:rPr>
        <w:t>（3）</w:t>
      </w:r>
      <w:r>
        <w:rPr>
          <w:rFonts w:ascii="宋体" w:hAnsi="宋体" w:cs="宋体"/>
          <w:color w:val="auto"/>
          <w:sz w:val="24"/>
          <w:highlight w:val="none"/>
        </w:rPr>
        <w:t>上述人员由乙方进行3-5天内岗前培训，并经甲乙双方考核通过后方可正式入职上岗。 (维序人员最终须由甲方挑选，就身高条件可根据情况适当放宽，但必须按实际情况事先获得甲方书面审批，方可实施；甲方如对乙方提供之员工不满意，有权要求更换员工，乙方必须及时配合。</w:t>
      </w:r>
    </w:p>
    <w:p w14:paraId="7E513B5F">
      <w:pPr>
        <w:tabs>
          <w:tab w:val="left" w:pos="900"/>
        </w:tabs>
        <w:spacing w:line="360" w:lineRule="auto"/>
        <w:ind w:firstLine="480"/>
        <w:rPr>
          <w:rFonts w:ascii="宋体" w:hAnsi="宋体" w:cs="宋体"/>
          <w:b/>
          <w:color w:val="auto"/>
          <w:sz w:val="24"/>
          <w:highlight w:val="none"/>
        </w:rPr>
      </w:pPr>
      <w:r>
        <w:rPr>
          <w:rFonts w:ascii="宋体" w:hAnsi="宋体" w:cs="宋体"/>
          <w:color w:val="auto"/>
          <w:sz w:val="24"/>
          <w:highlight w:val="none"/>
        </w:rPr>
        <w:t>7、如乙方的维序人员岗位服务不符合本合同约定，甲方有权向乙方提出整改要求，乙方须及时配合，采取重新培训、更换维序人员等方式达到本合同的要求，但整改过程中不得影响甲方的正常维序服务。更换后的维序人员服务标准须达到本合同的要求。</w:t>
      </w:r>
    </w:p>
    <w:p w14:paraId="15C12612">
      <w:pPr>
        <w:tabs>
          <w:tab w:val="left" w:pos="900"/>
        </w:tabs>
        <w:spacing w:line="360" w:lineRule="auto"/>
        <w:ind w:firstLine="482"/>
        <w:rPr>
          <w:rFonts w:ascii="宋体" w:hAnsi="宋体" w:cs="宋体"/>
          <w:color w:val="auto"/>
          <w:sz w:val="24"/>
          <w:highlight w:val="none"/>
        </w:rPr>
      </w:pPr>
      <w:r>
        <w:rPr>
          <w:rFonts w:ascii="宋体" w:hAnsi="宋体" w:cs="宋体"/>
          <w:b/>
          <w:color w:val="auto"/>
          <w:sz w:val="24"/>
          <w:highlight w:val="none"/>
        </w:rPr>
        <w:t>五 、紧急维序岗位调配</w:t>
      </w:r>
    </w:p>
    <w:p w14:paraId="0771ADA5">
      <w:pPr>
        <w:tabs>
          <w:tab w:val="left" w:pos="900"/>
        </w:tabs>
        <w:spacing w:line="360" w:lineRule="auto"/>
        <w:ind w:firstLine="480"/>
        <w:rPr>
          <w:rFonts w:ascii="宋体" w:hAnsi="宋体" w:cs="宋体"/>
          <w:color w:val="auto"/>
          <w:sz w:val="24"/>
          <w:highlight w:val="none"/>
        </w:rPr>
      </w:pPr>
      <w:r>
        <w:rPr>
          <w:rFonts w:ascii="宋体" w:hAnsi="宋体" w:cs="宋体"/>
          <w:color w:val="auto"/>
          <w:sz w:val="24"/>
          <w:highlight w:val="none"/>
        </w:rPr>
        <w:t>1、根据实际情况，甲方有权在必要时更改本合同附件二的工作内容和调整维序员服务岗位， 经甲乙双方确认后执行，此类更改不影响本合同的效力及维序服务费用。</w:t>
      </w:r>
    </w:p>
    <w:p w14:paraId="5FEE876D">
      <w:pPr>
        <w:tabs>
          <w:tab w:val="left" w:pos="900"/>
        </w:tabs>
        <w:spacing w:line="360" w:lineRule="auto"/>
        <w:ind w:firstLine="480"/>
        <w:rPr>
          <w:rFonts w:ascii="宋体" w:hAnsi="宋体" w:cs="宋体"/>
          <w:color w:val="auto"/>
          <w:sz w:val="24"/>
          <w:highlight w:val="none"/>
        </w:rPr>
      </w:pPr>
      <w:r>
        <w:rPr>
          <w:rFonts w:ascii="宋体" w:hAnsi="宋体" w:cs="宋体"/>
          <w:color w:val="auto"/>
          <w:sz w:val="24"/>
          <w:highlight w:val="none"/>
        </w:rPr>
        <w:t>2、乙方应于本合同服务期开始前两日内，向甲方提交应急人员名单及24小时紧急联系电话；突发事件或特殊情况下需增派人员，乙方应于接到通知后2小时内增派应急人员到岗。</w:t>
      </w:r>
    </w:p>
    <w:p w14:paraId="6E07007B">
      <w:pPr>
        <w:tabs>
          <w:tab w:val="left" w:pos="900"/>
        </w:tabs>
        <w:spacing w:line="360" w:lineRule="auto"/>
        <w:ind w:firstLine="480"/>
        <w:rPr>
          <w:rFonts w:ascii="宋体" w:hAnsi="宋体" w:cs="宋体"/>
          <w:b/>
          <w:color w:val="auto"/>
          <w:sz w:val="24"/>
          <w:highlight w:val="none"/>
        </w:rPr>
      </w:pPr>
      <w:r>
        <w:rPr>
          <w:rFonts w:ascii="宋体" w:hAnsi="宋体" w:cs="宋体"/>
          <w:color w:val="auto"/>
          <w:sz w:val="24"/>
          <w:highlight w:val="none"/>
        </w:rPr>
        <w:t>3、特殊情况下，乙方现场维序人员应服从甲方代表的临时调动及合理安排。</w:t>
      </w:r>
    </w:p>
    <w:p w14:paraId="1EA0A899">
      <w:pPr>
        <w:tabs>
          <w:tab w:val="left" w:pos="900"/>
        </w:tabs>
        <w:spacing w:line="360" w:lineRule="auto"/>
        <w:ind w:firstLine="482"/>
        <w:rPr>
          <w:rFonts w:ascii="宋体" w:hAnsi="宋体" w:cs="宋体"/>
          <w:color w:val="auto"/>
          <w:sz w:val="24"/>
          <w:highlight w:val="none"/>
        </w:rPr>
      </w:pPr>
      <w:r>
        <w:rPr>
          <w:rFonts w:ascii="宋体" w:hAnsi="宋体" w:cs="宋体"/>
          <w:b/>
          <w:color w:val="auto"/>
          <w:sz w:val="24"/>
          <w:highlight w:val="none"/>
        </w:rPr>
        <w:t>六、合同服务费及付款方式</w:t>
      </w:r>
    </w:p>
    <w:p w14:paraId="2E0987FE">
      <w:pPr>
        <w:tabs>
          <w:tab w:val="left" w:pos="900"/>
        </w:tabs>
        <w:spacing w:line="360" w:lineRule="auto"/>
        <w:ind w:firstLine="480"/>
        <w:rPr>
          <w:rFonts w:hint="eastAsia" w:ascii="宋体" w:hAnsi="宋体" w:cs="宋体"/>
          <w:color w:val="auto"/>
          <w:sz w:val="24"/>
          <w:highlight w:val="none"/>
        </w:rPr>
      </w:pPr>
      <w:r>
        <w:rPr>
          <w:rFonts w:ascii="宋体" w:hAnsi="宋体" w:cs="宋体"/>
          <w:color w:val="auto"/>
          <w:sz w:val="24"/>
          <w:highlight w:val="none"/>
        </w:rPr>
        <w:t>1、</w:t>
      </w:r>
      <w:r>
        <w:rPr>
          <w:rFonts w:hint="eastAsia" w:ascii="宋体" w:hAnsi="宋体" w:cs="宋体"/>
          <w:color w:val="auto"/>
          <w:sz w:val="24"/>
          <w:highlight w:val="none"/>
        </w:rPr>
        <w:t>为保证本合同有效执行，本项目履约保证金为一年含税中标金额的5%（即    元），乙方须在领取中标通知书之日起合同签订后3个工作日内，履约保证金以银行转账方式支付至甲方指定账户或等额保函的形式提交至甲方。合同期满且甲方与乙方完成本项目费用</w:t>
      </w:r>
      <w:r>
        <w:rPr>
          <w:rFonts w:hint="eastAsia" w:ascii="宋体" w:hAnsi="宋体" w:cs="宋体"/>
          <w:color w:val="auto"/>
          <w:sz w:val="24"/>
          <w:highlight w:val="none"/>
          <w:lang w:val="en-US" w:eastAsia="zh-CN"/>
        </w:rPr>
        <w:t>支付</w:t>
      </w:r>
      <w:r>
        <w:rPr>
          <w:rFonts w:hint="eastAsia" w:ascii="宋体" w:hAnsi="宋体" w:cs="宋体"/>
          <w:color w:val="auto"/>
          <w:sz w:val="24"/>
          <w:highlight w:val="none"/>
        </w:rPr>
        <w:t>后20天内（除相应的处罚及乙方应承担的费用以外）无息退款。</w:t>
      </w:r>
    </w:p>
    <w:p w14:paraId="653F24D1">
      <w:pPr>
        <w:tabs>
          <w:tab w:val="left" w:pos="900"/>
        </w:tabs>
        <w:spacing w:line="360" w:lineRule="auto"/>
        <w:ind w:firstLine="480"/>
        <w:rPr>
          <w:rFonts w:hint="eastAsia" w:ascii="宋体" w:hAnsi="宋体" w:eastAsia="宋体" w:cs="宋体"/>
          <w:color w:val="auto"/>
          <w:sz w:val="24"/>
          <w:highlight w:val="none"/>
          <w:u w:val="none"/>
        </w:rPr>
      </w:pPr>
      <w:r>
        <w:rPr>
          <w:rFonts w:hint="eastAsia" w:ascii="宋体" w:hAnsi="宋体" w:eastAsia="宋体" w:cs="宋体"/>
          <w:color w:val="auto"/>
          <w:sz w:val="24"/>
          <w:highlight w:val="none"/>
          <w:u w:val="none"/>
        </w:rPr>
        <w:t>2、本合同服务期内，在乙方按本合同要求，遵照甲方通知保证岗位并提供合格的维序服务的前提下，乙方和甲方所属项目签订维序服务委托合同后，甲方所属项目根据合同条款按</w:t>
      </w:r>
      <w:r>
        <w:rPr>
          <w:rFonts w:hint="eastAsia" w:ascii="宋体" w:hAnsi="宋体" w:eastAsia="宋体" w:cs="宋体"/>
          <w:color w:val="auto"/>
          <w:sz w:val="24"/>
          <w:highlight w:val="none"/>
          <w:u w:val="none"/>
          <w:lang w:val="en-US" w:eastAsia="zh-CN"/>
        </w:rPr>
        <w:t>季度</w:t>
      </w:r>
      <w:r>
        <w:rPr>
          <w:rFonts w:hint="eastAsia" w:ascii="宋体" w:hAnsi="宋体" w:eastAsia="宋体" w:cs="宋体"/>
          <w:color w:val="auto"/>
          <w:sz w:val="24"/>
          <w:highlight w:val="none"/>
          <w:u w:val="none"/>
        </w:rPr>
        <w:t>向乙方支付维序服务费。</w:t>
      </w:r>
      <w:r>
        <w:rPr>
          <w:rFonts w:hint="eastAsia" w:ascii="宋体" w:hAnsi="宋体" w:cs="宋体"/>
          <w:color w:val="auto"/>
          <w:sz w:val="24"/>
          <w:highlight w:val="none"/>
          <w:u w:val="none"/>
          <w:lang w:val="en-US" w:eastAsia="zh-CN"/>
        </w:rPr>
        <w:t>普通</w:t>
      </w:r>
      <w:r>
        <w:rPr>
          <w:rFonts w:hint="eastAsia" w:ascii="宋体" w:hAnsi="宋体" w:eastAsia="宋体" w:cs="宋体"/>
          <w:color w:val="auto"/>
          <w:sz w:val="24"/>
          <w:highlight w:val="none"/>
          <w:u w:val="none"/>
        </w:rPr>
        <w:t>岗</w:t>
      </w:r>
      <w:r>
        <w:rPr>
          <w:rFonts w:hint="eastAsia" w:ascii="宋体" w:hAnsi="宋体" w:cs="宋体"/>
          <w:color w:val="auto"/>
          <w:sz w:val="24"/>
          <w:highlight w:val="none"/>
          <w:u w:val="none"/>
          <w:lang w:val="en-US" w:eastAsia="zh-CN"/>
        </w:rPr>
        <w:t xml:space="preserve"> </w:t>
      </w:r>
      <w:r>
        <w:rPr>
          <w:rFonts w:hint="eastAsia" w:ascii="宋体" w:hAnsi="宋体" w:eastAsia="宋体" w:cs="宋体"/>
          <w:color w:val="auto"/>
          <w:sz w:val="24"/>
          <w:highlight w:val="none"/>
          <w:u w:val="none"/>
          <w:lang w:val="en-US" w:eastAsia="zh-CN"/>
        </w:rPr>
        <w:t xml:space="preserve">   </w:t>
      </w:r>
      <w:r>
        <w:rPr>
          <w:rFonts w:hint="eastAsia" w:ascii="宋体" w:hAnsi="宋体" w:eastAsia="宋体" w:cs="宋体"/>
          <w:color w:val="auto"/>
          <w:sz w:val="24"/>
          <w:highlight w:val="none"/>
          <w:u w:val="none"/>
        </w:rPr>
        <w:t>个，单价¥</w:t>
      </w:r>
      <w:r>
        <w:rPr>
          <w:rFonts w:hint="eastAsia" w:ascii="宋体" w:hAnsi="宋体" w:eastAsia="宋体" w:cs="宋体"/>
          <w:color w:val="auto"/>
          <w:sz w:val="24"/>
          <w:highlight w:val="none"/>
          <w:u w:val="none"/>
          <w:lang w:val="en-US" w:eastAsia="zh-CN"/>
        </w:rPr>
        <w:t xml:space="preserve">    </w:t>
      </w:r>
      <w:r>
        <w:rPr>
          <w:rFonts w:hint="eastAsia" w:ascii="宋体" w:hAnsi="宋体" w:eastAsia="宋体" w:cs="宋体"/>
          <w:color w:val="auto"/>
          <w:sz w:val="24"/>
          <w:highlight w:val="none"/>
          <w:u w:val="none"/>
        </w:rPr>
        <w:t xml:space="preserve"> 元/月/岗(一</w:t>
      </w:r>
      <w:r>
        <w:rPr>
          <w:rFonts w:hint="eastAsia" w:ascii="宋体" w:hAnsi="宋体" w:eastAsia="宋体" w:cs="宋体"/>
          <w:color w:val="auto"/>
          <w:sz w:val="24"/>
          <w:highlight w:val="none"/>
          <w:u w:val="none"/>
          <w:lang w:val="en-US" w:eastAsia="zh-CN"/>
        </w:rPr>
        <w:t>岗24</w:t>
      </w:r>
      <w:r>
        <w:rPr>
          <w:rFonts w:hint="eastAsia" w:ascii="宋体" w:hAnsi="宋体" w:eastAsia="宋体" w:cs="宋体"/>
          <w:color w:val="auto"/>
          <w:sz w:val="24"/>
          <w:highlight w:val="none"/>
          <w:u w:val="none"/>
        </w:rPr>
        <w:t>小时），不含税单价 ¥</w:t>
      </w:r>
      <w:r>
        <w:rPr>
          <w:rFonts w:hint="eastAsia" w:ascii="宋体" w:hAnsi="宋体" w:eastAsia="宋体" w:cs="宋体"/>
          <w:color w:val="auto"/>
          <w:sz w:val="24"/>
          <w:highlight w:val="none"/>
          <w:u w:val="none"/>
          <w:lang w:val="en-US" w:eastAsia="zh-CN"/>
        </w:rPr>
        <w:t xml:space="preserve"> </w:t>
      </w:r>
      <w:r>
        <w:rPr>
          <w:rFonts w:hint="eastAsia" w:ascii="宋体" w:hAnsi="宋体" w:cs="宋体"/>
          <w:color w:val="auto"/>
          <w:sz w:val="24"/>
          <w:highlight w:val="none"/>
          <w:u w:val="none"/>
          <w:lang w:val="en-US" w:eastAsia="zh-CN"/>
        </w:rPr>
        <w:t xml:space="preserve">  </w:t>
      </w:r>
      <w:r>
        <w:rPr>
          <w:rFonts w:hint="eastAsia" w:ascii="宋体" w:hAnsi="宋体" w:eastAsia="宋体" w:cs="宋体"/>
          <w:color w:val="auto"/>
          <w:sz w:val="24"/>
          <w:highlight w:val="none"/>
          <w:u w:val="none"/>
          <w:lang w:val="en-US" w:eastAsia="zh-CN"/>
        </w:rPr>
        <w:t xml:space="preserve">  </w:t>
      </w:r>
      <w:r>
        <w:rPr>
          <w:rFonts w:hint="eastAsia" w:ascii="宋体" w:hAnsi="宋体" w:eastAsia="宋体" w:cs="宋体"/>
          <w:color w:val="auto"/>
          <w:sz w:val="24"/>
          <w:highlight w:val="none"/>
          <w:u w:val="none"/>
        </w:rPr>
        <w:t xml:space="preserve"> 元/月/岗</w:t>
      </w:r>
      <w:r>
        <w:rPr>
          <w:rFonts w:hint="eastAsia" w:ascii="宋体" w:hAnsi="宋体" w:cs="宋体"/>
          <w:color w:val="auto"/>
          <w:sz w:val="24"/>
          <w:highlight w:val="none"/>
          <w:u w:val="none"/>
          <w:lang w:eastAsia="zh-CN"/>
        </w:rPr>
        <w:t>，</w:t>
      </w:r>
      <w:r>
        <w:rPr>
          <w:rFonts w:hint="eastAsia" w:ascii="宋体" w:hAnsi="宋体" w:cs="宋体"/>
          <w:color w:val="auto"/>
          <w:sz w:val="24"/>
          <w:highlight w:val="none"/>
          <w:u w:val="none"/>
          <w:lang w:val="en-US" w:eastAsia="zh-CN"/>
        </w:rPr>
        <w:t>消控</w:t>
      </w:r>
      <w:r>
        <w:rPr>
          <w:rFonts w:hint="eastAsia" w:ascii="宋体" w:hAnsi="宋体" w:eastAsia="宋体" w:cs="宋体"/>
          <w:color w:val="auto"/>
          <w:sz w:val="24"/>
          <w:highlight w:val="none"/>
          <w:u w:val="none"/>
        </w:rPr>
        <w:t>岗</w:t>
      </w:r>
      <w:r>
        <w:rPr>
          <w:rFonts w:hint="eastAsia" w:ascii="宋体" w:hAnsi="宋体" w:cs="宋体"/>
          <w:color w:val="auto"/>
          <w:sz w:val="24"/>
          <w:highlight w:val="none"/>
          <w:u w:val="none"/>
          <w:lang w:val="en-US" w:eastAsia="zh-CN"/>
        </w:rPr>
        <w:t xml:space="preserve"> </w:t>
      </w:r>
      <w:r>
        <w:rPr>
          <w:rFonts w:hint="eastAsia" w:ascii="宋体" w:hAnsi="宋体" w:eastAsia="宋体" w:cs="宋体"/>
          <w:color w:val="auto"/>
          <w:sz w:val="24"/>
          <w:highlight w:val="none"/>
          <w:u w:val="none"/>
          <w:lang w:val="en-US" w:eastAsia="zh-CN"/>
        </w:rPr>
        <w:t xml:space="preserve">   </w:t>
      </w:r>
      <w:r>
        <w:rPr>
          <w:rFonts w:hint="eastAsia" w:ascii="宋体" w:hAnsi="宋体" w:eastAsia="宋体" w:cs="宋体"/>
          <w:color w:val="auto"/>
          <w:sz w:val="24"/>
          <w:highlight w:val="none"/>
          <w:u w:val="none"/>
        </w:rPr>
        <w:t>个，单价¥</w:t>
      </w:r>
      <w:r>
        <w:rPr>
          <w:rFonts w:hint="eastAsia" w:ascii="宋体" w:hAnsi="宋体" w:eastAsia="宋体" w:cs="宋体"/>
          <w:color w:val="auto"/>
          <w:sz w:val="24"/>
          <w:highlight w:val="none"/>
          <w:u w:val="none"/>
          <w:lang w:val="en-US" w:eastAsia="zh-CN"/>
        </w:rPr>
        <w:t xml:space="preserve">    </w:t>
      </w:r>
      <w:r>
        <w:rPr>
          <w:rFonts w:hint="eastAsia" w:ascii="宋体" w:hAnsi="宋体" w:eastAsia="宋体" w:cs="宋体"/>
          <w:color w:val="auto"/>
          <w:sz w:val="24"/>
          <w:highlight w:val="none"/>
          <w:u w:val="none"/>
        </w:rPr>
        <w:t xml:space="preserve"> 元/月/岗(一</w:t>
      </w:r>
      <w:r>
        <w:rPr>
          <w:rFonts w:hint="eastAsia" w:ascii="宋体" w:hAnsi="宋体" w:eastAsia="宋体" w:cs="宋体"/>
          <w:color w:val="auto"/>
          <w:sz w:val="24"/>
          <w:highlight w:val="none"/>
          <w:u w:val="none"/>
          <w:lang w:val="en-US" w:eastAsia="zh-CN"/>
        </w:rPr>
        <w:t>岗24</w:t>
      </w:r>
      <w:r>
        <w:rPr>
          <w:rFonts w:hint="eastAsia" w:ascii="宋体" w:hAnsi="宋体" w:eastAsia="宋体" w:cs="宋体"/>
          <w:color w:val="auto"/>
          <w:sz w:val="24"/>
          <w:highlight w:val="none"/>
          <w:u w:val="none"/>
        </w:rPr>
        <w:t>小时），不含税单价 ¥</w:t>
      </w:r>
      <w:r>
        <w:rPr>
          <w:rFonts w:hint="eastAsia" w:ascii="宋体" w:hAnsi="宋体" w:eastAsia="宋体" w:cs="宋体"/>
          <w:color w:val="auto"/>
          <w:sz w:val="24"/>
          <w:highlight w:val="none"/>
          <w:u w:val="none"/>
          <w:lang w:val="en-US" w:eastAsia="zh-CN"/>
        </w:rPr>
        <w:t xml:space="preserve"> </w:t>
      </w:r>
      <w:r>
        <w:rPr>
          <w:rFonts w:hint="eastAsia" w:ascii="宋体" w:hAnsi="宋体" w:cs="宋体"/>
          <w:color w:val="auto"/>
          <w:sz w:val="24"/>
          <w:highlight w:val="none"/>
          <w:u w:val="none"/>
          <w:lang w:val="en-US" w:eastAsia="zh-CN"/>
        </w:rPr>
        <w:t xml:space="preserve">  </w:t>
      </w:r>
      <w:r>
        <w:rPr>
          <w:rFonts w:hint="eastAsia" w:ascii="宋体" w:hAnsi="宋体" w:eastAsia="宋体" w:cs="宋体"/>
          <w:color w:val="auto"/>
          <w:sz w:val="24"/>
          <w:highlight w:val="none"/>
          <w:u w:val="none"/>
          <w:lang w:val="en-US" w:eastAsia="zh-CN"/>
        </w:rPr>
        <w:t xml:space="preserve">  </w:t>
      </w:r>
      <w:r>
        <w:rPr>
          <w:rFonts w:hint="eastAsia" w:ascii="宋体" w:hAnsi="宋体" w:eastAsia="宋体" w:cs="宋体"/>
          <w:color w:val="auto"/>
          <w:sz w:val="24"/>
          <w:highlight w:val="none"/>
          <w:u w:val="none"/>
        </w:rPr>
        <w:t xml:space="preserve"> 元/月/岗</w:t>
      </w:r>
      <w:r>
        <w:rPr>
          <w:rFonts w:hint="eastAsia" w:ascii="宋体" w:hAnsi="宋体" w:cs="宋体"/>
          <w:color w:val="auto"/>
          <w:sz w:val="24"/>
          <w:highlight w:val="none"/>
          <w:u w:val="none"/>
          <w:lang w:eastAsia="zh-CN"/>
        </w:rPr>
        <w:t>。</w:t>
      </w:r>
      <w:r>
        <w:rPr>
          <w:rFonts w:hint="eastAsia" w:ascii="宋体" w:hAnsi="宋体" w:eastAsia="宋体" w:cs="宋体"/>
          <w:color w:val="auto"/>
          <w:sz w:val="24"/>
          <w:highlight w:val="none"/>
          <w:u w:val="none"/>
        </w:rPr>
        <w:t>服务期</w:t>
      </w:r>
      <w:r>
        <w:rPr>
          <w:rFonts w:hint="eastAsia" w:ascii="宋体" w:hAnsi="宋体" w:eastAsia="宋体" w:cs="宋体"/>
          <w:color w:val="auto"/>
          <w:sz w:val="24"/>
          <w:highlight w:val="none"/>
          <w:u w:val="none"/>
          <w:lang w:val="en-US" w:eastAsia="zh-CN"/>
        </w:rPr>
        <w:t>季度</w:t>
      </w:r>
      <w:r>
        <w:rPr>
          <w:rFonts w:hint="eastAsia" w:ascii="宋体" w:hAnsi="宋体" w:eastAsia="宋体" w:cs="宋体"/>
          <w:color w:val="auto"/>
          <w:sz w:val="24"/>
          <w:highlight w:val="none"/>
          <w:u w:val="none"/>
        </w:rPr>
        <w:t xml:space="preserve">总费用为¥ </w:t>
      </w:r>
      <w:r>
        <w:rPr>
          <w:rFonts w:hint="eastAsia" w:ascii="宋体" w:hAnsi="宋体" w:eastAsia="宋体" w:cs="宋体"/>
          <w:color w:val="auto"/>
          <w:sz w:val="24"/>
          <w:highlight w:val="none"/>
          <w:u w:val="none"/>
          <w:lang w:val="en-US" w:eastAsia="zh-CN"/>
        </w:rPr>
        <w:t xml:space="preserve">     </w:t>
      </w:r>
      <w:r>
        <w:rPr>
          <w:rFonts w:hint="eastAsia" w:ascii="宋体" w:hAnsi="宋体" w:eastAsia="宋体" w:cs="宋体"/>
          <w:color w:val="auto"/>
          <w:sz w:val="24"/>
          <w:highlight w:val="none"/>
          <w:u w:val="none"/>
        </w:rPr>
        <w:t>元/</w:t>
      </w:r>
      <w:r>
        <w:rPr>
          <w:rFonts w:hint="eastAsia" w:ascii="宋体" w:hAnsi="宋体" w:eastAsia="宋体" w:cs="宋体"/>
          <w:color w:val="auto"/>
          <w:sz w:val="24"/>
          <w:highlight w:val="none"/>
          <w:u w:val="none"/>
          <w:lang w:val="en-US" w:eastAsia="zh-CN"/>
        </w:rPr>
        <w:t>季度</w:t>
      </w:r>
      <w:r>
        <w:rPr>
          <w:rFonts w:hint="eastAsia" w:ascii="宋体" w:hAnsi="宋体" w:eastAsia="宋体" w:cs="宋体"/>
          <w:color w:val="auto"/>
          <w:sz w:val="24"/>
          <w:highlight w:val="none"/>
          <w:u w:val="none"/>
        </w:rPr>
        <w:t>，</w:t>
      </w:r>
      <w:r>
        <w:rPr>
          <w:rFonts w:hint="eastAsia" w:ascii="宋体" w:hAnsi="宋体" w:eastAsia="宋体" w:cs="宋体"/>
          <w:color w:val="auto"/>
          <w:sz w:val="24"/>
          <w:highlight w:val="none"/>
          <w:u w:val="none"/>
          <w:lang w:val="en-US" w:eastAsia="zh-CN"/>
        </w:rPr>
        <w:t>季</w:t>
      </w:r>
      <w:r>
        <w:rPr>
          <w:rFonts w:hint="eastAsia" w:ascii="宋体" w:hAnsi="宋体" w:eastAsia="宋体" w:cs="宋体"/>
          <w:color w:val="auto"/>
          <w:sz w:val="24"/>
          <w:highlight w:val="none"/>
          <w:u w:val="none"/>
        </w:rPr>
        <w:t>费用不含税价格为¥</w:t>
      </w:r>
      <w:r>
        <w:rPr>
          <w:rFonts w:hint="eastAsia" w:ascii="宋体" w:hAnsi="宋体" w:eastAsia="宋体" w:cs="宋体"/>
          <w:color w:val="auto"/>
          <w:sz w:val="24"/>
          <w:highlight w:val="none"/>
          <w:u w:val="none"/>
          <w:lang w:val="en-US" w:eastAsia="zh-CN"/>
        </w:rPr>
        <w:t xml:space="preserve">       </w:t>
      </w:r>
      <w:r>
        <w:rPr>
          <w:rFonts w:hint="eastAsia" w:ascii="宋体" w:hAnsi="宋体" w:eastAsia="宋体" w:cs="宋体"/>
          <w:color w:val="auto"/>
          <w:sz w:val="24"/>
          <w:highlight w:val="none"/>
          <w:u w:val="none"/>
        </w:rPr>
        <w:t>元/</w:t>
      </w:r>
      <w:r>
        <w:rPr>
          <w:rFonts w:hint="eastAsia" w:ascii="宋体" w:hAnsi="宋体" w:eastAsia="宋体" w:cs="宋体"/>
          <w:color w:val="auto"/>
          <w:sz w:val="24"/>
          <w:highlight w:val="none"/>
          <w:u w:val="none"/>
          <w:lang w:val="en-US" w:eastAsia="zh-CN"/>
        </w:rPr>
        <w:t>季度</w:t>
      </w:r>
      <w:r>
        <w:rPr>
          <w:rFonts w:hint="eastAsia" w:ascii="宋体" w:hAnsi="宋体" w:eastAsia="宋体" w:cs="宋体"/>
          <w:color w:val="auto"/>
          <w:sz w:val="24"/>
          <w:highlight w:val="none"/>
          <w:u w:val="none"/>
        </w:rPr>
        <w:t xml:space="preserve">，年服务费用为¥ </w:t>
      </w:r>
      <w:r>
        <w:rPr>
          <w:rFonts w:hint="eastAsia" w:ascii="宋体" w:hAnsi="宋体" w:eastAsia="宋体" w:cs="宋体"/>
          <w:color w:val="auto"/>
          <w:sz w:val="24"/>
          <w:highlight w:val="none"/>
          <w:u w:val="none"/>
          <w:lang w:val="en-US" w:eastAsia="zh-CN"/>
        </w:rPr>
        <w:t xml:space="preserve">     </w:t>
      </w:r>
      <w:r>
        <w:rPr>
          <w:rFonts w:hint="eastAsia" w:ascii="宋体" w:hAnsi="宋体" w:eastAsia="宋体" w:cs="宋体"/>
          <w:color w:val="auto"/>
          <w:sz w:val="24"/>
          <w:highlight w:val="none"/>
          <w:u w:val="none"/>
        </w:rPr>
        <w:t>元/年。国家法定节假日维序岗位人员发生的加班费用、因劳动纠纷产生的任何其他费用等均由乙方自行承担，甲方与乙方派驻人员不存在劳动关系。</w:t>
      </w:r>
    </w:p>
    <w:p w14:paraId="476B51B4">
      <w:pPr>
        <w:tabs>
          <w:tab w:val="left" w:pos="900"/>
        </w:tabs>
        <w:spacing w:line="360" w:lineRule="auto"/>
        <w:ind w:firstLine="480"/>
        <w:rPr>
          <w:rFonts w:hint="default" w:ascii="宋体" w:hAnsi="宋体" w:eastAsia="宋体" w:cs="宋体"/>
          <w:color w:val="auto"/>
          <w:sz w:val="24"/>
          <w:highlight w:val="none"/>
          <w:u w:val="none"/>
          <w:lang w:val="en-US" w:eastAsia="zh-CN"/>
        </w:rPr>
      </w:pPr>
      <w:r>
        <w:rPr>
          <w:rFonts w:hint="eastAsia" w:ascii="宋体" w:hAnsi="宋体" w:eastAsia="宋体" w:cs="宋体"/>
          <w:color w:val="auto"/>
          <w:sz w:val="24"/>
          <w:highlight w:val="none"/>
          <w:u w:val="none"/>
        </w:rPr>
        <w:t>3、维序服务费用的</w:t>
      </w:r>
      <w:r>
        <w:rPr>
          <w:rFonts w:hint="eastAsia" w:ascii="宋体" w:hAnsi="宋体" w:cs="宋体"/>
          <w:color w:val="auto"/>
          <w:sz w:val="24"/>
          <w:highlight w:val="none"/>
          <w:u w:val="none"/>
          <w:lang w:val="en-US" w:eastAsia="zh-CN"/>
        </w:rPr>
        <w:t>支付</w:t>
      </w:r>
      <w:r>
        <w:rPr>
          <w:rFonts w:hint="eastAsia" w:ascii="宋体" w:hAnsi="宋体" w:eastAsia="宋体" w:cs="宋体"/>
          <w:color w:val="auto"/>
          <w:sz w:val="24"/>
          <w:highlight w:val="none"/>
          <w:u w:val="none"/>
        </w:rPr>
        <w:t>方式按以下方式执行：甲方正式通知服务启动，则</w:t>
      </w:r>
      <w:r>
        <w:rPr>
          <w:rFonts w:hint="eastAsia" w:ascii="宋体" w:hAnsi="宋体" w:cs="宋体"/>
          <w:color w:val="auto"/>
          <w:sz w:val="24"/>
          <w:highlight w:val="none"/>
          <w:u w:val="none"/>
          <w:lang w:val="en-US" w:eastAsia="zh-CN"/>
        </w:rPr>
        <w:t>乙方应按</w:t>
      </w:r>
      <w:r>
        <w:rPr>
          <w:rFonts w:hint="eastAsia" w:ascii="宋体" w:hAnsi="宋体" w:eastAsia="宋体" w:cs="宋体"/>
          <w:color w:val="auto"/>
          <w:sz w:val="24"/>
          <w:highlight w:val="none"/>
          <w:u w:val="none"/>
        </w:rPr>
        <w:t>合同约定的岗位全部入场</w:t>
      </w:r>
      <w:r>
        <w:rPr>
          <w:rFonts w:hint="eastAsia" w:ascii="宋体" w:hAnsi="宋体" w:cs="宋体"/>
          <w:color w:val="auto"/>
          <w:sz w:val="24"/>
          <w:highlight w:val="none"/>
          <w:u w:val="none"/>
          <w:lang w:eastAsia="zh-CN"/>
        </w:rPr>
        <w:t>，</w:t>
      </w:r>
      <w:r>
        <w:rPr>
          <w:rFonts w:hint="eastAsia" w:ascii="宋体" w:hAnsi="宋体" w:eastAsia="宋体" w:cs="宋体"/>
          <w:color w:val="auto"/>
          <w:sz w:val="24"/>
          <w:highlight w:val="none"/>
          <w:u w:val="none"/>
        </w:rPr>
        <w:t>费用</w:t>
      </w:r>
      <w:r>
        <w:rPr>
          <w:rFonts w:hint="eastAsia" w:ascii="宋体" w:hAnsi="宋体" w:cs="宋体"/>
          <w:color w:val="auto"/>
          <w:sz w:val="24"/>
          <w:highlight w:val="none"/>
          <w:u w:val="none"/>
          <w:lang w:val="en-US" w:eastAsia="zh-CN"/>
        </w:rPr>
        <w:t>支付</w:t>
      </w:r>
      <w:r>
        <w:rPr>
          <w:rFonts w:hint="eastAsia" w:ascii="宋体" w:hAnsi="宋体" w:eastAsia="宋体" w:cs="宋体"/>
          <w:color w:val="auto"/>
          <w:sz w:val="24"/>
          <w:highlight w:val="none"/>
          <w:u w:val="none"/>
        </w:rPr>
        <w:t>将以约定的满编岗位数量</w:t>
      </w:r>
      <w:r>
        <w:rPr>
          <w:rFonts w:hint="eastAsia" w:ascii="宋体" w:hAnsi="宋体" w:cs="宋体"/>
          <w:color w:val="auto"/>
          <w:sz w:val="24"/>
          <w:highlight w:val="none"/>
          <w:u w:val="none"/>
          <w:lang w:val="en-US" w:eastAsia="zh-CN"/>
        </w:rPr>
        <w:t>及单价</w:t>
      </w:r>
      <w:r>
        <w:rPr>
          <w:rFonts w:hint="eastAsia" w:ascii="宋体" w:hAnsi="宋体" w:eastAsia="宋体" w:cs="宋体"/>
          <w:color w:val="auto"/>
          <w:sz w:val="24"/>
          <w:highlight w:val="none"/>
          <w:u w:val="none"/>
        </w:rPr>
        <w:t>为基准，按</w:t>
      </w:r>
      <w:r>
        <w:rPr>
          <w:rFonts w:hint="eastAsia" w:ascii="宋体" w:hAnsi="宋体" w:cs="宋体"/>
          <w:color w:val="auto"/>
          <w:sz w:val="24"/>
          <w:highlight w:val="none"/>
          <w:u w:val="none"/>
          <w:lang w:val="en-US" w:eastAsia="zh-CN"/>
        </w:rPr>
        <w:t>月</w:t>
      </w:r>
      <w:r>
        <w:rPr>
          <w:rFonts w:hint="eastAsia" w:ascii="宋体" w:hAnsi="宋体" w:eastAsia="宋体" w:cs="宋体"/>
          <w:color w:val="auto"/>
          <w:sz w:val="24"/>
          <w:highlight w:val="none"/>
          <w:u w:val="none"/>
        </w:rPr>
        <w:t>度进行计算</w:t>
      </w:r>
      <w:r>
        <w:rPr>
          <w:rFonts w:hint="eastAsia" w:ascii="宋体" w:hAnsi="宋体" w:cs="宋体"/>
          <w:color w:val="auto"/>
          <w:sz w:val="24"/>
          <w:highlight w:val="none"/>
          <w:u w:val="none"/>
          <w:lang w:eastAsia="zh-CN"/>
        </w:rPr>
        <w:t>，</w:t>
      </w:r>
      <w:r>
        <w:rPr>
          <w:rFonts w:hint="eastAsia" w:ascii="宋体" w:hAnsi="宋体" w:cs="宋体"/>
          <w:color w:val="auto"/>
          <w:sz w:val="24"/>
          <w:highlight w:val="none"/>
          <w:u w:val="none"/>
          <w:lang w:val="en-US" w:eastAsia="zh-CN"/>
        </w:rPr>
        <w:t>按季度进行支付。</w:t>
      </w:r>
    </w:p>
    <w:p w14:paraId="1975B3D9">
      <w:pPr>
        <w:tabs>
          <w:tab w:val="left" w:pos="900"/>
        </w:tabs>
        <w:spacing w:line="360" w:lineRule="auto"/>
        <w:ind w:firstLine="480"/>
        <w:rPr>
          <w:rFonts w:hint="eastAsia" w:ascii="宋体" w:hAnsi="宋体" w:cs="宋体"/>
          <w:b/>
          <w:color w:val="auto"/>
          <w:sz w:val="24"/>
          <w:highlight w:val="none"/>
        </w:rPr>
      </w:pPr>
      <w:r>
        <w:rPr>
          <w:rFonts w:hint="eastAsia" w:ascii="宋体" w:hAnsi="宋体" w:cs="宋体"/>
          <w:color w:val="auto"/>
          <w:sz w:val="24"/>
          <w:highlight w:val="none"/>
        </w:rPr>
        <w:t>4</w:t>
      </w:r>
      <w:r>
        <w:rPr>
          <w:rFonts w:ascii="宋体" w:hAnsi="宋体" w:cs="宋体"/>
          <w:color w:val="auto"/>
          <w:sz w:val="24"/>
          <w:highlight w:val="none"/>
        </w:rPr>
        <w:t>、维序服务费用支付方式为每</w:t>
      </w:r>
      <w:r>
        <w:rPr>
          <w:rFonts w:hint="eastAsia" w:ascii="宋体" w:hAnsi="宋体" w:cs="宋体"/>
          <w:color w:val="auto"/>
          <w:sz w:val="24"/>
          <w:highlight w:val="none"/>
          <w:lang w:val="en-US" w:eastAsia="zh-CN"/>
        </w:rPr>
        <w:t>季度支付</w:t>
      </w:r>
      <w:r>
        <w:rPr>
          <w:rFonts w:ascii="宋体" w:hAnsi="宋体" w:cs="宋体"/>
          <w:color w:val="auto"/>
          <w:sz w:val="24"/>
          <w:highlight w:val="none"/>
        </w:rPr>
        <w:t>一次，甲方依据附件一对乙方维序服务进行检查，并根据附件二对乙方进行考核，考核的结果作为计算甲方实际应付乙方服务费的依据之一。乙方在完成每</w:t>
      </w:r>
      <w:r>
        <w:rPr>
          <w:rFonts w:hint="eastAsia" w:ascii="宋体" w:hAnsi="宋体" w:cs="宋体"/>
          <w:color w:val="auto"/>
          <w:sz w:val="24"/>
          <w:highlight w:val="none"/>
          <w:lang w:val="en-US" w:eastAsia="zh-CN"/>
        </w:rPr>
        <w:t>一个季度的</w:t>
      </w:r>
      <w:r>
        <w:rPr>
          <w:rFonts w:ascii="宋体" w:hAnsi="宋体" w:cs="宋体"/>
          <w:color w:val="auto"/>
          <w:sz w:val="24"/>
          <w:highlight w:val="none"/>
        </w:rPr>
        <w:t>服务</w:t>
      </w:r>
      <w:r>
        <w:rPr>
          <w:rFonts w:hint="eastAsia" w:ascii="宋体" w:hAnsi="宋体" w:cs="宋体"/>
          <w:color w:val="auto"/>
          <w:sz w:val="24"/>
          <w:highlight w:val="none"/>
          <w:lang w:val="en-US" w:eastAsia="zh-CN"/>
        </w:rPr>
        <w:t>周期</w:t>
      </w:r>
      <w:r>
        <w:rPr>
          <w:rFonts w:ascii="宋体" w:hAnsi="宋体" w:cs="宋体"/>
          <w:color w:val="auto"/>
          <w:sz w:val="24"/>
          <w:highlight w:val="none"/>
        </w:rPr>
        <w:t>后五个工作日内向甲方提供与应付款项相应之全额合法完税的增值税专用发票，甲方所属项目在收到乙方提供的与服务费用相应之费用全额及税率等额合法完税增值税专用发票后</w:t>
      </w:r>
      <w:r>
        <w:rPr>
          <w:rFonts w:hint="eastAsia" w:ascii="宋体" w:hAnsi="宋体" w:cs="宋体"/>
          <w:color w:val="auto"/>
          <w:sz w:val="24"/>
          <w:highlight w:val="none"/>
        </w:rPr>
        <w:t>10</w:t>
      </w:r>
      <w:r>
        <w:rPr>
          <w:rFonts w:ascii="宋体" w:hAnsi="宋体" w:cs="宋体"/>
          <w:color w:val="auto"/>
          <w:sz w:val="24"/>
          <w:highlight w:val="none"/>
        </w:rPr>
        <w:t>个工作日内向乙方以转账方式支付维序服务费用。</w:t>
      </w:r>
    </w:p>
    <w:p w14:paraId="3B001FC3">
      <w:pPr>
        <w:rPr>
          <w:rFonts w:hint="eastAsia" w:ascii="宋体" w:hAnsi="宋体" w:cs="宋体"/>
          <w:b/>
          <w:color w:val="auto"/>
          <w:sz w:val="28"/>
          <w:szCs w:val="28"/>
          <w:highlight w:val="none"/>
        </w:rPr>
      </w:pPr>
      <w:r>
        <w:rPr>
          <w:rFonts w:hint="eastAsia" w:ascii="宋体" w:hAnsi="宋体" w:cs="宋体"/>
          <w:b/>
          <w:color w:val="auto"/>
          <w:sz w:val="28"/>
          <w:szCs w:val="28"/>
          <w:highlight w:val="none"/>
        </w:rPr>
        <w:t>乙方指定收款账户：</w:t>
      </w:r>
    </w:p>
    <w:p w14:paraId="70D59A72">
      <w:pPr>
        <w:rPr>
          <w:rFonts w:hint="eastAsia" w:ascii="宋体" w:hAnsi="宋体" w:cs="宋体"/>
          <w:b/>
          <w:color w:val="auto"/>
          <w:sz w:val="28"/>
          <w:szCs w:val="28"/>
          <w:highlight w:val="none"/>
        </w:rPr>
      </w:pPr>
      <w:r>
        <w:rPr>
          <w:rFonts w:hint="eastAsia" w:ascii="宋体" w:hAnsi="宋体" w:cs="宋体"/>
          <w:b/>
          <w:color w:val="auto"/>
          <w:sz w:val="28"/>
          <w:szCs w:val="28"/>
          <w:highlight w:val="none"/>
        </w:rPr>
        <w:t>账户名称：</w:t>
      </w:r>
    </w:p>
    <w:p w14:paraId="080DDBEB">
      <w:pPr>
        <w:rPr>
          <w:rFonts w:hint="eastAsia" w:ascii="宋体" w:hAnsi="宋体" w:cs="宋体"/>
          <w:b/>
          <w:color w:val="auto"/>
          <w:sz w:val="28"/>
          <w:szCs w:val="28"/>
          <w:highlight w:val="none"/>
        </w:rPr>
      </w:pPr>
      <w:r>
        <w:rPr>
          <w:rFonts w:hint="eastAsia" w:ascii="宋体" w:hAnsi="宋体" w:cs="宋体"/>
          <w:b/>
          <w:color w:val="auto"/>
          <w:sz w:val="28"/>
          <w:szCs w:val="28"/>
          <w:highlight w:val="none"/>
        </w:rPr>
        <w:t>开户银行：</w:t>
      </w:r>
    </w:p>
    <w:p w14:paraId="70348112">
      <w:pPr>
        <w:rPr>
          <w:rFonts w:hint="eastAsia" w:ascii="宋体" w:hAnsi="宋体" w:cs="宋体"/>
          <w:color w:val="auto"/>
          <w:sz w:val="28"/>
          <w:szCs w:val="28"/>
          <w:highlight w:val="none"/>
        </w:rPr>
      </w:pPr>
      <w:r>
        <w:rPr>
          <w:rFonts w:hint="eastAsia" w:ascii="宋体" w:hAnsi="宋体" w:cs="宋体"/>
          <w:b/>
          <w:color w:val="auto"/>
          <w:sz w:val="28"/>
          <w:szCs w:val="28"/>
          <w:highlight w:val="none"/>
        </w:rPr>
        <w:t>账号：</w:t>
      </w:r>
    </w:p>
    <w:p w14:paraId="319F1585">
      <w:pPr>
        <w:tabs>
          <w:tab w:val="left" w:pos="900"/>
        </w:tabs>
        <w:spacing w:line="360" w:lineRule="auto"/>
        <w:ind w:firstLine="480"/>
        <w:rPr>
          <w:rFonts w:hint="eastAsia" w:ascii="宋体" w:hAnsi="宋体" w:cs="宋体"/>
          <w:color w:val="auto"/>
          <w:sz w:val="24"/>
          <w:highlight w:val="none"/>
          <w:u w:val="single"/>
        </w:rPr>
      </w:pPr>
      <w:r>
        <w:rPr>
          <w:rFonts w:hint="eastAsia" w:ascii="宋体" w:hAnsi="宋体" w:cs="宋体"/>
          <w:color w:val="auto"/>
          <w:sz w:val="24"/>
          <w:highlight w:val="none"/>
        </w:rPr>
        <w:t>5</w:t>
      </w:r>
      <w:r>
        <w:rPr>
          <w:rFonts w:ascii="宋体" w:hAnsi="宋体" w:cs="宋体"/>
          <w:color w:val="auto"/>
          <w:sz w:val="24"/>
          <w:highlight w:val="none"/>
        </w:rPr>
        <w:t>、甲方在本合同服务期内，如根据本合同第五条第2款规定的情况以外需要乙方增加所属项目或其他情况(包括但不限于甲方指定的其它工作区域)的应急维序人员。增加人员收费标准为</w:t>
      </w:r>
    </w:p>
    <w:p w14:paraId="6A9D2002">
      <w:pPr>
        <w:tabs>
          <w:tab w:val="left" w:pos="900"/>
        </w:tabs>
        <w:spacing w:line="360" w:lineRule="auto"/>
        <w:rPr>
          <w:rFonts w:hint="eastAsia" w:ascii="宋体" w:hAnsi="宋体" w:cs="宋体"/>
          <w:color w:val="auto"/>
          <w:sz w:val="24"/>
          <w:highlight w:val="none"/>
        </w:rPr>
      </w:pPr>
      <w:r>
        <w:rPr>
          <w:rFonts w:hint="eastAsia" w:ascii="宋体" w:hAnsi="宋体" w:cs="宋体"/>
          <w:color w:val="auto"/>
          <w:sz w:val="24"/>
          <w:highlight w:val="none"/>
          <w:u w:val="single"/>
        </w:rPr>
        <w:t>150元-180元</w:t>
      </w:r>
      <w:r>
        <w:rPr>
          <w:rFonts w:hint="eastAsia" w:ascii="宋体" w:hAnsi="宋体" w:cs="宋体"/>
          <w:color w:val="auto"/>
          <w:sz w:val="24"/>
          <w:highlight w:val="none"/>
        </w:rPr>
        <w:t>/人/天(12h)</w:t>
      </w:r>
      <w:r>
        <w:rPr>
          <w:rFonts w:ascii="宋体" w:hAnsi="宋体" w:cs="宋体"/>
          <w:color w:val="auto"/>
          <w:sz w:val="24"/>
          <w:highlight w:val="none"/>
        </w:rPr>
        <w:t>,具体收费标准按照应急维序事件具体内容由双方另行商议。以上收费标准包维序服务用品费用、维序人员应当享有的全部劳动报酬和相关福利待遇等。</w:t>
      </w:r>
    </w:p>
    <w:p w14:paraId="1A10A5AF">
      <w:pPr>
        <w:tabs>
          <w:tab w:val="left" w:pos="900"/>
        </w:tabs>
        <w:spacing w:line="360" w:lineRule="auto"/>
        <w:ind w:firstLine="480"/>
        <w:rPr>
          <w:rFonts w:hint="eastAsia" w:ascii="宋体" w:hAnsi="宋体" w:cs="宋体"/>
          <w:color w:val="auto"/>
          <w:sz w:val="24"/>
          <w:highlight w:val="none"/>
        </w:rPr>
      </w:pPr>
      <w:r>
        <w:rPr>
          <w:rFonts w:hint="eastAsia" w:ascii="宋体" w:hAnsi="宋体" w:cs="宋体"/>
          <w:color w:val="auto"/>
          <w:sz w:val="24"/>
          <w:highlight w:val="none"/>
        </w:rPr>
        <w:t>6</w:t>
      </w:r>
      <w:r>
        <w:rPr>
          <w:rFonts w:ascii="宋体" w:hAnsi="宋体" w:cs="宋体"/>
          <w:color w:val="auto"/>
          <w:sz w:val="24"/>
          <w:highlight w:val="none"/>
        </w:rPr>
        <w:t>、甲方在付款前根据本合同规定的服务方案标准(见附件一)对乙方当月的服务质量进行综合评核，如甲方评核，乙方未严格按照本合同要求提供服务，甲方开具附件四《不合格服务通知单》要求乙方整改。若同类事件当月开具附件四《不合格服务通知单》两次后乙方仍未整改达到本合同要求的服务标准，则甲方有权拒付当月的维序服务总费用。甲方应在认为乙方服务完全符合本合同标准的前提下，核对乙方付款通知所列金额，并在不晚于次月15日收到乙方开具的与服务内容一致的全额合法完税的增值税专用发票后</w:t>
      </w:r>
      <w:r>
        <w:rPr>
          <w:rFonts w:hint="eastAsia" w:ascii="宋体" w:hAnsi="宋体" w:cs="宋体"/>
          <w:color w:val="auto"/>
          <w:sz w:val="24"/>
          <w:highlight w:val="none"/>
        </w:rPr>
        <w:t>10</w:t>
      </w:r>
      <w:r>
        <w:rPr>
          <w:rFonts w:ascii="宋体" w:hAnsi="宋体" w:cs="宋体"/>
          <w:color w:val="auto"/>
          <w:sz w:val="24"/>
          <w:highlight w:val="none"/>
        </w:rPr>
        <w:t>个工作日内，向乙方支付相应维序服务费用。</w:t>
      </w:r>
    </w:p>
    <w:p w14:paraId="041D1890">
      <w:pPr>
        <w:tabs>
          <w:tab w:val="left" w:pos="900"/>
        </w:tabs>
        <w:spacing w:line="360" w:lineRule="auto"/>
        <w:ind w:firstLine="480"/>
        <w:rPr>
          <w:rFonts w:hint="eastAsia" w:ascii="宋体" w:hAnsi="宋体" w:cs="宋体"/>
          <w:color w:val="auto"/>
          <w:sz w:val="24"/>
          <w:highlight w:val="none"/>
        </w:rPr>
      </w:pPr>
      <w:r>
        <w:rPr>
          <w:rFonts w:hint="eastAsia" w:ascii="宋体" w:hAnsi="宋体" w:cs="宋体"/>
          <w:color w:val="auto"/>
          <w:sz w:val="24"/>
          <w:highlight w:val="none"/>
        </w:rPr>
        <w:t>7</w:t>
      </w:r>
      <w:r>
        <w:rPr>
          <w:rFonts w:ascii="宋体" w:hAnsi="宋体" w:cs="宋体"/>
          <w:color w:val="auto"/>
          <w:sz w:val="24"/>
          <w:highlight w:val="none"/>
        </w:rPr>
        <w:t>、如乙方在合同服务期内，一个自然月内出现不按甲方规定派遣</w:t>
      </w:r>
      <w:r>
        <w:rPr>
          <w:rFonts w:hint="eastAsia" w:ascii="宋体" w:hAnsi="宋体" w:cs="宋体"/>
          <w:color w:val="auto"/>
          <w:sz w:val="24"/>
          <w:highlight w:val="none"/>
          <w:lang w:val="en-US" w:eastAsia="zh-CN"/>
        </w:rPr>
        <w:t>足够岗位数量</w:t>
      </w:r>
      <w:r>
        <w:rPr>
          <w:rFonts w:ascii="宋体" w:hAnsi="宋体" w:cs="宋体"/>
          <w:color w:val="auto"/>
          <w:sz w:val="24"/>
          <w:highlight w:val="none"/>
        </w:rPr>
        <w:t>、维序人员在服务时间发生赌博/脱离岗位/打架斗殴</w:t>
      </w:r>
      <w:r>
        <w:rPr>
          <w:rFonts w:hint="eastAsia" w:ascii="宋体" w:hAnsi="宋体" w:cs="宋体"/>
          <w:color w:val="auto"/>
          <w:sz w:val="24"/>
          <w:highlight w:val="none"/>
        </w:rPr>
        <w:t>/辱骂业主</w:t>
      </w:r>
      <w:r>
        <w:rPr>
          <w:rFonts w:ascii="宋体" w:hAnsi="宋体" w:cs="宋体"/>
          <w:color w:val="auto"/>
          <w:sz w:val="24"/>
          <w:highlight w:val="none"/>
        </w:rPr>
        <w:t>等恶劣违规行为，当月首次甲方将扣除乙方当月维序服务总费用的百分之五；当月第二次扣除百分之十；当月第三次扣除百分之十五作为违约金，依次累加，但最多不超过当月维序服务总费用的20%。如乙方出现人员缺岗或无法达到甲方要求时导致乙方其他相关人员出现加班情况的，该加班费用双方根据应到岗人数的工时进行结算，因此导致的纠纷与甲方无关，乙方人员缺岗等原因不影响甲方按本合同约定的考核要求；如发生吸毒或偷盗等触犯国家法律的行为，甲方有权单方面直接解除本合同并保留追究乙方相应法律责任及名誉赔偿的权利。</w:t>
      </w:r>
    </w:p>
    <w:p w14:paraId="041B8076">
      <w:pPr>
        <w:tabs>
          <w:tab w:val="left" w:pos="900"/>
        </w:tabs>
        <w:spacing w:line="360" w:lineRule="auto"/>
        <w:ind w:firstLine="480"/>
        <w:rPr>
          <w:rFonts w:hint="eastAsia" w:ascii="宋体" w:hAnsi="宋体" w:cs="宋体"/>
          <w:color w:val="auto"/>
          <w:sz w:val="24"/>
          <w:highlight w:val="none"/>
        </w:rPr>
      </w:pPr>
      <w:r>
        <w:rPr>
          <w:rFonts w:hint="eastAsia" w:ascii="宋体" w:hAnsi="宋体" w:cs="宋体"/>
          <w:color w:val="auto"/>
          <w:sz w:val="24"/>
          <w:highlight w:val="none"/>
        </w:rPr>
        <w:t>8</w:t>
      </w:r>
      <w:r>
        <w:rPr>
          <w:rFonts w:ascii="宋体" w:hAnsi="宋体" w:cs="宋体"/>
          <w:color w:val="auto"/>
          <w:sz w:val="24"/>
          <w:highlight w:val="none"/>
        </w:rPr>
        <w:t>、如乙方维序人员在所属项目对机动车辆或非机动车辆进行乱收费、收费不扯票、违规手动开闸、漏收费或不按时足额上交停车费用等现象，或存在未按时到岗、提前离岗、脱岗等违反合同约定的其他用工规范行为，甲方有权单项单次(可累计)从乙方当月维序服务费中扣除人民币壹仟元整(¥1,000.00元)作为违约金，在扣除维序服务费同时乙方应及时赔偿甲方实际损失金额，且甲方保留解除本合同及追索法律的权利。</w:t>
      </w:r>
    </w:p>
    <w:p w14:paraId="50F63C23">
      <w:pPr>
        <w:tabs>
          <w:tab w:val="left" w:pos="900"/>
        </w:tabs>
        <w:spacing w:line="360" w:lineRule="auto"/>
        <w:ind w:firstLine="480"/>
        <w:rPr>
          <w:rFonts w:hint="eastAsia" w:ascii="宋体" w:hAnsi="宋体" w:cs="宋体"/>
          <w:color w:val="auto"/>
          <w:sz w:val="24"/>
          <w:highlight w:val="none"/>
        </w:rPr>
      </w:pPr>
      <w:r>
        <w:rPr>
          <w:rFonts w:hint="eastAsia" w:ascii="宋体" w:hAnsi="宋体" w:cs="宋体"/>
          <w:color w:val="auto"/>
          <w:sz w:val="24"/>
          <w:highlight w:val="none"/>
        </w:rPr>
        <w:t>9</w:t>
      </w:r>
      <w:r>
        <w:rPr>
          <w:rFonts w:ascii="宋体" w:hAnsi="宋体" w:cs="宋体"/>
          <w:color w:val="auto"/>
          <w:sz w:val="24"/>
          <w:highlight w:val="none"/>
        </w:rPr>
        <w:t>、如乙方维序人员在合同服务期内，一个自然月内出现违反甲方《维序服务检查细则》的</w:t>
      </w:r>
      <w:r>
        <w:rPr>
          <w:rFonts w:hint="eastAsia" w:ascii="宋体" w:hAnsi="宋体" w:cs="宋体"/>
          <w:color w:val="auto"/>
          <w:sz w:val="24"/>
          <w:highlight w:val="none"/>
        </w:rPr>
        <w:t>行为</w:t>
      </w:r>
      <w:r>
        <w:rPr>
          <w:rFonts w:ascii="宋体" w:hAnsi="宋体" w:cs="宋体"/>
          <w:color w:val="auto"/>
          <w:sz w:val="24"/>
          <w:highlight w:val="none"/>
        </w:rPr>
        <w:t>，当月甲方将单项以违约金形式予以扣除，具体扣款金额将在次月维序服务费中予以扣除。</w:t>
      </w:r>
    </w:p>
    <w:p w14:paraId="37AEF720">
      <w:pPr>
        <w:tabs>
          <w:tab w:val="left" w:pos="900"/>
        </w:tabs>
        <w:spacing w:line="360" w:lineRule="auto"/>
        <w:ind w:firstLine="480"/>
        <w:rPr>
          <w:rFonts w:hint="eastAsia" w:ascii="宋体" w:hAnsi="宋体" w:cs="宋体"/>
          <w:color w:val="auto"/>
          <w:sz w:val="24"/>
          <w:highlight w:val="none"/>
        </w:rPr>
      </w:pPr>
      <w:r>
        <w:rPr>
          <w:rFonts w:hint="eastAsia" w:ascii="宋体" w:hAnsi="宋体" w:cs="宋体"/>
          <w:color w:val="auto"/>
          <w:sz w:val="24"/>
          <w:highlight w:val="none"/>
        </w:rPr>
        <w:t>10</w:t>
      </w:r>
      <w:r>
        <w:rPr>
          <w:rFonts w:ascii="宋体" w:hAnsi="宋体" w:cs="宋体"/>
          <w:color w:val="auto"/>
          <w:sz w:val="24"/>
          <w:highlight w:val="none"/>
        </w:rPr>
        <w:t>、甲方在向乙方支付本合同约定维序服务费用前，乙方应先提供应付款项相应之全额合法完税的增值税专用发票，若乙方不向甲方提供相应发票，甲方有权迟延付款，并且无须承担由此产生的迟延付款之责任。</w:t>
      </w:r>
    </w:p>
    <w:p w14:paraId="54BDD8FA">
      <w:pPr>
        <w:tabs>
          <w:tab w:val="left" w:pos="900"/>
        </w:tabs>
        <w:spacing w:line="360" w:lineRule="auto"/>
        <w:ind w:firstLine="480"/>
        <w:rPr>
          <w:rFonts w:ascii="宋体" w:hAnsi="宋体" w:cs="宋体"/>
          <w:color w:val="auto"/>
          <w:sz w:val="24"/>
          <w:highlight w:val="none"/>
        </w:rPr>
      </w:pPr>
      <w:r>
        <w:rPr>
          <w:rFonts w:hint="eastAsia" w:ascii="宋体" w:hAnsi="宋体" w:cs="宋体"/>
          <w:color w:val="auto"/>
          <w:sz w:val="24"/>
          <w:highlight w:val="none"/>
        </w:rPr>
        <w:t>11</w:t>
      </w:r>
      <w:r>
        <w:rPr>
          <w:rFonts w:ascii="宋体" w:hAnsi="宋体" w:cs="宋体"/>
          <w:color w:val="auto"/>
          <w:sz w:val="24"/>
          <w:highlight w:val="none"/>
        </w:rPr>
        <w:t>、本合同一切有关的税项由乙方自行负责，且按国家、地方的有关法律、法规、政策执行，乙方应在合同签署时，同时提交纳税资格及其他增值税资格证明文件。</w:t>
      </w:r>
    </w:p>
    <w:p w14:paraId="6EF3A792">
      <w:pPr>
        <w:pStyle w:val="23"/>
        <w:adjustRightInd w:val="0"/>
        <w:snapToGrid w:val="0"/>
        <w:spacing w:line="360" w:lineRule="auto"/>
        <w:ind w:right="-42" w:firstLine="480"/>
        <w:rPr>
          <w:rFonts w:hint="eastAsia" w:ascii="宋体" w:hAnsi="宋体" w:cs="宋体"/>
          <w:color w:val="auto"/>
          <w:kern w:val="2"/>
          <w:sz w:val="24"/>
          <w:highlight w:val="none"/>
        </w:rPr>
      </w:pPr>
      <w:r>
        <w:rPr>
          <w:rFonts w:hint="eastAsia" w:ascii="宋体" w:hAnsi="宋体" w:cs="宋体"/>
          <w:color w:val="auto"/>
          <w:sz w:val="24"/>
          <w:highlight w:val="none"/>
          <w:lang w:val="en-US" w:eastAsia="zh-CN"/>
        </w:rPr>
        <w:t>12.</w:t>
      </w:r>
      <w:r>
        <w:rPr>
          <w:rFonts w:hint="eastAsia" w:ascii="宋体" w:hAnsi="宋体" w:cs="宋体"/>
          <w:color w:val="auto"/>
          <w:kern w:val="2"/>
          <w:sz w:val="24"/>
          <w:highlight w:val="none"/>
        </w:rPr>
        <w:t>本</w:t>
      </w:r>
      <w:r>
        <w:rPr>
          <w:rFonts w:hint="eastAsia" w:ascii="宋体" w:hAnsi="宋体" w:cs="宋体"/>
          <w:color w:val="auto"/>
          <w:kern w:val="2"/>
          <w:sz w:val="24"/>
          <w:highlight w:val="none"/>
          <w:lang w:val="en-US" w:eastAsia="zh-CN"/>
        </w:rPr>
        <w:t>项目</w:t>
      </w:r>
      <w:r>
        <w:rPr>
          <w:rFonts w:hint="eastAsia" w:ascii="宋体" w:hAnsi="宋体" w:cs="宋体"/>
          <w:color w:val="auto"/>
          <w:kern w:val="2"/>
          <w:sz w:val="24"/>
          <w:highlight w:val="none"/>
        </w:rPr>
        <w:t>履约保证金为合同金额的5%</w:t>
      </w:r>
    </w:p>
    <w:p w14:paraId="30C0DB23">
      <w:pPr>
        <w:pStyle w:val="23"/>
        <w:adjustRightInd w:val="0"/>
        <w:snapToGrid w:val="0"/>
        <w:spacing w:line="360" w:lineRule="auto"/>
        <w:ind w:right="-42" w:firstLine="480"/>
        <w:rPr>
          <w:rFonts w:hint="eastAsia" w:ascii="宋体" w:hAnsi="宋体" w:cs="宋体"/>
          <w:color w:val="auto"/>
          <w:kern w:val="2"/>
          <w:sz w:val="24"/>
          <w:highlight w:val="none"/>
        </w:rPr>
      </w:pPr>
      <w:r>
        <w:rPr>
          <w:rFonts w:hint="eastAsia" w:ascii="宋体" w:hAnsi="宋体" w:cs="宋体"/>
          <w:color w:val="auto"/>
          <w:kern w:val="2"/>
          <w:sz w:val="24"/>
          <w:highlight w:val="none"/>
        </w:rPr>
        <w:t>缴纳方式：银行转账，支票/汇票/本票，保函/保险</w:t>
      </w:r>
    </w:p>
    <w:p w14:paraId="45BBED41">
      <w:pPr>
        <w:spacing w:line="520" w:lineRule="exact"/>
        <w:ind w:firstLine="420" w:firstLineChars="175"/>
        <w:rPr>
          <w:rFonts w:ascii="宋体" w:hAnsi="宋体" w:cs="宋体"/>
          <w:color w:val="auto"/>
          <w:sz w:val="24"/>
          <w:highlight w:val="none"/>
        </w:rPr>
      </w:pPr>
      <w:r>
        <w:rPr>
          <w:rFonts w:hint="eastAsia" w:ascii="宋体" w:hAnsi="宋体" w:cs="宋体"/>
          <w:color w:val="auto"/>
          <w:kern w:val="2"/>
          <w:sz w:val="24"/>
          <w:highlight w:val="none"/>
        </w:rPr>
        <w:t>履约保证金在合同签订后5个工作日之内，以银行保函等形式提交给采购人（缴交方式不限），服务期满无合同履约相关问题后</w:t>
      </w:r>
      <w:r>
        <w:rPr>
          <w:rFonts w:hint="eastAsia" w:ascii="宋体" w:hAnsi="宋体" w:cs="宋体"/>
          <w:color w:val="auto"/>
          <w:kern w:val="2"/>
          <w:sz w:val="24"/>
          <w:highlight w:val="none"/>
          <w:lang w:val="en-US" w:eastAsia="zh-CN"/>
        </w:rPr>
        <w:t>15</w:t>
      </w:r>
      <w:r>
        <w:rPr>
          <w:rFonts w:hint="eastAsia" w:ascii="宋体" w:hAnsi="宋体" w:cs="宋体"/>
          <w:color w:val="auto"/>
          <w:kern w:val="2"/>
          <w:sz w:val="24"/>
          <w:highlight w:val="none"/>
        </w:rPr>
        <w:t>个工作日内无息退还。</w:t>
      </w:r>
    </w:p>
    <w:p w14:paraId="3EBB2CE6">
      <w:pPr>
        <w:tabs>
          <w:tab w:val="left" w:pos="900"/>
        </w:tabs>
        <w:spacing w:line="360" w:lineRule="auto"/>
        <w:ind w:firstLine="480"/>
        <w:rPr>
          <w:rFonts w:ascii="宋体" w:hAnsi="宋体" w:cs="宋体"/>
          <w:b/>
          <w:color w:val="auto"/>
          <w:sz w:val="24"/>
          <w:highlight w:val="none"/>
        </w:rPr>
      </w:pPr>
      <w:r>
        <w:rPr>
          <w:rFonts w:ascii="宋体" w:hAnsi="宋体" w:cs="宋体"/>
          <w:color w:val="auto"/>
          <w:sz w:val="24"/>
          <w:highlight w:val="none"/>
        </w:rPr>
        <w:t>1</w:t>
      </w:r>
      <w:r>
        <w:rPr>
          <w:rFonts w:hint="eastAsia" w:ascii="宋体" w:hAnsi="宋体" w:cs="宋体"/>
          <w:color w:val="auto"/>
          <w:sz w:val="24"/>
          <w:highlight w:val="none"/>
          <w:lang w:val="en-US" w:eastAsia="zh-CN"/>
        </w:rPr>
        <w:t>3</w:t>
      </w:r>
      <w:r>
        <w:rPr>
          <w:rFonts w:ascii="宋体" w:hAnsi="宋体" w:cs="宋体"/>
          <w:color w:val="auto"/>
          <w:sz w:val="24"/>
          <w:highlight w:val="none"/>
        </w:rPr>
        <w:t>、除本条所述费用外，甲方不另外向乙方支付其它任何费用。</w:t>
      </w:r>
    </w:p>
    <w:p w14:paraId="67D90B35">
      <w:pPr>
        <w:tabs>
          <w:tab w:val="left" w:pos="900"/>
        </w:tabs>
        <w:spacing w:line="360" w:lineRule="auto"/>
        <w:ind w:firstLine="482"/>
        <w:rPr>
          <w:rFonts w:ascii="宋体" w:hAnsi="宋体" w:cs="宋体"/>
          <w:color w:val="auto"/>
          <w:sz w:val="24"/>
          <w:highlight w:val="none"/>
        </w:rPr>
      </w:pPr>
      <w:r>
        <w:rPr>
          <w:rFonts w:ascii="宋体" w:hAnsi="宋体" w:cs="宋体"/>
          <w:b/>
          <w:color w:val="auto"/>
          <w:sz w:val="24"/>
          <w:highlight w:val="none"/>
        </w:rPr>
        <w:t>七、甲方的权利和义务</w:t>
      </w:r>
    </w:p>
    <w:p w14:paraId="58C5BEEE">
      <w:pPr>
        <w:tabs>
          <w:tab w:val="left" w:pos="900"/>
        </w:tabs>
        <w:spacing w:line="360" w:lineRule="auto"/>
        <w:ind w:firstLine="480"/>
        <w:rPr>
          <w:rFonts w:ascii="宋体" w:hAnsi="宋体" w:cs="宋体"/>
          <w:color w:val="auto"/>
          <w:sz w:val="24"/>
          <w:highlight w:val="none"/>
        </w:rPr>
      </w:pPr>
      <w:r>
        <w:rPr>
          <w:rFonts w:ascii="宋体" w:hAnsi="宋体" w:cs="宋体"/>
          <w:color w:val="auto"/>
          <w:sz w:val="24"/>
          <w:highlight w:val="none"/>
        </w:rPr>
        <w:t>1、甲方在接受乙方合格的维序服务后，须按第六条所述之付款方式向乙方支付维序服务费用。</w:t>
      </w:r>
    </w:p>
    <w:p w14:paraId="1FFFD57D">
      <w:pPr>
        <w:tabs>
          <w:tab w:val="left" w:pos="900"/>
        </w:tabs>
        <w:spacing w:line="360" w:lineRule="auto"/>
        <w:ind w:firstLine="480"/>
        <w:rPr>
          <w:rFonts w:ascii="宋体" w:hAnsi="宋体" w:cs="宋体"/>
          <w:color w:val="auto"/>
          <w:sz w:val="24"/>
          <w:highlight w:val="none"/>
        </w:rPr>
      </w:pPr>
      <w:r>
        <w:rPr>
          <w:rFonts w:ascii="宋体" w:hAnsi="宋体" w:cs="宋体"/>
          <w:color w:val="auto"/>
          <w:sz w:val="24"/>
          <w:highlight w:val="none"/>
        </w:rPr>
        <w:t>2、甲方有权按本合同规定的服务标准对乙方及其乙方员工的维序服务进行检查和监督，并向乙方提出改进办法，乙方须积极配合检查和监督，并对反馈问题及时进行整改。</w:t>
      </w:r>
    </w:p>
    <w:p w14:paraId="1B62942C">
      <w:pPr>
        <w:tabs>
          <w:tab w:val="left" w:pos="900"/>
        </w:tabs>
        <w:spacing w:line="360" w:lineRule="auto"/>
        <w:ind w:firstLine="480"/>
        <w:rPr>
          <w:rFonts w:ascii="宋体" w:hAnsi="宋体" w:cs="宋体"/>
          <w:color w:val="auto"/>
          <w:sz w:val="24"/>
          <w:highlight w:val="none"/>
        </w:rPr>
      </w:pPr>
      <w:r>
        <w:rPr>
          <w:rFonts w:ascii="宋体" w:hAnsi="宋体" w:cs="宋体"/>
          <w:color w:val="auto"/>
          <w:sz w:val="24"/>
          <w:highlight w:val="none"/>
        </w:rPr>
        <w:t>3、在甲方认为需要时，就所属项目之维序服务岗位服务标准、服务礼仪要求向乙方其人员进行培训，发生相关费用由乙方承担。</w:t>
      </w:r>
    </w:p>
    <w:p w14:paraId="11360B6F">
      <w:pPr>
        <w:tabs>
          <w:tab w:val="left" w:pos="900"/>
        </w:tabs>
        <w:spacing w:line="360" w:lineRule="auto"/>
        <w:ind w:firstLine="480"/>
        <w:rPr>
          <w:rFonts w:ascii="宋体" w:hAnsi="宋体" w:cs="宋体"/>
          <w:color w:val="auto"/>
          <w:sz w:val="24"/>
          <w:highlight w:val="none"/>
        </w:rPr>
      </w:pPr>
      <w:r>
        <w:rPr>
          <w:rFonts w:ascii="宋体" w:hAnsi="宋体" w:cs="宋体"/>
          <w:color w:val="auto"/>
          <w:sz w:val="24"/>
          <w:highlight w:val="none"/>
        </w:rPr>
        <w:t>4、甲方有义务就维序岗位服务与乙方保持经常沟通和联系，甲方所属项目之管理人员负责与乙方进行日常岗位服务接洽和协调，乙方必须配合。</w:t>
      </w:r>
    </w:p>
    <w:p w14:paraId="1FD08B76">
      <w:pPr>
        <w:tabs>
          <w:tab w:val="left" w:pos="900"/>
        </w:tabs>
        <w:spacing w:line="360" w:lineRule="auto"/>
        <w:ind w:firstLine="480"/>
        <w:rPr>
          <w:rFonts w:ascii="宋体" w:hAnsi="宋体" w:cs="宋体"/>
          <w:b/>
          <w:color w:val="auto"/>
          <w:sz w:val="24"/>
          <w:highlight w:val="none"/>
        </w:rPr>
      </w:pPr>
      <w:r>
        <w:rPr>
          <w:rFonts w:ascii="宋体" w:hAnsi="宋体" w:cs="宋体"/>
          <w:color w:val="auto"/>
          <w:sz w:val="24"/>
          <w:highlight w:val="none"/>
        </w:rPr>
        <w:t>5、在乙方履行合同过程中出现重大违约事件或乙方员工月流失率大于</w:t>
      </w:r>
      <w:r>
        <w:rPr>
          <w:rFonts w:hint="eastAsia" w:ascii="宋体" w:hAnsi="宋体" w:cs="宋体"/>
          <w:color w:val="auto"/>
          <w:sz w:val="24"/>
          <w:highlight w:val="none"/>
        </w:rPr>
        <w:t>25</w:t>
      </w:r>
      <w:r>
        <w:rPr>
          <w:rFonts w:ascii="宋体" w:hAnsi="宋体" w:cs="宋体"/>
          <w:color w:val="auto"/>
          <w:sz w:val="24"/>
          <w:highlight w:val="none"/>
        </w:rPr>
        <w:t>%时，甲方有权对乙方派驻现场主管之管理服务进行评估，必要时有权要求乙方进行更换驻场主管。</w:t>
      </w:r>
    </w:p>
    <w:p w14:paraId="0BC72914">
      <w:pPr>
        <w:tabs>
          <w:tab w:val="left" w:pos="900"/>
        </w:tabs>
        <w:spacing w:line="360" w:lineRule="auto"/>
        <w:ind w:firstLine="482"/>
        <w:rPr>
          <w:rFonts w:ascii="宋体" w:hAnsi="宋体" w:cs="宋体"/>
          <w:color w:val="auto"/>
          <w:sz w:val="24"/>
          <w:highlight w:val="none"/>
        </w:rPr>
      </w:pPr>
      <w:r>
        <w:rPr>
          <w:rFonts w:ascii="宋体" w:hAnsi="宋体" w:cs="宋体"/>
          <w:b/>
          <w:color w:val="auto"/>
          <w:sz w:val="24"/>
          <w:highlight w:val="none"/>
        </w:rPr>
        <w:t>八、乙方的权利和义务</w:t>
      </w:r>
    </w:p>
    <w:p w14:paraId="5EE5BA9F">
      <w:pPr>
        <w:tabs>
          <w:tab w:val="left" w:pos="900"/>
        </w:tabs>
        <w:spacing w:line="360" w:lineRule="auto"/>
        <w:ind w:firstLine="480"/>
        <w:rPr>
          <w:rFonts w:ascii="宋体" w:hAnsi="宋体" w:cs="宋体"/>
          <w:color w:val="auto"/>
          <w:sz w:val="24"/>
          <w:highlight w:val="none"/>
        </w:rPr>
      </w:pPr>
      <w:r>
        <w:rPr>
          <w:rFonts w:ascii="宋体" w:hAnsi="宋体" w:cs="宋体"/>
          <w:color w:val="auto"/>
          <w:sz w:val="24"/>
          <w:highlight w:val="none"/>
        </w:rPr>
        <w:t>1、乙方必须根据中华人民共和国劳动法律及厦门市有关劳动法规，与服务于所属项目的乙方代理人和雇员(以下合称“员工”或“人员”)签订书面劳动合同</w:t>
      </w:r>
      <w:r>
        <w:rPr>
          <w:rFonts w:hint="eastAsia" w:ascii="宋体" w:hAnsi="宋体" w:cs="宋体"/>
          <w:color w:val="auto"/>
          <w:sz w:val="24"/>
          <w:highlight w:val="none"/>
        </w:rPr>
        <w:t>并依法缴纳社保</w:t>
      </w:r>
      <w:r>
        <w:rPr>
          <w:rFonts w:ascii="宋体" w:hAnsi="宋体" w:cs="宋体"/>
          <w:color w:val="auto"/>
          <w:sz w:val="24"/>
          <w:highlight w:val="none"/>
        </w:rPr>
        <w:t>，提供法律规定的保障及福利，对员工的招聘、行为进行管理并对员工职务行为承担相应的责任。乙方确认并保证乙方所安排到服务区域的员工与甲方不存在任何劳动合同关系、劳动派遣关系或用工关系。乙方必须就本项的内容保障甲方免受一切赔偿及索赔。</w:t>
      </w:r>
    </w:p>
    <w:p w14:paraId="73DC2462">
      <w:pPr>
        <w:tabs>
          <w:tab w:val="left" w:pos="900"/>
        </w:tabs>
        <w:spacing w:line="360" w:lineRule="auto"/>
        <w:ind w:firstLine="480"/>
        <w:rPr>
          <w:rFonts w:ascii="宋体" w:hAnsi="宋体" w:cs="宋体"/>
          <w:color w:val="auto"/>
          <w:sz w:val="24"/>
          <w:highlight w:val="none"/>
        </w:rPr>
      </w:pPr>
      <w:r>
        <w:rPr>
          <w:rFonts w:ascii="宋体" w:hAnsi="宋体" w:cs="宋体"/>
          <w:color w:val="auto"/>
          <w:sz w:val="24"/>
          <w:highlight w:val="none"/>
        </w:rPr>
        <w:t>2、乙方须在本合同服务期开始前七个工作日内，向甲方提供服务于服务项目的维序员工名册，及一切有关证明员工的合法服务条件的文件；员工更改的，乙方须在更改前三个工作日内向甲方提供新员工的相关证明文件。乙方必须保障甲方免受一切赔偿及索赔。</w:t>
      </w:r>
    </w:p>
    <w:p w14:paraId="6F9899CC">
      <w:pPr>
        <w:tabs>
          <w:tab w:val="left" w:pos="900"/>
        </w:tabs>
        <w:spacing w:line="360" w:lineRule="auto"/>
        <w:ind w:firstLine="480"/>
        <w:rPr>
          <w:rFonts w:ascii="宋体" w:hAnsi="宋体" w:cs="宋体"/>
          <w:color w:val="auto"/>
          <w:sz w:val="24"/>
          <w:highlight w:val="none"/>
        </w:rPr>
      </w:pPr>
      <w:r>
        <w:rPr>
          <w:rFonts w:ascii="宋体" w:hAnsi="宋体" w:cs="宋体"/>
          <w:color w:val="auto"/>
          <w:sz w:val="24"/>
          <w:highlight w:val="none"/>
        </w:rPr>
        <w:t>3、乙方应在本合同服务期限开始前为服务于所属项目的员工(包括但不限于应急员工、临时调配员工、员工名册中的员工及经甲方书面同意更改后的员工)向保险公司投保意外伤亡保险及第三者责任险，第三者责任险每次保险事故的最高赔偿额度不得低于80万元人民币(保单副本复印件须于合同签订入场后1个月内交甲方存查(之后合同期内每年首月5日前提供),如乙方未能按时提供，每月将按照当月应付维序服务费的1%进行违约扣款；如三个月仍未提交，甲方有权终止合同并要求乙方赔偿甲方因此所造成的一切损失。且上述保险合同的保险期不得短于本合同约定的服务期限，如果上述保险之保险公司有免赔额度，则免赔金额由乙方承担。</w:t>
      </w:r>
    </w:p>
    <w:p w14:paraId="146A7D79">
      <w:pPr>
        <w:tabs>
          <w:tab w:val="left" w:pos="900"/>
        </w:tabs>
        <w:spacing w:line="360" w:lineRule="auto"/>
        <w:ind w:firstLine="480"/>
        <w:rPr>
          <w:rFonts w:ascii="宋体" w:hAnsi="宋体" w:cs="宋体"/>
          <w:color w:val="auto"/>
          <w:sz w:val="24"/>
          <w:highlight w:val="none"/>
        </w:rPr>
      </w:pPr>
      <w:r>
        <w:rPr>
          <w:rFonts w:ascii="宋体" w:hAnsi="宋体" w:cs="宋体"/>
          <w:color w:val="auto"/>
          <w:sz w:val="24"/>
          <w:highlight w:val="none"/>
        </w:rPr>
        <w:t>上述保险费用由乙方自行承担。</w:t>
      </w:r>
    </w:p>
    <w:p w14:paraId="634E08CF">
      <w:pPr>
        <w:tabs>
          <w:tab w:val="left" w:pos="900"/>
        </w:tabs>
        <w:spacing w:line="360" w:lineRule="auto"/>
        <w:ind w:firstLine="480"/>
        <w:rPr>
          <w:rFonts w:ascii="宋体" w:hAnsi="宋体" w:cs="宋体"/>
          <w:color w:val="auto"/>
          <w:sz w:val="24"/>
          <w:highlight w:val="none"/>
        </w:rPr>
      </w:pPr>
      <w:r>
        <w:rPr>
          <w:rFonts w:ascii="宋体" w:hAnsi="宋体" w:cs="宋体"/>
          <w:color w:val="auto"/>
          <w:sz w:val="24"/>
          <w:highlight w:val="none"/>
        </w:rPr>
        <w:t>4、乙方承诺：甲方无须承担乙方服务于所属项目的员工任何的人身伤亡责任及财产损失责任。乙方对其员工在所属项目内所有行为负责。</w:t>
      </w:r>
    </w:p>
    <w:p w14:paraId="786E8022">
      <w:pPr>
        <w:tabs>
          <w:tab w:val="left" w:pos="900"/>
        </w:tabs>
        <w:spacing w:line="360" w:lineRule="auto"/>
        <w:ind w:firstLine="480"/>
        <w:rPr>
          <w:rFonts w:ascii="宋体" w:hAnsi="宋体" w:cs="宋体"/>
          <w:color w:val="auto"/>
          <w:sz w:val="24"/>
          <w:highlight w:val="none"/>
        </w:rPr>
      </w:pPr>
      <w:r>
        <w:rPr>
          <w:rFonts w:ascii="宋体" w:hAnsi="宋体" w:cs="宋体"/>
          <w:color w:val="auto"/>
          <w:sz w:val="24"/>
          <w:highlight w:val="none"/>
        </w:rPr>
        <w:t>a)人员伤害</w:t>
      </w:r>
    </w:p>
    <w:p w14:paraId="51023FE3">
      <w:pPr>
        <w:tabs>
          <w:tab w:val="left" w:pos="900"/>
        </w:tabs>
        <w:spacing w:line="360" w:lineRule="auto"/>
        <w:ind w:firstLine="480"/>
        <w:rPr>
          <w:rFonts w:ascii="宋体" w:hAnsi="宋体" w:cs="宋体"/>
          <w:color w:val="auto"/>
          <w:sz w:val="24"/>
          <w:highlight w:val="none"/>
        </w:rPr>
      </w:pPr>
      <w:r>
        <w:rPr>
          <w:rFonts w:ascii="宋体" w:hAnsi="宋体" w:cs="宋体"/>
          <w:color w:val="auto"/>
          <w:sz w:val="24"/>
          <w:highlight w:val="none"/>
        </w:rPr>
        <w:t>◇如乙方人员在所属项目内发生事故，乙方应自行承担责任，乙方应就此类风险投保。</w:t>
      </w:r>
    </w:p>
    <w:p w14:paraId="08A7D3ED">
      <w:pPr>
        <w:tabs>
          <w:tab w:val="left" w:pos="900"/>
        </w:tabs>
        <w:spacing w:line="360" w:lineRule="auto"/>
        <w:ind w:firstLine="480"/>
        <w:rPr>
          <w:rFonts w:ascii="宋体" w:hAnsi="宋体" w:cs="宋体"/>
          <w:color w:val="auto"/>
          <w:sz w:val="24"/>
          <w:highlight w:val="none"/>
        </w:rPr>
      </w:pPr>
      <w:r>
        <w:rPr>
          <w:rFonts w:ascii="宋体" w:hAnsi="宋体" w:cs="宋体"/>
          <w:color w:val="auto"/>
          <w:sz w:val="24"/>
          <w:highlight w:val="none"/>
        </w:rPr>
        <w:t>◇如因乙方人员行为不当或岗位服务失误而引起任何人员的伤亡，乙方应自行承担责任，并应偿付甲方因此实际承受的任何责任及损失。乙方应就此类风险进行投保。</w:t>
      </w:r>
    </w:p>
    <w:p w14:paraId="75ADECD9">
      <w:pPr>
        <w:tabs>
          <w:tab w:val="left" w:pos="900"/>
        </w:tabs>
        <w:spacing w:line="360" w:lineRule="auto"/>
        <w:ind w:firstLine="480"/>
        <w:rPr>
          <w:rFonts w:ascii="宋体" w:hAnsi="宋体" w:cs="宋体"/>
          <w:color w:val="auto"/>
          <w:sz w:val="24"/>
          <w:highlight w:val="none"/>
        </w:rPr>
      </w:pPr>
      <w:r>
        <w:rPr>
          <w:rFonts w:ascii="宋体" w:hAnsi="宋体" w:cs="宋体"/>
          <w:color w:val="auto"/>
          <w:sz w:val="24"/>
          <w:highlight w:val="none"/>
        </w:rPr>
        <w:t>若发生上述伤亡情况，乙方须立即以书面事故报告的形式告知甲方。</w:t>
      </w:r>
    </w:p>
    <w:p w14:paraId="2AD9C38F">
      <w:pPr>
        <w:tabs>
          <w:tab w:val="left" w:pos="900"/>
        </w:tabs>
        <w:spacing w:line="360" w:lineRule="auto"/>
        <w:ind w:firstLine="480"/>
        <w:rPr>
          <w:rFonts w:ascii="宋体" w:hAnsi="宋体" w:cs="宋体"/>
          <w:color w:val="auto"/>
          <w:sz w:val="24"/>
          <w:highlight w:val="none"/>
        </w:rPr>
      </w:pPr>
      <w:r>
        <w:rPr>
          <w:rFonts w:ascii="宋体" w:hAnsi="宋体" w:cs="宋体"/>
          <w:color w:val="auto"/>
          <w:sz w:val="24"/>
          <w:highlight w:val="none"/>
        </w:rPr>
        <w:t>b)财产损失</w:t>
      </w:r>
    </w:p>
    <w:p w14:paraId="1DF2E787">
      <w:pPr>
        <w:tabs>
          <w:tab w:val="left" w:pos="900"/>
        </w:tabs>
        <w:spacing w:line="360" w:lineRule="auto"/>
        <w:ind w:firstLine="480"/>
        <w:rPr>
          <w:rFonts w:ascii="宋体" w:hAnsi="宋体" w:cs="宋体"/>
          <w:color w:val="auto"/>
          <w:sz w:val="24"/>
          <w:highlight w:val="none"/>
        </w:rPr>
      </w:pPr>
      <w:r>
        <w:rPr>
          <w:rFonts w:ascii="宋体" w:hAnsi="宋体" w:cs="宋体"/>
          <w:color w:val="auto"/>
          <w:sz w:val="24"/>
          <w:highlight w:val="none"/>
        </w:rPr>
        <w:t>◇如因乙方人员在服务项目内发生事故而引起自身的财产损失或损坏不动产，乙方应单独对此负责任，乙方应就此类风险投保。</w:t>
      </w:r>
    </w:p>
    <w:p w14:paraId="57B6F764">
      <w:pPr>
        <w:tabs>
          <w:tab w:val="left" w:pos="900"/>
        </w:tabs>
        <w:spacing w:line="360" w:lineRule="auto"/>
        <w:ind w:firstLine="480"/>
        <w:rPr>
          <w:rFonts w:ascii="宋体" w:hAnsi="宋体" w:cs="宋体"/>
          <w:color w:val="auto"/>
          <w:sz w:val="24"/>
          <w:highlight w:val="none"/>
        </w:rPr>
      </w:pPr>
      <w:r>
        <w:rPr>
          <w:rFonts w:ascii="宋体" w:hAnsi="宋体" w:cs="宋体"/>
          <w:color w:val="auto"/>
          <w:sz w:val="24"/>
          <w:highlight w:val="none"/>
        </w:rPr>
        <w:t>◇如因乙方人员而引起甲方或任何第三者发生财产的损失或损坏，乙方应单独对此承担一切责任，并偿付甲方及/或免除甲方承受任何责任、损失、索赔或诉讼等。乙方应就此类自费购买足够第三者责任险。甲方在乙方进场前向乙方提供设备清单一份； 甲方有权按实际增添或减少设备而更新上述设备清单。甲乙双方须在修改后的清单上签字确认。</w:t>
      </w:r>
    </w:p>
    <w:p w14:paraId="42503255">
      <w:pPr>
        <w:tabs>
          <w:tab w:val="left" w:pos="900"/>
        </w:tabs>
        <w:spacing w:line="360" w:lineRule="auto"/>
        <w:ind w:firstLine="480"/>
        <w:rPr>
          <w:rFonts w:ascii="宋体" w:hAnsi="宋体" w:cs="宋体"/>
          <w:color w:val="auto"/>
          <w:sz w:val="24"/>
          <w:highlight w:val="none"/>
        </w:rPr>
      </w:pPr>
      <w:r>
        <w:rPr>
          <w:rFonts w:ascii="宋体" w:hAnsi="宋体" w:cs="宋体"/>
          <w:color w:val="auto"/>
          <w:sz w:val="24"/>
          <w:highlight w:val="none"/>
        </w:rPr>
        <w:t>若发生上述财产损失情况，乙方须立即以书面事故报告的形式告知甲方。</w:t>
      </w:r>
    </w:p>
    <w:p w14:paraId="75A5295D">
      <w:pPr>
        <w:tabs>
          <w:tab w:val="left" w:pos="900"/>
        </w:tabs>
        <w:spacing w:line="360" w:lineRule="auto"/>
        <w:ind w:firstLine="480"/>
        <w:rPr>
          <w:rFonts w:ascii="宋体" w:hAnsi="宋体" w:cs="宋体"/>
          <w:color w:val="auto"/>
          <w:sz w:val="24"/>
          <w:highlight w:val="none"/>
        </w:rPr>
      </w:pPr>
      <w:r>
        <w:rPr>
          <w:rFonts w:ascii="宋体" w:hAnsi="宋体" w:cs="宋体"/>
          <w:color w:val="auto"/>
          <w:sz w:val="24"/>
          <w:highlight w:val="none"/>
        </w:rPr>
        <w:t>c)乙方人员在所属项目内进行维序服务时，如因其员工的行为故意或过失而造成或至使所属项目内甲方及/或业主蒙受财产等的损失或毁坏，乙方须予以恢复原状，如果乙方不能恢复原状，而甲方可将此类损失或毁坏复原的，乙方须支付甲方实际支出费用。</w:t>
      </w:r>
    </w:p>
    <w:p w14:paraId="4C3B19B9">
      <w:pPr>
        <w:tabs>
          <w:tab w:val="left" w:pos="900"/>
        </w:tabs>
        <w:spacing w:line="360" w:lineRule="auto"/>
        <w:ind w:firstLine="480"/>
        <w:rPr>
          <w:rFonts w:ascii="宋体" w:hAnsi="宋体" w:cs="宋体"/>
          <w:color w:val="auto"/>
          <w:sz w:val="24"/>
          <w:highlight w:val="none"/>
        </w:rPr>
      </w:pPr>
      <w:r>
        <w:rPr>
          <w:rFonts w:ascii="宋体" w:hAnsi="宋体" w:cs="宋体"/>
          <w:color w:val="auto"/>
          <w:sz w:val="24"/>
          <w:highlight w:val="none"/>
        </w:rPr>
        <w:t>若乙方拖欠上述款项，甲方有权在应付乙方维序款项中扣除此款项，乙方确认此行为是合法的及为其所同意的。</w:t>
      </w:r>
    </w:p>
    <w:p w14:paraId="5ED22C38">
      <w:pPr>
        <w:tabs>
          <w:tab w:val="left" w:pos="900"/>
        </w:tabs>
        <w:spacing w:line="360" w:lineRule="auto"/>
        <w:ind w:firstLine="480"/>
        <w:rPr>
          <w:rFonts w:ascii="宋体" w:hAnsi="宋体" w:cs="宋体"/>
          <w:color w:val="auto"/>
          <w:sz w:val="24"/>
          <w:highlight w:val="none"/>
        </w:rPr>
      </w:pPr>
      <w:r>
        <w:rPr>
          <w:rFonts w:ascii="宋体" w:hAnsi="宋体" w:cs="宋体"/>
          <w:color w:val="auto"/>
          <w:sz w:val="24"/>
          <w:highlight w:val="none"/>
        </w:rPr>
        <w:t>5、乙方须保证其派驻所属项目的员工按照合同要求提供维序服务。如乙方员工有未按时到岗或提前离岗及脱岗现象，乙方须即时予以整改并补足人员接替岗位。乙方员工出现上述行为的，按照第六条第7款约定进行处理。</w:t>
      </w:r>
    </w:p>
    <w:p w14:paraId="5B2B31E6">
      <w:pPr>
        <w:tabs>
          <w:tab w:val="left" w:pos="900"/>
        </w:tabs>
        <w:spacing w:line="360" w:lineRule="auto"/>
        <w:ind w:firstLine="480"/>
        <w:rPr>
          <w:rFonts w:ascii="宋体" w:hAnsi="宋体" w:cs="宋体"/>
          <w:color w:val="auto"/>
          <w:sz w:val="24"/>
          <w:highlight w:val="none"/>
        </w:rPr>
      </w:pPr>
      <w:r>
        <w:rPr>
          <w:rFonts w:ascii="宋体" w:hAnsi="宋体" w:cs="宋体"/>
          <w:color w:val="auto"/>
          <w:sz w:val="24"/>
          <w:highlight w:val="none"/>
        </w:rPr>
        <w:t>6、乙方应保留足够人员数量，甲乙双方初步确认的甲方管辖的部分各项目维序员人数以本 合同附件三为准，12小时做六休一制，日后可按甲方要求根据实际情况增减(以补充协议为准), 在岗维序员，应保证履行其在本合同中的义务。乙方不能按规定派遣最低数量的在岗维序员属于违约行为，甲方有权解除本合同，因此产生的损失概由乙方承担，且甲方保留追索法律权利。同时，为保证服务质量，乙方所派驻的维序员不能连续工作超过国家法定工作时限。</w:t>
      </w:r>
    </w:p>
    <w:p w14:paraId="2F2522A5">
      <w:pPr>
        <w:tabs>
          <w:tab w:val="left" w:pos="900"/>
        </w:tabs>
        <w:spacing w:line="360" w:lineRule="auto"/>
        <w:ind w:firstLine="480"/>
        <w:rPr>
          <w:rFonts w:ascii="宋体" w:hAnsi="宋体" w:cs="宋体"/>
          <w:color w:val="auto"/>
          <w:sz w:val="24"/>
          <w:highlight w:val="none"/>
        </w:rPr>
      </w:pPr>
      <w:r>
        <w:rPr>
          <w:rFonts w:ascii="宋体" w:hAnsi="宋体" w:cs="宋体"/>
          <w:color w:val="auto"/>
          <w:sz w:val="24"/>
          <w:highlight w:val="none"/>
        </w:rPr>
        <w:t>7、甲方如对乙方提供之员工岗位服务质量不满意(不满意标准以甲方不合格通知单或警告 函等书面材料为准),有权要求乙方更换员工。乙方应在收到甲方通知后三个工作日内予以更换，且不得因此影响甲方的维序服务，否则甲方有权不予支付相关费用。若30日内乙方累计2次不予更换不符合甲方要求的员工，甲方有权解除本合同。</w:t>
      </w:r>
    </w:p>
    <w:p w14:paraId="4DE685CB">
      <w:pPr>
        <w:tabs>
          <w:tab w:val="left" w:pos="900"/>
        </w:tabs>
        <w:spacing w:line="360" w:lineRule="auto"/>
        <w:ind w:firstLine="480"/>
        <w:rPr>
          <w:rFonts w:ascii="宋体" w:hAnsi="宋体" w:cs="宋体"/>
          <w:color w:val="auto"/>
          <w:sz w:val="24"/>
          <w:highlight w:val="none"/>
        </w:rPr>
      </w:pPr>
      <w:r>
        <w:rPr>
          <w:rFonts w:ascii="宋体" w:hAnsi="宋体" w:cs="宋体"/>
          <w:color w:val="auto"/>
          <w:sz w:val="24"/>
          <w:highlight w:val="none"/>
        </w:rPr>
        <w:t>8、乙方任何员工的更换，须事先征得甲方</w:t>
      </w:r>
      <w:r>
        <w:rPr>
          <w:rFonts w:hint="eastAsia" w:ascii="宋体" w:hAnsi="宋体" w:cs="宋体"/>
          <w:color w:val="auto"/>
          <w:sz w:val="24"/>
          <w:highlight w:val="none"/>
        </w:rPr>
        <w:t>书面</w:t>
      </w:r>
      <w:r>
        <w:rPr>
          <w:rFonts w:ascii="宋体" w:hAnsi="宋体" w:cs="宋体"/>
          <w:color w:val="auto"/>
          <w:sz w:val="24"/>
          <w:highlight w:val="none"/>
        </w:rPr>
        <w:t>同意，乙方须在人员更换前的三个工作日内向甲方提供新员工的档案及相关证明文件。在未补齐合同约定之维序人员的情况下，人事不应变动；否则甲方有权不予支付相关费用，并有权终止本合同。乙方离职人员不得无故进入所属项目专属工作区域。</w:t>
      </w:r>
    </w:p>
    <w:p w14:paraId="7F0A988B">
      <w:pPr>
        <w:tabs>
          <w:tab w:val="left" w:pos="900"/>
        </w:tabs>
        <w:spacing w:line="360" w:lineRule="auto"/>
        <w:ind w:firstLine="480"/>
        <w:rPr>
          <w:rFonts w:ascii="宋体" w:hAnsi="宋体" w:cs="宋体"/>
          <w:color w:val="auto"/>
          <w:sz w:val="24"/>
          <w:highlight w:val="none"/>
        </w:rPr>
      </w:pPr>
      <w:r>
        <w:rPr>
          <w:rFonts w:ascii="宋体" w:hAnsi="宋体" w:cs="宋体"/>
          <w:color w:val="auto"/>
          <w:sz w:val="24"/>
          <w:highlight w:val="none"/>
        </w:rPr>
        <w:t>9、乙方应严格按照本合同之各条款及内容执行，以保证维序服务质量。乙方须负责监督其现场维序员工作质量，如乙方未符合甲方的维序服务要求及标准，甲方有权按照本合同第六条第6款发出《不合格服务通知单》进行处理。甲方有权抽查乙方的维序员服务状况，有权提出建议、有权要求乙方立即整改。如乙方在甲方提出整改要求后服务质量仍未达到合同要求，甲方将在书面告知乙方的情况下，对每宗未合格处，参照本合同第十三条第2款进行违约金扣款(以甲方书面通知为准)。每</w:t>
      </w:r>
      <w:r>
        <w:rPr>
          <w:rFonts w:hint="eastAsia" w:ascii="宋体" w:hAnsi="宋体" w:cs="宋体"/>
          <w:color w:val="auto"/>
          <w:sz w:val="24"/>
          <w:highlight w:val="none"/>
          <w:lang w:val="en-US" w:eastAsia="zh-CN"/>
        </w:rPr>
        <w:t>季度</w:t>
      </w:r>
      <w:r>
        <w:rPr>
          <w:rFonts w:ascii="宋体" w:hAnsi="宋体" w:cs="宋体"/>
          <w:color w:val="auto"/>
          <w:sz w:val="24"/>
          <w:highlight w:val="none"/>
        </w:rPr>
        <w:t>付款时，依通知次数累计扣款，如因乙方人员岗位服务失误造成损失，甲方有权根据实际损失情况(财产损失按财产价值)立即向乙方发出扣款通知。上述扣款金额将在维序服务费中予以扣除。同时甲方保留解除本合同及追索法律的权利。</w:t>
      </w:r>
    </w:p>
    <w:p w14:paraId="4CA37A2F">
      <w:pPr>
        <w:tabs>
          <w:tab w:val="left" w:pos="900"/>
        </w:tabs>
        <w:spacing w:line="360" w:lineRule="auto"/>
        <w:ind w:firstLine="480"/>
        <w:rPr>
          <w:rFonts w:ascii="宋体" w:hAnsi="宋体" w:cs="宋体"/>
          <w:color w:val="auto"/>
          <w:sz w:val="24"/>
          <w:highlight w:val="none"/>
        </w:rPr>
      </w:pPr>
      <w:r>
        <w:rPr>
          <w:rFonts w:ascii="宋体" w:hAnsi="宋体" w:cs="宋体"/>
          <w:color w:val="auto"/>
          <w:sz w:val="24"/>
          <w:highlight w:val="none"/>
        </w:rPr>
        <w:t>10、乙方之管理与协调安排</w:t>
      </w:r>
    </w:p>
    <w:p w14:paraId="318A5AB6">
      <w:pPr>
        <w:tabs>
          <w:tab w:val="left" w:pos="900"/>
        </w:tabs>
        <w:spacing w:line="360" w:lineRule="auto"/>
        <w:ind w:firstLine="480"/>
        <w:rPr>
          <w:rFonts w:ascii="宋体" w:hAnsi="宋体" w:cs="宋体"/>
          <w:color w:val="auto"/>
          <w:sz w:val="24"/>
          <w:highlight w:val="none"/>
        </w:rPr>
      </w:pPr>
      <w:r>
        <w:rPr>
          <w:rFonts w:ascii="宋体" w:hAnsi="宋体" w:cs="宋体"/>
          <w:color w:val="auto"/>
          <w:sz w:val="24"/>
          <w:highlight w:val="none"/>
        </w:rPr>
        <w:t>◇乙方为履行本合同而雇佣之维序驻场主管和维序员须遵守甲方管理项目维序服务相关的管理的规章制度，甲方将对乙方员工岗位服务进行不定期抽查，抽查结果将作为甲方的付款依据。</w:t>
      </w:r>
    </w:p>
    <w:p w14:paraId="0CDB3BC6">
      <w:pPr>
        <w:tabs>
          <w:tab w:val="left" w:pos="900"/>
        </w:tabs>
        <w:spacing w:line="360" w:lineRule="auto"/>
        <w:ind w:firstLine="480"/>
        <w:rPr>
          <w:rFonts w:ascii="宋体" w:hAnsi="宋体" w:cs="宋体"/>
          <w:color w:val="auto"/>
          <w:sz w:val="24"/>
          <w:highlight w:val="none"/>
        </w:rPr>
      </w:pPr>
      <w:r>
        <w:rPr>
          <w:rFonts w:ascii="宋体" w:hAnsi="宋体" w:cs="宋体"/>
          <w:color w:val="auto"/>
          <w:sz w:val="24"/>
          <w:highlight w:val="none"/>
        </w:rPr>
        <w:t>◇乙方须指定一名有丰富经验的合约外管理人员与甲方保持联络，并定期巡查所属项目的维序服务(包括夜班19:30-07:30巡查</w:t>
      </w:r>
      <w:r>
        <w:rPr>
          <w:rFonts w:hint="eastAsia" w:ascii="宋体" w:hAnsi="宋体" w:cs="宋体"/>
          <w:color w:val="auto"/>
          <w:sz w:val="24"/>
          <w:highlight w:val="none"/>
        </w:rPr>
        <w:t xml:space="preserve"> 4次/班，</w:t>
      </w:r>
      <w:r>
        <w:rPr>
          <w:rFonts w:ascii="宋体" w:hAnsi="宋体" w:cs="宋体"/>
          <w:color w:val="auto"/>
          <w:sz w:val="24"/>
          <w:highlight w:val="none"/>
        </w:rPr>
        <w:t>每日</w:t>
      </w:r>
      <w:r>
        <w:rPr>
          <w:rFonts w:hint="eastAsia" w:ascii="宋体" w:hAnsi="宋体" w:cs="宋体"/>
          <w:color w:val="auto"/>
          <w:sz w:val="24"/>
          <w:highlight w:val="none"/>
        </w:rPr>
        <w:t>巡查</w:t>
      </w:r>
      <w:r>
        <w:rPr>
          <w:rFonts w:ascii="宋体" w:hAnsi="宋体" w:cs="宋体"/>
          <w:color w:val="auto"/>
          <w:sz w:val="24"/>
          <w:highlight w:val="none"/>
        </w:rPr>
        <w:t>不少于</w:t>
      </w:r>
      <w:r>
        <w:rPr>
          <w:rFonts w:hint="eastAsia" w:ascii="宋体" w:hAnsi="宋体" w:cs="宋体"/>
          <w:color w:val="auto"/>
          <w:sz w:val="24"/>
          <w:highlight w:val="none"/>
        </w:rPr>
        <w:t>8</w:t>
      </w:r>
      <w:r>
        <w:rPr>
          <w:rFonts w:ascii="宋体" w:hAnsi="宋体" w:cs="宋体"/>
          <w:color w:val="auto"/>
          <w:sz w:val="24"/>
          <w:highlight w:val="none"/>
        </w:rPr>
        <w:t>次，且每次巡查后须将巡查现场照片、记录表提交甲方)。在本合同开始的前2个月内，该名管理人员须保证每周与甲方至少进行二次现场碰头会，以后可以酌情减少，但每月不可少于四次。</w:t>
      </w:r>
    </w:p>
    <w:p w14:paraId="581C0125">
      <w:pPr>
        <w:tabs>
          <w:tab w:val="left" w:pos="900"/>
        </w:tabs>
        <w:spacing w:line="360" w:lineRule="auto"/>
        <w:ind w:firstLine="480"/>
        <w:rPr>
          <w:rFonts w:ascii="宋体" w:hAnsi="宋体" w:cs="宋体"/>
          <w:color w:val="auto"/>
          <w:sz w:val="24"/>
          <w:highlight w:val="none"/>
        </w:rPr>
      </w:pPr>
      <w:r>
        <w:rPr>
          <w:rFonts w:ascii="宋体" w:hAnsi="宋体" w:cs="宋体"/>
          <w:color w:val="auto"/>
          <w:sz w:val="24"/>
          <w:highlight w:val="none"/>
        </w:rPr>
        <w:t>◇乙方在进场后15个工作日内须向甲方递交员工培训计划，并于每月底前向甲方递交当月维序服务汇报、维序服务安排、次月员工培训计划、最新员工名册(加盖公司</w:t>
      </w:r>
      <w:r>
        <w:rPr>
          <w:rFonts w:hint="eastAsia" w:ascii="宋体" w:hAnsi="宋体" w:cs="宋体"/>
          <w:color w:val="auto"/>
          <w:sz w:val="24"/>
          <w:highlight w:val="none"/>
        </w:rPr>
        <w:t>公</w:t>
      </w:r>
      <w:r>
        <w:rPr>
          <w:rFonts w:ascii="宋体" w:hAnsi="宋体" w:cs="宋体"/>
          <w:color w:val="auto"/>
          <w:sz w:val="24"/>
          <w:highlight w:val="none"/>
        </w:rPr>
        <w:t>章)及其它档案资料。</w:t>
      </w:r>
    </w:p>
    <w:p w14:paraId="7686D130">
      <w:pPr>
        <w:tabs>
          <w:tab w:val="left" w:pos="900"/>
        </w:tabs>
        <w:spacing w:line="360" w:lineRule="auto"/>
        <w:ind w:firstLine="480"/>
        <w:rPr>
          <w:rFonts w:ascii="宋体" w:hAnsi="宋体" w:cs="宋体"/>
          <w:color w:val="auto"/>
          <w:sz w:val="24"/>
          <w:highlight w:val="none"/>
        </w:rPr>
      </w:pPr>
      <w:r>
        <w:rPr>
          <w:rFonts w:ascii="宋体" w:hAnsi="宋体" w:cs="宋体"/>
          <w:color w:val="auto"/>
          <w:sz w:val="24"/>
          <w:highlight w:val="none"/>
        </w:rPr>
        <w:t>11、遇有紧急情况时，乙方应按甲方的要求进行服务且不收取任何额外费用。</w:t>
      </w:r>
    </w:p>
    <w:p w14:paraId="5BEECA3A">
      <w:pPr>
        <w:tabs>
          <w:tab w:val="left" w:pos="900"/>
        </w:tabs>
        <w:spacing w:line="360" w:lineRule="auto"/>
        <w:ind w:firstLine="480"/>
        <w:rPr>
          <w:rFonts w:ascii="宋体" w:hAnsi="宋体" w:cs="宋体"/>
          <w:color w:val="auto"/>
          <w:sz w:val="24"/>
          <w:highlight w:val="none"/>
        </w:rPr>
      </w:pPr>
      <w:r>
        <w:rPr>
          <w:rFonts w:ascii="宋体" w:hAnsi="宋体" w:cs="宋体"/>
          <w:color w:val="auto"/>
          <w:sz w:val="24"/>
          <w:highlight w:val="none"/>
        </w:rPr>
        <w:t>12、乙方派驻的所有维序员必须严格遵守所属项目的各项管理规章制度和政府的有关法律法规，以及相关的行业规范和职业规范，乙方须对所派驻之人员的任何违规行为负全部责任。</w:t>
      </w:r>
    </w:p>
    <w:p w14:paraId="3803BCD2">
      <w:pPr>
        <w:tabs>
          <w:tab w:val="left" w:pos="900"/>
        </w:tabs>
        <w:spacing w:line="360" w:lineRule="auto"/>
        <w:ind w:firstLine="480"/>
        <w:rPr>
          <w:rFonts w:ascii="宋体" w:hAnsi="宋体" w:cs="宋体"/>
          <w:color w:val="auto"/>
          <w:sz w:val="24"/>
          <w:highlight w:val="none"/>
        </w:rPr>
      </w:pPr>
      <w:r>
        <w:rPr>
          <w:rFonts w:ascii="宋体" w:hAnsi="宋体" w:cs="宋体"/>
          <w:color w:val="auto"/>
          <w:sz w:val="24"/>
          <w:highlight w:val="none"/>
        </w:rPr>
        <w:t>13、乙方及乙方员工不得因履行本合同范围内的维序服务向其他任何人员另行索取报酬，乙方所派驻人员也不得在为甲方提供服务的时段内未经甲方书面许可擅自向服务区域其他人员提供其它任何有偿服务，若乙方或乙方员工违反此条规定，乙方或其员工应将所收上述报酬如数退还，并且甲方有权立即解除本合同。</w:t>
      </w:r>
    </w:p>
    <w:p w14:paraId="35413662">
      <w:pPr>
        <w:tabs>
          <w:tab w:val="left" w:pos="900"/>
        </w:tabs>
        <w:spacing w:line="360" w:lineRule="auto"/>
        <w:ind w:firstLine="480"/>
        <w:rPr>
          <w:rFonts w:ascii="宋体" w:hAnsi="宋体" w:cs="宋体"/>
          <w:color w:val="auto"/>
          <w:sz w:val="24"/>
          <w:highlight w:val="none"/>
        </w:rPr>
      </w:pPr>
      <w:r>
        <w:rPr>
          <w:rFonts w:ascii="宋体" w:hAnsi="宋体" w:cs="宋体"/>
          <w:color w:val="auto"/>
          <w:sz w:val="24"/>
          <w:highlight w:val="none"/>
        </w:rPr>
        <w:t>14、未经甲方书面许可，乙方不得将本合同或其中的任何部分转让于任何人。若乙方违反本合同，甲方有权解除本合同，并且一切因为乙方所导致之任何责任、损失、赔偿或诉讼等，一概由乙方负责，并偿付甲方因此遭受的实际损失</w:t>
      </w:r>
      <w:r>
        <w:rPr>
          <w:rFonts w:hint="eastAsia" w:ascii="宋体" w:hAnsi="宋体" w:cs="宋体"/>
          <w:color w:val="auto"/>
          <w:sz w:val="24"/>
          <w:highlight w:val="none"/>
        </w:rPr>
        <w:t>（包括甲方为此支付的律师费）</w:t>
      </w:r>
      <w:r>
        <w:rPr>
          <w:rFonts w:ascii="宋体" w:hAnsi="宋体" w:cs="宋体"/>
          <w:color w:val="auto"/>
          <w:sz w:val="24"/>
          <w:highlight w:val="none"/>
        </w:rPr>
        <w:t>。</w:t>
      </w:r>
    </w:p>
    <w:p w14:paraId="74C19AB2">
      <w:pPr>
        <w:tabs>
          <w:tab w:val="left" w:pos="900"/>
        </w:tabs>
        <w:spacing w:line="360" w:lineRule="auto"/>
        <w:ind w:firstLine="480"/>
        <w:rPr>
          <w:rFonts w:ascii="宋体" w:hAnsi="宋体" w:cs="宋体"/>
          <w:color w:val="auto"/>
          <w:sz w:val="24"/>
          <w:highlight w:val="none"/>
        </w:rPr>
      </w:pPr>
      <w:r>
        <w:rPr>
          <w:rFonts w:ascii="宋体" w:hAnsi="宋体" w:cs="宋体"/>
          <w:color w:val="auto"/>
          <w:sz w:val="24"/>
          <w:highlight w:val="none"/>
        </w:rPr>
        <w:t>15、乙方派驻所属项目的维序人员在任何时间内不得在所属项目任何地点煮食、睡觉、赌博</w:t>
      </w:r>
      <w:r>
        <w:rPr>
          <w:rFonts w:hint="eastAsia" w:ascii="宋体" w:hAnsi="宋体" w:cs="宋体"/>
          <w:color w:val="auto"/>
          <w:sz w:val="24"/>
          <w:highlight w:val="none"/>
        </w:rPr>
        <w:t>、刷手机（与工作无关的行为），</w:t>
      </w:r>
      <w:r>
        <w:rPr>
          <w:rFonts w:ascii="宋体" w:hAnsi="宋体" w:cs="宋体"/>
          <w:color w:val="auto"/>
          <w:sz w:val="24"/>
          <w:highlight w:val="none"/>
        </w:rPr>
        <w:t>邀请任何人士进入所属项目休息或使用所属项目甲方办公室电话作私人用途等，若出现上述任何一项情况，甲方有权要求乙方立即更换员工，乙方应在三个工作日内更换符合甲方要求的维序员。</w:t>
      </w:r>
    </w:p>
    <w:p w14:paraId="168EB20B">
      <w:pPr>
        <w:tabs>
          <w:tab w:val="left" w:pos="900"/>
        </w:tabs>
        <w:spacing w:line="360" w:lineRule="auto"/>
        <w:ind w:firstLine="480"/>
        <w:rPr>
          <w:rFonts w:ascii="宋体" w:hAnsi="宋体" w:cs="宋体"/>
          <w:color w:val="auto"/>
          <w:sz w:val="24"/>
          <w:highlight w:val="none"/>
        </w:rPr>
      </w:pPr>
      <w:r>
        <w:rPr>
          <w:rFonts w:ascii="宋体" w:hAnsi="宋体" w:cs="宋体"/>
          <w:color w:val="auto"/>
          <w:sz w:val="24"/>
          <w:highlight w:val="none"/>
        </w:rPr>
        <w:t>16、乙方应对其所有员工之安全、记录及私人行为负管理之责任，严格督导员工按合同执行岗位服务，并遵守甲方及所属项目有关规章制度，不得在所属项目范围内有任何不检行为，更不得与业主/住户发生争执；若出现任何违规行为，甲方有权要求乙方按相关规章制度处理违规员工。</w:t>
      </w:r>
    </w:p>
    <w:p w14:paraId="0D26C2F3">
      <w:pPr>
        <w:tabs>
          <w:tab w:val="left" w:pos="900"/>
        </w:tabs>
        <w:spacing w:line="360" w:lineRule="auto"/>
        <w:ind w:firstLine="480"/>
        <w:rPr>
          <w:rFonts w:ascii="宋体" w:hAnsi="宋体" w:cs="宋体"/>
          <w:color w:val="auto"/>
          <w:sz w:val="24"/>
          <w:highlight w:val="none"/>
        </w:rPr>
      </w:pPr>
      <w:r>
        <w:rPr>
          <w:rFonts w:ascii="宋体" w:hAnsi="宋体" w:cs="宋体"/>
          <w:color w:val="auto"/>
          <w:sz w:val="24"/>
          <w:highlight w:val="none"/>
        </w:rPr>
        <w:t>17、如遇节假日、重要活动、贵宾来访、应急事件等，乙方应积极配合甲方做好相关的维序准备及服务，且不收取任何额外费用。</w:t>
      </w:r>
    </w:p>
    <w:p w14:paraId="77A8ED80">
      <w:pPr>
        <w:tabs>
          <w:tab w:val="left" w:pos="900"/>
        </w:tabs>
        <w:spacing w:line="360" w:lineRule="auto"/>
        <w:ind w:firstLine="480"/>
        <w:rPr>
          <w:rFonts w:ascii="宋体" w:hAnsi="宋体" w:cs="宋体"/>
          <w:color w:val="auto"/>
          <w:sz w:val="24"/>
          <w:highlight w:val="none"/>
        </w:rPr>
      </w:pPr>
      <w:r>
        <w:rPr>
          <w:rFonts w:ascii="宋体" w:hAnsi="宋体" w:cs="宋体"/>
          <w:color w:val="auto"/>
          <w:sz w:val="24"/>
          <w:highlight w:val="none"/>
        </w:rPr>
        <w:t>18、乙方或其员工在所属项目进行本合同及其附件规定的维序服务时，若由于乙方原因(无论故意或过失)导致任何第三方的人身伤害或财产损失时，由乙方承担一切法律责任及后果，乙方须自费购买第三者责任险。</w:t>
      </w:r>
    </w:p>
    <w:p w14:paraId="1021A733">
      <w:pPr>
        <w:tabs>
          <w:tab w:val="left" w:pos="900"/>
        </w:tabs>
        <w:spacing w:line="360" w:lineRule="auto"/>
        <w:ind w:firstLine="480"/>
        <w:rPr>
          <w:rFonts w:ascii="宋体" w:hAnsi="宋体" w:cs="宋体"/>
          <w:color w:val="auto"/>
          <w:sz w:val="24"/>
          <w:highlight w:val="none"/>
        </w:rPr>
      </w:pPr>
      <w:r>
        <w:rPr>
          <w:rFonts w:ascii="宋体" w:hAnsi="宋体" w:cs="宋体"/>
          <w:color w:val="auto"/>
          <w:sz w:val="24"/>
          <w:highlight w:val="none"/>
        </w:rPr>
        <w:t>19、乙方负责所属项目维序服务，须确保所属项目内外道路的畅通，业主、住户人身财产安全和公共设施设备等安全。</w:t>
      </w:r>
    </w:p>
    <w:p w14:paraId="4BE193B3">
      <w:pPr>
        <w:tabs>
          <w:tab w:val="left" w:pos="900"/>
        </w:tabs>
        <w:spacing w:line="360" w:lineRule="auto"/>
        <w:ind w:firstLine="480"/>
        <w:rPr>
          <w:rFonts w:ascii="宋体" w:hAnsi="宋体" w:cs="宋体"/>
          <w:color w:val="auto"/>
          <w:sz w:val="24"/>
          <w:highlight w:val="none"/>
        </w:rPr>
      </w:pPr>
      <w:r>
        <w:rPr>
          <w:rFonts w:ascii="宋体" w:hAnsi="宋体" w:cs="宋体"/>
          <w:color w:val="auto"/>
          <w:sz w:val="24"/>
          <w:highlight w:val="none"/>
        </w:rPr>
        <w:t>20、乙方须检查进出所属项目人员，货物、车辆的凭证，做好外来人员、车辆的登记工作。</w:t>
      </w:r>
    </w:p>
    <w:p w14:paraId="74601924">
      <w:pPr>
        <w:tabs>
          <w:tab w:val="left" w:pos="900"/>
        </w:tabs>
        <w:spacing w:line="360" w:lineRule="auto"/>
        <w:ind w:firstLine="480"/>
        <w:rPr>
          <w:rFonts w:ascii="宋体" w:hAnsi="宋体" w:cs="宋体"/>
          <w:color w:val="auto"/>
          <w:sz w:val="24"/>
          <w:highlight w:val="none"/>
        </w:rPr>
      </w:pPr>
      <w:r>
        <w:rPr>
          <w:rFonts w:ascii="宋体" w:hAnsi="宋体" w:cs="宋体"/>
          <w:color w:val="auto"/>
          <w:sz w:val="24"/>
          <w:highlight w:val="none"/>
        </w:rPr>
        <w:t>21、乙方须按甲方要求在所属项目内进行巡查，做好防火防盗、防治安事件发生的安全防范工作，并确保所属项目消防与安全事故为零。</w:t>
      </w:r>
    </w:p>
    <w:p w14:paraId="14B7069F">
      <w:pPr>
        <w:tabs>
          <w:tab w:val="left" w:pos="900"/>
        </w:tabs>
        <w:spacing w:line="360" w:lineRule="auto"/>
        <w:ind w:firstLine="480"/>
        <w:rPr>
          <w:rFonts w:ascii="宋体" w:hAnsi="宋体" w:cs="宋体"/>
          <w:color w:val="auto"/>
          <w:sz w:val="24"/>
          <w:highlight w:val="none"/>
        </w:rPr>
      </w:pPr>
      <w:r>
        <w:rPr>
          <w:rFonts w:ascii="宋体" w:hAnsi="宋体" w:cs="宋体"/>
          <w:color w:val="auto"/>
          <w:sz w:val="24"/>
          <w:highlight w:val="none"/>
        </w:rPr>
        <w:t>22、乙方必须对所属项目内的各类突发事件，及时汇报甲方，并第一时间采取应急措施避免事态扩展及现场协助所属项目业主/住户妥善处理，事后提交紧急事件报告予甲方，并作好相关记录。</w:t>
      </w:r>
    </w:p>
    <w:p w14:paraId="3DCED219">
      <w:pPr>
        <w:tabs>
          <w:tab w:val="left" w:pos="900"/>
        </w:tabs>
        <w:spacing w:line="360" w:lineRule="auto"/>
        <w:ind w:firstLine="480"/>
        <w:rPr>
          <w:rFonts w:ascii="宋体" w:hAnsi="宋体" w:cs="宋体"/>
          <w:color w:val="auto"/>
          <w:sz w:val="24"/>
          <w:highlight w:val="none"/>
        </w:rPr>
      </w:pPr>
      <w:r>
        <w:rPr>
          <w:rFonts w:ascii="宋体" w:hAnsi="宋体" w:cs="宋体"/>
          <w:color w:val="auto"/>
          <w:sz w:val="24"/>
          <w:highlight w:val="none"/>
        </w:rPr>
        <w:t>23、乙方须按甲方要求监督及巡查所属项目内进行装修工程的业主/租户、装修公司施工人 员，是否按所属项目装修管理的规定执行，并督促现场安全隐患整改及作好巡查记录。</w:t>
      </w:r>
    </w:p>
    <w:p w14:paraId="2601183A">
      <w:pPr>
        <w:tabs>
          <w:tab w:val="left" w:pos="900"/>
        </w:tabs>
        <w:spacing w:line="360" w:lineRule="auto"/>
        <w:ind w:firstLine="480"/>
        <w:rPr>
          <w:rFonts w:ascii="宋体" w:hAnsi="宋体" w:cs="宋体"/>
          <w:color w:val="auto"/>
          <w:sz w:val="24"/>
          <w:highlight w:val="none"/>
        </w:rPr>
      </w:pPr>
      <w:r>
        <w:rPr>
          <w:rFonts w:ascii="宋体" w:hAnsi="宋体" w:cs="宋体"/>
          <w:color w:val="auto"/>
          <w:sz w:val="24"/>
          <w:highlight w:val="none"/>
        </w:rPr>
        <w:t>24、按甲方要求检查所属项目设施设备是否完好无损及运行是否正常，保障所属项目各通 道、车道的畅通，负责所属项目停车场、车道及临时泊车区的巡逻保卫等管理服务。</w:t>
      </w:r>
    </w:p>
    <w:p w14:paraId="49455ACF">
      <w:pPr>
        <w:tabs>
          <w:tab w:val="left" w:pos="900"/>
        </w:tabs>
        <w:spacing w:line="360" w:lineRule="auto"/>
        <w:ind w:firstLine="480"/>
        <w:rPr>
          <w:rFonts w:ascii="宋体" w:hAnsi="宋体" w:cs="宋体"/>
          <w:color w:val="auto"/>
          <w:sz w:val="24"/>
          <w:highlight w:val="none"/>
        </w:rPr>
      </w:pPr>
      <w:r>
        <w:rPr>
          <w:rFonts w:ascii="宋体" w:hAnsi="宋体" w:cs="宋体"/>
          <w:color w:val="auto"/>
          <w:sz w:val="24"/>
          <w:highlight w:val="none"/>
        </w:rPr>
        <w:t>25、乙方应配合甲方之节能管理，做到节约用水、用电等。员工宿舍所用水电气须由乙方自行承担。</w:t>
      </w:r>
    </w:p>
    <w:p w14:paraId="08BCF232">
      <w:pPr>
        <w:tabs>
          <w:tab w:val="left" w:pos="900"/>
        </w:tabs>
        <w:spacing w:line="360" w:lineRule="auto"/>
        <w:ind w:firstLine="480"/>
        <w:rPr>
          <w:rFonts w:ascii="宋体" w:hAnsi="宋体" w:cs="宋体"/>
          <w:color w:val="auto"/>
          <w:sz w:val="24"/>
          <w:highlight w:val="none"/>
        </w:rPr>
      </w:pPr>
      <w:r>
        <w:rPr>
          <w:rFonts w:ascii="宋体" w:hAnsi="宋体" w:cs="宋体"/>
          <w:color w:val="auto"/>
          <w:sz w:val="24"/>
          <w:highlight w:val="none"/>
        </w:rPr>
        <w:t>26、乙方须入职前组织维序员进行岗位各项基本培训，针对所属合同服务期内消防、电梯急 救、紧急突发事件的处理应急培训及演习等。</w:t>
      </w:r>
    </w:p>
    <w:p w14:paraId="009C7E21">
      <w:pPr>
        <w:tabs>
          <w:tab w:val="left" w:pos="900"/>
        </w:tabs>
        <w:spacing w:line="360" w:lineRule="auto"/>
        <w:ind w:firstLine="480"/>
        <w:rPr>
          <w:rFonts w:ascii="宋体" w:hAnsi="宋体" w:cs="宋体"/>
          <w:color w:val="auto"/>
          <w:sz w:val="24"/>
          <w:highlight w:val="none"/>
        </w:rPr>
      </w:pPr>
      <w:r>
        <w:rPr>
          <w:rFonts w:ascii="宋体" w:hAnsi="宋体" w:cs="宋体"/>
          <w:color w:val="auto"/>
          <w:sz w:val="24"/>
          <w:highlight w:val="none"/>
        </w:rPr>
        <w:t>27、乙方维序员应遵守所属项目管理规定，并服从甲方的管理制度、服务指示。</w:t>
      </w:r>
    </w:p>
    <w:p w14:paraId="5BF6128A">
      <w:pPr>
        <w:tabs>
          <w:tab w:val="left" w:pos="900"/>
        </w:tabs>
        <w:spacing w:line="360" w:lineRule="auto"/>
        <w:ind w:firstLine="480"/>
        <w:rPr>
          <w:rFonts w:ascii="宋体" w:hAnsi="宋体" w:cs="宋体"/>
          <w:color w:val="auto"/>
          <w:sz w:val="24"/>
          <w:highlight w:val="none"/>
        </w:rPr>
      </w:pPr>
      <w:r>
        <w:rPr>
          <w:rFonts w:ascii="宋体" w:hAnsi="宋体" w:cs="宋体"/>
          <w:color w:val="auto"/>
          <w:sz w:val="24"/>
          <w:highlight w:val="none"/>
        </w:rPr>
        <w:t>28、乙方须在每月5日前向甲方呈交上月服务汇总，详列各项每日例行维序服务实施情况， “突发事件、紧急事件”的处理必须有经甲方确认文字记录。</w:t>
      </w:r>
    </w:p>
    <w:p w14:paraId="2A06DAAF">
      <w:pPr>
        <w:tabs>
          <w:tab w:val="left" w:pos="900"/>
        </w:tabs>
        <w:spacing w:line="360" w:lineRule="auto"/>
        <w:ind w:firstLine="480"/>
        <w:rPr>
          <w:rFonts w:ascii="宋体" w:hAnsi="宋体" w:cs="宋体"/>
          <w:color w:val="auto"/>
          <w:sz w:val="24"/>
          <w:highlight w:val="none"/>
        </w:rPr>
      </w:pPr>
      <w:r>
        <w:rPr>
          <w:rFonts w:ascii="宋体" w:hAnsi="宋体" w:cs="宋体"/>
          <w:color w:val="auto"/>
          <w:sz w:val="24"/>
          <w:highlight w:val="none"/>
        </w:rPr>
        <w:t>29、根据现场服务质量，如甲方需要，乙方必须派管理层出席甲方举行维序服务承判商沟通会议，并对甲方提出的服务要求、意见进行及时、积极解决；甲方有权就乙方承判区域内之维序问题向乙方维序员作任何合理安保要求，乙方必须配合。</w:t>
      </w:r>
    </w:p>
    <w:p w14:paraId="1C6BDFE4">
      <w:pPr>
        <w:tabs>
          <w:tab w:val="left" w:pos="900"/>
        </w:tabs>
        <w:spacing w:line="360" w:lineRule="auto"/>
        <w:ind w:firstLine="480"/>
        <w:rPr>
          <w:rFonts w:ascii="宋体" w:hAnsi="宋体" w:cs="宋体"/>
          <w:color w:val="auto"/>
          <w:sz w:val="24"/>
          <w:highlight w:val="none"/>
        </w:rPr>
      </w:pPr>
      <w:r>
        <w:rPr>
          <w:rFonts w:ascii="宋体" w:hAnsi="宋体" w:cs="宋体"/>
          <w:color w:val="auto"/>
          <w:sz w:val="24"/>
          <w:highlight w:val="none"/>
        </w:rPr>
        <w:t>30、甲方将每日会同乙方对现场维序服务质量进行抽检并填报记录，作为奖罚依据，针对不合格服务发出《不合格服务通知单》进行处理。</w:t>
      </w:r>
    </w:p>
    <w:p w14:paraId="742AA8DF">
      <w:pPr>
        <w:tabs>
          <w:tab w:val="left" w:pos="900"/>
        </w:tabs>
        <w:spacing w:line="360" w:lineRule="auto"/>
        <w:ind w:firstLine="480"/>
        <w:rPr>
          <w:rFonts w:ascii="宋体" w:hAnsi="宋体" w:cs="宋体"/>
          <w:color w:val="auto"/>
          <w:sz w:val="24"/>
          <w:highlight w:val="none"/>
        </w:rPr>
      </w:pPr>
      <w:r>
        <w:rPr>
          <w:rFonts w:ascii="宋体" w:hAnsi="宋体" w:cs="宋体"/>
          <w:color w:val="auto"/>
          <w:sz w:val="24"/>
          <w:highlight w:val="none"/>
        </w:rPr>
        <w:t>31、乙方须根据甲方指定提供足够所需人手，活动及节假期间更应安排足够岗位所需人手保证安全服务质量。巡逻岗位/车场岗位服务时间及所需人手安排，甲方可视日后实际情况书面要求乙方灵活调整。乙方当月员工在岗率不低于90%、保有率不低于40%、流失率不高于20%,任何一项不符合要求的，甲方有权直接扣减乙方当月维序服务费用的10%。</w:t>
      </w:r>
    </w:p>
    <w:p w14:paraId="15E4C83D">
      <w:pPr>
        <w:tabs>
          <w:tab w:val="left" w:pos="900"/>
        </w:tabs>
        <w:spacing w:line="360" w:lineRule="auto"/>
        <w:ind w:firstLine="480"/>
        <w:rPr>
          <w:rFonts w:ascii="宋体" w:hAnsi="宋体" w:cs="宋体"/>
          <w:color w:val="auto"/>
          <w:sz w:val="24"/>
          <w:highlight w:val="none"/>
        </w:rPr>
      </w:pPr>
      <w:r>
        <w:rPr>
          <w:rFonts w:ascii="宋体" w:hAnsi="宋体" w:cs="宋体"/>
          <w:color w:val="auto"/>
          <w:sz w:val="24"/>
          <w:highlight w:val="none"/>
        </w:rPr>
        <w:t>32、上述服务细则之项目如未详列服务要求者，乙方须依甲方指示做妥，甲方无须为此再支 付任何费用。</w:t>
      </w:r>
    </w:p>
    <w:p w14:paraId="1B646DD8">
      <w:pPr>
        <w:tabs>
          <w:tab w:val="left" w:pos="900"/>
        </w:tabs>
        <w:spacing w:line="360" w:lineRule="auto"/>
        <w:ind w:firstLine="480"/>
        <w:rPr>
          <w:rFonts w:ascii="宋体" w:hAnsi="宋体" w:cs="宋体"/>
          <w:color w:val="auto"/>
          <w:sz w:val="24"/>
          <w:highlight w:val="none"/>
        </w:rPr>
      </w:pPr>
      <w:r>
        <w:rPr>
          <w:rFonts w:ascii="宋体" w:hAnsi="宋体" w:cs="宋体"/>
          <w:color w:val="auto"/>
          <w:sz w:val="24"/>
          <w:highlight w:val="none"/>
        </w:rPr>
        <w:t>33、乙方为进行维序服务而派驻所属项目内之员工(包含增派人员),必须拥有具备第四条第5、6款维序人员标准要求可供选择。</w:t>
      </w:r>
    </w:p>
    <w:p w14:paraId="7CCA67E6">
      <w:pPr>
        <w:tabs>
          <w:tab w:val="left" w:pos="900"/>
        </w:tabs>
        <w:spacing w:line="360" w:lineRule="auto"/>
        <w:ind w:firstLine="480"/>
        <w:rPr>
          <w:rFonts w:ascii="宋体" w:hAnsi="宋体" w:cs="宋体"/>
          <w:color w:val="auto"/>
          <w:sz w:val="24"/>
          <w:highlight w:val="none"/>
        </w:rPr>
      </w:pPr>
      <w:r>
        <w:rPr>
          <w:rFonts w:ascii="宋体" w:hAnsi="宋体" w:cs="宋体"/>
          <w:color w:val="auto"/>
          <w:sz w:val="24"/>
          <w:highlight w:val="none"/>
        </w:rPr>
        <w:t>34、乙方必须明确告知乙方员工并确保所安排到甲方服务区域的员工与甲方不存在任何劳动合同关系、劳动派遣关系或用工关系。乙方为其员工须办理符合所有关于厦门市及劳动法规定所需之一切劳务及有关保险、文件及批文，甲方有权查阅涉及该等文件的具体资料，所有因此等事件的疏忽或遗漏等引致之问题，一概由乙方承担所有责任，甲方无需承担任何责任。乙方所有派驻所属项目内的维序员均须经甲方作最后确认后方可进驻所属项目。</w:t>
      </w:r>
    </w:p>
    <w:p w14:paraId="377DB6C9">
      <w:pPr>
        <w:tabs>
          <w:tab w:val="left" w:pos="900"/>
        </w:tabs>
        <w:spacing w:line="360" w:lineRule="auto"/>
        <w:ind w:firstLine="480"/>
        <w:rPr>
          <w:rFonts w:ascii="宋体" w:hAnsi="宋体" w:cs="宋体"/>
          <w:color w:val="auto"/>
          <w:sz w:val="24"/>
          <w:highlight w:val="none"/>
        </w:rPr>
      </w:pPr>
      <w:r>
        <w:rPr>
          <w:rFonts w:ascii="宋体" w:hAnsi="宋体" w:cs="宋体"/>
          <w:color w:val="auto"/>
          <w:sz w:val="24"/>
          <w:highlight w:val="none"/>
        </w:rPr>
        <w:t>35、涉及《保安服务管理条例》事宜，乙方应取得相应保安服务营业资质，所派驻的现场员工由乙方办理相关从业资格证，由此产生的费用由乙方自行承担。所有因此等事件的疏忽或遗漏等引致之问题，一概由乙方承担所有责任，甲方无需承担任何责任。</w:t>
      </w:r>
    </w:p>
    <w:p w14:paraId="491207C8">
      <w:pPr>
        <w:tabs>
          <w:tab w:val="left" w:pos="900"/>
        </w:tabs>
        <w:spacing w:line="360" w:lineRule="auto"/>
        <w:ind w:firstLine="480"/>
        <w:rPr>
          <w:rFonts w:ascii="宋体" w:hAnsi="宋体" w:cs="宋体"/>
          <w:color w:val="auto"/>
          <w:sz w:val="24"/>
          <w:highlight w:val="none"/>
        </w:rPr>
      </w:pPr>
      <w:r>
        <w:rPr>
          <w:rFonts w:ascii="宋体" w:hAnsi="宋体" w:cs="宋体"/>
          <w:color w:val="auto"/>
          <w:sz w:val="24"/>
          <w:highlight w:val="none"/>
        </w:rPr>
        <w:t>36、乙方派驻项目的维序人员，须以甲方指纹机进行每日考勤。</w:t>
      </w:r>
    </w:p>
    <w:p w14:paraId="6555B71A">
      <w:pPr>
        <w:tabs>
          <w:tab w:val="left" w:pos="900"/>
        </w:tabs>
        <w:spacing w:line="360" w:lineRule="auto"/>
        <w:ind w:firstLine="480"/>
        <w:rPr>
          <w:rFonts w:hint="eastAsia" w:ascii="宋体" w:hAnsi="宋体" w:cs="宋体"/>
          <w:color w:val="auto"/>
          <w:sz w:val="24"/>
          <w:highlight w:val="none"/>
        </w:rPr>
      </w:pPr>
      <w:r>
        <w:rPr>
          <w:rFonts w:ascii="宋体" w:hAnsi="宋体" w:cs="宋体"/>
          <w:color w:val="auto"/>
          <w:sz w:val="24"/>
          <w:highlight w:val="none"/>
        </w:rPr>
        <w:t>37、乙方服务质量应达到，甲方以及甲方上级部门(湖里国投集团)所规定的要求，即“客户综合满意度或业主回访”、“神秘客户暗访”等设定的项目(小区)指标考核分值。若乙方所承包的服务事项当月考核分值不达标，则甲方可按考核标准进行扣款。</w:t>
      </w:r>
    </w:p>
    <w:p w14:paraId="5F920871">
      <w:pPr>
        <w:tabs>
          <w:tab w:val="left" w:pos="900"/>
        </w:tabs>
        <w:spacing w:line="360" w:lineRule="auto"/>
        <w:ind w:firstLine="480"/>
        <w:rPr>
          <w:rFonts w:ascii="宋体" w:hAnsi="宋体" w:cs="宋体"/>
          <w:b/>
          <w:color w:val="auto"/>
          <w:sz w:val="24"/>
          <w:highlight w:val="none"/>
        </w:rPr>
      </w:pPr>
      <w:r>
        <w:rPr>
          <w:rFonts w:hint="eastAsia" w:ascii="宋体" w:hAnsi="宋体" w:cs="宋体"/>
          <w:color w:val="auto"/>
          <w:sz w:val="24"/>
          <w:highlight w:val="none"/>
        </w:rPr>
        <w:t>38、每月28日前，向甲方提交下月的员工轮休计划。员工有特殊原因需调休或临时请假的，需提前一天将员工调休或请假书面审批单提交甲方。</w:t>
      </w:r>
    </w:p>
    <w:p w14:paraId="0FE2D2F7">
      <w:pPr>
        <w:tabs>
          <w:tab w:val="left" w:pos="900"/>
        </w:tabs>
        <w:spacing w:line="360" w:lineRule="auto"/>
        <w:ind w:firstLine="482"/>
        <w:rPr>
          <w:rFonts w:ascii="宋体" w:hAnsi="宋体" w:cs="宋体"/>
          <w:color w:val="auto"/>
          <w:sz w:val="24"/>
          <w:highlight w:val="none"/>
        </w:rPr>
      </w:pPr>
      <w:r>
        <w:rPr>
          <w:rFonts w:ascii="宋体" w:hAnsi="宋体" w:cs="宋体"/>
          <w:b/>
          <w:color w:val="auto"/>
          <w:sz w:val="24"/>
          <w:highlight w:val="none"/>
        </w:rPr>
        <w:t>九 、付款的追索</w:t>
      </w:r>
    </w:p>
    <w:p w14:paraId="6EA6D2D3">
      <w:pPr>
        <w:tabs>
          <w:tab w:val="left" w:pos="900"/>
        </w:tabs>
        <w:spacing w:line="360" w:lineRule="auto"/>
        <w:ind w:firstLine="480"/>
        <w:rPr>
          <w:rFonts w:ascii="宋体" w:hAnsi="宋体" w:cs="宋体"/>
          <w:color w:val="auto"/>
          <w:sz w:val="24"/>
          <w:highlight w:val="none"/>
        </w:rPr>
      </w:pPr>
      <w:r>
        <w:rPr>
          <w:rFonts w:ascii="宋体" w:hAnsi="宋体" w:cs="宋体"/>
          <w:color w:val="auto"/>
          <w:sz w:val="24"/>
          <w:highlight w:val="none"/>
        </w:rPr>
        <w:t>1、无论何时有按本合同应向乙方收取的款项或乙方应付款发生，甲方有权在本合同应付或 在将来应付乙方的维序服务费用中扣除，乙方承认此行为是合法的及为其所同意的。</w:t>
      </w:r>
    </w:p>
    <w:p w14:paraId="304A0778">
      <w:pPr>
        <w:tabs>
          <w:tab w:val="left" w:pos="900"/>
        </w:tabs>
        <w:spacing w:line="360" w:lineRule="auto"/>
        <w:ind w:firstLine="480"/>
        <w:rPr>
          <w:rFonts w:ascii="宋体" w:hAnsi="宋体" w:cs="宋体"/>
          <w:b/>
          <w:color w:val="auto"/>
          <w:sz w:val="24"/>
          <w:highlight w:val="none"/>
        </w:rPr>
      </w:pPr>
      <w:r>
        <w:rPr>
          <w:rFonts w:ascii="宋体" w:hAnsi="宋体" w:cs="宋体"/>
          <w:color w:val="auto"/>
          <w:sz w:val="24"/>
          <w:highlight w:val="none"/>
        </w:rPr>
        <w:t>2、在本合同服务期内，若乙方未能按本合同的规定按时、按质地提供维序服务，则甲方有权按本合同之规定，在应付给乙方的维序服务费中扣除相应费用。</w:t>
      </w:r>
    </w:p>
    <w:p w14:paraId="32032D82">
      <w:pPr>
        <w:tabs>
          <w:tab w:val="left" w:pos="900"/>
        </w:tabs>
        <w:spacing w:line="360" w:lineRule="auto"/>
        <w:ind w:firstLine="482"/>
        <w:rPr>
          <w:rFonts w:ascii="宋体" w:hAnsi="宋体" w:cs="宋体"/>
          <w:color w:val="auto"/>
          <w:sz w:val="24"/>
          <w:highlight w:val="none"/>
        </w:rPr>
      </w:pPr>
      <w:r>
        <w:rPr>
          <w:rFonts w:ascii="宋体" w:hAnsi="宋体" w:cs="宋体"/>
          <w:b/>
          <w:color w:val="auto"/>
          <w:sz w:val="24"/>
          <w:highlight w:val="none"/>
        </w:rPr>
        <w:t>十、保密义务</w:t>
      </w:r>
    </w:p>
    <w:p w14:paraId="14BC7389">
      <w:pPr>
        <w:tabs>
          <w:tab w:val="left" w:pos="900"/>
        </w:tabs>
        <w:spacing w:line="360" w:lineRule="auto"/>
        <w:ind w:firstLine="480"/>
        <w:rPr>
          <w:rFonts w:ascii="宋体" w:hAnsi="宋体" w:cs="宋体"/>
          <w:color w:val="auto"/>
          <w:sz w:val="24"/>
          <w:highlight w:val="none"/>
        </w:rPr>
      </w:pPr>
      <w:r>
        <w:rPr>
          <w:rFonts w:ascii="宋体" w:hAnsi="宋体" w:cs="宋体"/>
          <w:color w:val="auto"/>
          <w:sz w:val="24"/>
          <w:highlight w:val="none"/>
        </w:rPr>
        <w:t>对甲方的商业秘密，乙方在此同意：</w:t>
      </w:r>
    </w:p>
    <w:p w14:paraId="3D1C792A">
      <w:pPr>
        <w:tabs>
          <w:tab w:val="left" w:pos="900"/>
        </w:tabs>
        <w:spacing w:line="360" w:lineRule="auto"/>
        <w:ind w:firstLine="480"/>
        <w:rPr>
          <w:rFonts w:ascii="宋体" w:hAnsi="宋体" w:cs="宋体"/>
          <w:color w:val="auto"/>
          <w:sz w:val="24"/>
          <w:highlight w:val="none"/>
        </w:rPr>
      </w:pPr>
      <w:r>
        <w:rPr>
          <w:rFonts w:ascii="宋体" w:hAnsi="宋体" w:cs="宋体"/>
          <w:color w:val="auto"/>
          <w:sz w:val="24"/>
          <w:highlight w:val="none"/>
        </w:rPr>
        <w:t xml:space="preserve">1、严守机密，并采取所有保密措施和制度保护该秘密(包括人员薪资但不仅限于接受方为保护其自有商业秘密所采用的措施和制度) </w:t>
      </w:r>
      <w:r>
        <w:rPr>
          <w:rFonts w:hint="eastAsia" w:ascii="宋体" w:hAnsi="宋体" w:cs="宋体"/>
          <w:color w:val="auto"/>
          <w:sz w:val="24"/>
          <w:highlight w:val="none"/>
        </w:rPr>
        <w:t>。</w:t>
      </w:r>
    </w:p>
    <w:p w14:paraId="38C95C2D">
      <w:pPr>
        <w:tabs>
          <w:tab w:val="left" w:pos="900"/>
        </w:tabs>
        <w:spacing w:line="360" w:lineRule="auto"/>
        <w:ind w:firstLine="480"/>
        <w:rPr>
          <w:rFonts w:ascii="宋体" w:hAnsi="宋体" w:cs="宋体"/>
          <w:color w:val="auto"/>
          <w:sz w:val="24"/>
          <w:highlight w:val="none"/>
        </w:rPr>
      </w:pPr>
      <w:r>
        <w:rPr>
          <w:rFonts w:ascii="宋体" w:hAnsi="宋体" w:cs="宋体"/>
          <w:color w:val="auto"/>
          <w:sz w:val="24"/>
          <w:highlight w:val="none"/>
        </w:rPr>
        <w:t>2、不泄露任何商业秘密给任何第三方</w:t>
      </w:r>
      <w:r>
        <w:rPr>
          <w:rFonts w:hint="eastAsia" w:ascii="宋体" w:hAnsi="宋体" w:cs="宋体"/>
          <w:color w:val="auto"/>
          <w:sz w:val="24"/>
          <w:highlight w:val="none"/>
        </w:rPr>
        <w:t>。</w:t>
      </w:r>
    </w:p>
    <w:p w14:paraId="45ABA721">
      <w:pPr>
        <w:tabs>
          <w:tab w:val="left" w:pos="900"/>
        </w:tabs>
        <w:spacing w:line="360" w:lineRule="auto"/>
        <w:ind w:firstLine="480"/>
        <w:rPr>
          <w:rFonts w:ascii="宋体" w:hAnsi="宋体" w:cs="宋体"/>
          <w:color w:val="auto"/>
          <w:sz w:val="24"/>
          <w:highlight w:val="none"/>
        </w:rPr>
      </w:pPr>
      <w:r>
        <w:rPr>
          <w:rFonts w:ascii="宋体" w:hAnsi="宋体" w:cs="宋体"/>
          <w:color w:val="auto"/>
          <w:sz w:val="24"/>
          <w:highlight w:val="none"/>
        </w:rPr>
        <w:t>3、除用于履行与对方的合同之外，任何时候均不得利用该秘密</w:t>
      </w:r>
      <w:r>
        <w:rPr>
          <w:rFonts w:hint="eastAsia" w:ascii="宋体" w:hAnsi="宋体" w:cs="宋体"/>
          <w:color w:val="auto"/>
          <w:sz w:val="24"/>
          <w:highlight w:val="none"/>
        </w:rPr>
        <w:t>。</w:t>
      </w:r>
    </w:p>
    <w:p w14:paraId="2FE05B7D">
      <w:pPr>
        <w:tabs>
          <w:tab w:val="left" w:pos="900"/>
        </w:tabs>
        <w:spacing w:line="360" w:lineRule="auto"/>
        <w:ind w:firstLine="480"/>
        <w:rPr>
          <w:rFonts w:ascii="宋体" w:hAnsi="宋体" w:cs="宋体"/>
          <w:b/>
          <w:color w:val="auto"/>
          <w:sz w:val="24"/>
          <w:highlight w:val="none"/>
        </w:rPr>
      </w:pPr>
      <w:r>
        <w:rPr>
          <w:rFonts w:ascii="宋体" w:hAnsi="宋体" w:cs="宋体"/>
          <w:color w:val="auto"/>
          <w:sz w:val="24"/>
          <w:highlight w:val="none"/>
        </w:rPr>
        <w:t>4、不复制或通过反向工程使用该秘密。乙方应当与能接触该商业秘密的员工、代理等签订一份保密协议，此协议的实质内容应与本协议相似。</w:t>
      </w:r>
    </w:p>
    <w:p w14:paraId="6FAECF98">
      <w:pPr>
        <w:tabs>
          <w:tab w:val="left" w:pos="900"/>
        </w:tabs>
        <w:spacing w:line="360" w:lineRule="auto"/>
        <w:ind w:firstLine="482"/>
        <w:rPr>
          <w:rFonts w:ascii="宋体" w:hAnsi="宋体" w:cs="宋体"/>
          <w:color w:val="auto"/>
          <w:sz w:val="24"/>
          <w:highlight w:val="none"/>
        </w:rPr>
      </w:pPr>
      <w:r>
        <w:rPr>
          <w:rFonts w:ascii="宋体" w:hAnsi="宋体" w:cs="宋体"/>
          <w:b/>
          <w:color w:val="auto"/>
          <w:sz w:val="24"/>
          <w:highlight w:val="none"/>
        </w:rPr>
        <w:t>十一、即时终止</w:t>
      </w:r>
    </w:p>
    <w:p w14:paraId="6B9B7B9F">
      <w:pPr>
        <w:tabs>
          <w:tab w:val="left" w:pos="900"/>
        </w:tabs>
        <w:spacing w:line="360" w:lineRule="auto"/>
        <w:ind w:firstLine="480"/>
        <w:rPr>
          <w:rFonts w:ascii="宋体" w:hAnsi="宋体" w:cs="宋体"/>
          <w:color w:val="auto"/>
          <w:sz w:val="24"/>
          <w:highlight w:val="none"/>
        </w:rPr>
      </w:pPr>
      <w:r>
        <w:rPr>
          <w:rFonts w:ascii="宋体" w:hAnsi="宋体" w:cs="宋体"/>
          <w:color w:val="auto"/>
          <w:sz w:val="24"/>
          <w:highlight w:val="none"/>
        </w:rPr>
        <w:t>1、如遇下列事项，甲方可随时发出书面通知解除本合同，并无需对乙方支付赔偿：</w:t>
      </w:r>
    </w:p>
    <w:p w14:paraId="71614C2A">
      <w:pPr>
        <w:tabs>
          <w:tab w:val="left" w:pos="900"/>
        </w:tabs>
        <w:spacing w:line="360" w:lineRule="auto"/>
        <w:ind w:firstLine="480"/>
        <w:rPr>
          <w:rFonts w:ascii="宋体" w:hAnsi="宋体" w:cs="宋体"/>
          <w:color w:val="auto"/>
          <w:sz w:val="24"/>
          <w:highlight w:val="none"/>
        </w:rPr>
      </w:pPr>
      <w:r>
        <w:rPr>
          <w:rFonts w:ascii="宋体" w:hAnsi="宋体" w:cs="宋体"/>
          <w:color w:val="auto"/>
          <w:sz w:val="24"/>
          <w:highlight w:val="none"/>
        </w:rPr>
        <w:t>◇乙方放弃本合同或乙方提供的服务未达到合同/甲方要求，或公然不履行本合同规定的义务；</w:t>
      </w:r>
    </w:p>
    <w:p w14:paraId="1B753F5D">
      <w:pPr>
        <w:tabs>
          <w:tab w:val="left" w:pos="900"/>
        </w:tabs>
        <w:spacing w:line="360" w:lineRule="auto"/>
        <w:ind w:firstLine="480"/>
        <w:rPr>
          <w:rFonts w:ascii="宋体" w:hAnsi="宋体" w:cs="宋体"/>
          <w:color w:val="auto"/>
          <w:sz w:val="24"/>
          <w:highlight w:val="none"/>
        </w:rPr>
      </w:pPr>
      <w:r>
        <w:rPr>
          <w:rFonts w:ascii="宋体" w:hAnsi="宋体" w:cs="宋体"/>
          <w:color w:val="auto"/>
          <w:sz w:val="24"/>
          <w:highlight w:val="none"/>
        </w:rPr>
        <w:t>◇乙方宣告破产；</w:t>
      </w:r>
    </w:p>
    <w:p w14:paraId="190026EC">
      <w:pPr>
        <w:tabs>
          <w:tab w:val="left" w:pos="900"/>
        </w:tabs>
        <w:spacing w:line="360" w:lineRule="auto"/>
        <w:ind w:firstLine="480"/>
        <w:rPr>
          <w:rFonts w:ascii="宋体" w:hAnsi="宋体" w:cs="宋体"/>
          <w:color w:val="auto"/>
          <w:sz w:val="24"/>
          <w:highlight w:val="none"/>
        </w:rPr>
      </w:pPr>
      <w:r>
        <w:rPr>
          <w:rFonts w:ascii="宋体" w:hAnsi="宋体" w:cs="宋体"/>
          <w:color w:val="auto"/>
          <w:sz w:val="24"/>
          <w:highlight w:val="none"/>
        </w:rPr>
        <w:t>◇乙方通过清算决议，指定了接管人或经理人；</w:t>
      </w:r>
    </w:p>
    <w:p w14:paraId="00425B86">
      <w:pPr>
        <w:tabs>
          <w:tab w:val="left" w:pos="900"/>
        </w:tabs>
        <w:spacing w:line="360" w:lineRule="auto"/>
        <w:ind w:firstLine="480"/>
        <w:rPr>
          <w:rFonts w:ascii="宋体" w:hAnsi="宋体" w:cs="宋体"/>
          <w:color w:val="auto"/>
          <w:sz w:val="24"/>
          <w:highlight w:val="none"/>
        </w:rPr>
      </w:pPr>
      <w:r>
        <w:rPr>
          <w:rFonts w:ascii="宋体" w:hAnsi="宋体" w:cs="宋体"/>
          <w:color w:val="auto"/>
          <w:sz w:val="24"/>
          <w:highlight w:val="none"/>
        </w:rPr>
        <w:t>◇本合同约定之有关甲方可单方通知解除合同的条款。</w:t>
      </w:r>
    </w:p>
    <w:p w14:paraId="348439EA">
      <w:pPr>
        <w:tabs>
          <w:tab w:val="left" w:pos="900"/>
        </w:tabs>
        <w:spacing w:line="360" w:lineRule="auto"/>
        <w:ind w:firstLine="480"/>
        <w:rPr>
          <w:rFonts w:ascii="宋体" w:hAnsi="宋体" w:cs="宋体"/>
          <w:color w:val="auto"/>
          <w:sz w:val="24"/>
          <w:highlight w:val="none"/>
        </w:rPr>
      </w:pPr>
      <w:r>
        <w:rPr>
          <w:rFonts w:ascii="宋体" w:hAnsi="宋体" w:cs="宋体"/>
          <w:color w:val="auto"/>
          <w:sz w:val="24"/>
          <w:highlight w:val="none"/>
        </w:rPr>
        <w:t>但在任何情况下，此类终止不应削减或影响已经积累的或此后将要积累的乙方对甲方及其它第三方的赔偿责任或甲方诉讼的权利。在任何情况下，乙方不得向甲方提出任何补偿或相关的要求。</w:t>
      </w:r>
    </w:p>
    <w:p w14:paraId="2C98E661">
      <w:pPr>
        <w:tabs>
          <w:tab w:val="left" w:pos="900"/>
        </w:tabs>
        <w:spacing w:line="360" w:lineRule="auto"/>
        <w:ind w:firstLine="480"/>
        <w:rPr>
          <w:rFonts w:ascii="宋体" w:hAnsi="宋体" w:cs="宋体"/>
          <w:b/>
          <w:color w:val="auto"/>
          <w:sz w:val="24"/>
          <w:highlight w:val="none"/>
        </w:rPr>
      </w:pPr>
      <w:r>
        <w:rPr>
          <w:rFonts w:ascii="宋体" w:hAnsi="宋体" w:cs="宋体"/>
          <w:color w:val="auto"/>
          <w:sz w:val="24"/>
          <w:highlight w:val="none"/>
        </w:rPr>
        <w:t>2、在第十一条第1款规定的任何一种情况下，或当乙方未按本合同或甲方要求履行义务时，甲方可另行雇佣维序员并向其付款或安排自己的员工执行并完成岗位服务，并可购买为完成工作所需的所有材料，其立即终止本合同的权利并不受影响。在此情况下，甲方将对完成工作的价值进行评估，并有权向乙方追索有关款项。</w:t>
      </w:r>
    </w:p>
    <w:p w14:paraId="3E1DEE0C">
      <w:pPr>
        <w:tabs>
          <w:tab w:val="left" w:pos="900"/>
        </w:tabs>
        <w:spacing w:line="360" w:lineRule="auto"/>
        <w:ind w:firstLine="482"/>
        <w:rPr>
          <w:rFonts w:ascii="宋体" w:hAnsi="宋体" w:cs="宋体"/>
          <w:color w:val="auto"/>
          <w:sz w:val="24"/>
          <w:highlight w:val="none"/>
        </w:rPr>
      </w:pPr>
      <w:r>
        <w:rPr>
          <w:rFonts w:ascii="宋体" w:hAnsi="宋体" w:cs="宋体"/>
          <w:b/>
          <w:color w:val="auto"/>
          <w:sz w:val="24"/>
          <w:highlight w:val="none"/>
        </w:rPr>
        <w:t>十二、合同的延续与终止</w:t>
      </w:r>
    </w:p>
    <w:p w14:paraId="7FAB069A">
      <w:pPr>
        <w:tabs>
          <w:tab w:val="left" w:pos="900"/>
        </w:tabs>
        <w:spacing w:line="360" w:lineRule="auto"/>
        <w:ind w:firstLine="480"/>
        <w:rPr>
          <w:rFonts w:ascii="宋体" w:hAnsi="宋体" w:cs="宋体"/>
          <w:color w:val="auto"/>
          <w:sz w:val="24"/>
          <w:highlight w:val="none"/>
        </w:rPr>
      </w:pPr>
      <w:r>
        <w:rPr>
          <w:rFonts w:ascii="宋体" w:hAnsi="宋体" w:cs="宋体"/>
          <w:color w:val="auto"/>
          <w:sz w:val="24"/>
          <w:highlight w:val="none"/>
        </w:rPr>
        <w:t>1、本合同生效后，若乙方单方面要求解除合同的，须于终止日前至少60个自然日以书面方式通知甲方，同时应向甲方支付相当于本合同期限内总计维序服务费用5%的违约金；若乙方未在终止日前60个自然日以书面方式通知甲方，则应向甲方支付相当于本合同期限内维序服务总费用10%的违约金并赔偿甲方因此所造成的一切损失。前述违约金及损失赔偿金，甲方有权直接从应支付乙方的费用中扣除。</w:t>
      </w:r>
    </w:p>
    <w:p w14:paraId="2FDAB495">
      <w:pPr>
        <w:tabs>
          <w:tab w:val="left" w:pos="900"/>
        </w:tabs>
        <w:spacing w:line="360" w:lineRule="auto"/>
        <w:ind w:firstLine="480"/>
        <w:rPr>
          <w:rFonts w:ascii="宋体" w:hAnsi="宋体" w:cs="宋体"/>
          <w:color w:val="auto"/>
          <w:sz w:val="24"/>
          <w:highlight w:val="none"/>
        </w:rPr>
      </w:pPr>
      <w:r>
        <w:rPr>
          <w:rFonts w:ascii="宋体" w:hAnsi="宋体" w:cs="宋体"/>
          <w:color w:val="auto"/>
          <w:sz w:val="24"/>
          <w:highlight w:val="none"/>
        </w:rPr>
        <w:t>2、在本合同有效期内，若乙方提供之服务不符合甲方标准，甲方在给予乙方30天书面通知的情况下，可提前终止合同，乙方不得因此要求甲方给予任何赔偿。</w:t>
      </w:r>
    </w:p>
    <w:p w14:paraId="0371DAC0">
      <w:pPr>
        <w:tabs>
          <w:tab w:val="left" w:pos="900"/>
        </w:tabs>
        <w:spacing w:line="360" w:lineRule="auto"/>
        <w:ind w:firstLine="480"/>
        <w:rPr>
          <w:rFonts w:ascii="宋体" w:hAnsi="宋体" w:cs="宋体"/>
          <w:color w:val="auto"/>
          <w:sz w:val="24"/>
          <w:highlight w:val="none"/>
        </w:rPr>
      </w:pPr>
      <w:r>
        <w:rPr>
          <w:rFonts w:ascii="宋体" w:hAnsi="宋体" w:cs="宋体"/>
          <w:color w:val="auto"/>
          <w:sz w:val="24"/>
          <w:highlight w:val="none"/>
        </w:rPr>
        <w:t>3、若非甲方原因，乙方未能履行本合同规定的服务内容及义务，在接到甲方发出的书面通知或工作指示之后五个工作日内仍不采取有效措施改善。经双方协商如未能跟进及改善有关项目，甲方有权向乙方提前30天书面通知提前终止本合同，并可要求乙方赔偿甲方因此遭受的损失。</w:t>
      </w:r>
    </w:p>
    <w:p w14:paraId="053BD8FE">
      <w:pPr>
        <w:tabs>
          <w:tab w:val="left" w:pos="900"/>
        </w:tabs>
        <w:spacing w:line="360" w:lineRule="auto"/>
        <w:ind w:firstLine="480"/>
        <w:rPr>
          <w:rFonts w:ascii="宋体" w:hAnsi="宋体" w:cs="宋体"/>
          <w:color w:val="auto"/>
          <w:sz w:val="24"/>
          <w:highlight w:val="none"/>
        </w:rPr>
      </w:pPr>
      <w:r>
        <w:rPr>
          <w:rFonts w:ascii="宋体" w:hAnsi="宋体" w:cs="宋体"/>
          <w:color w:val="auto"/>
          <w:sz w:val="24"/>
          <w:highlight w:val="none"/>
        </w:rPr>
        <w:t>4、在本合同到期前，甲方可提前30天向乙方书面通知续签合同。</w:t>
      </w:r>
    </w:p>
    <w:p w14:paraId="5F7DE53B">
      <w:pPr>
        <w:tabs>
          <w:tab w:val="left" w:pos="900"/>
        </w:tabs>
        <w:spacing w:line="360" w:lineRule="auto"/>
        <w:ind w:firstLine="480"/>
        <w:rPr>
          <w:rFonts w:ascii="宋体" w:hAnsi="宋体" w:cs="宋体"/>
          <w:color w:val="auto"/>
          <w:sz w:val="24"/>
          <w:highlight w:val="none"/>
        </w:rPr>
      </w:pPr>
      <w:r>
        <w:rPr>
          <w:rFonts w:ascii="宋体" w:hAnsi="宋体" w:cs="宋体"/>
          <w:color w:val="auto"/>
          <w:sz w:val="24"/>
          <w:highlight w:val="none"/>
        </w:rPr>
        <w:t>5、如甲方在管项目因政府或与业主单位服务合同到期或不续约，甲方与乙方所签订的合同自动解除，所产生费用按实际服务时间结算，甲方不承担违约责任。</w:t>
      </w:r>
    </w:p>
    <w:p w14:paraId="64F28A5C">
      <w:pPr>
        <w:tabs>
          <w:tab w:val="left" w:pos="900"/>
        </w:tabs>
        <w:spacing w:line="360" w:lineRule="auto"/>
        <w:ind w:firstLine="480"/>
        <w:rPr>
          <w:rFonts w:ascii="宋体" w:hAnsi="宋体" w:cs="宋体"/>
          <w:color w:val="auto"/>
          <w:sz w:val="24"/>
          <w:highlight w:val="none"/>
        </w:rPr>
      </w:pPr>
      <w:r>
        <w:rPr>
          <w:rFonts w:ascii="宋体" w:hAnsi="宋体" w:cs="宋体"/>
          <w:color w:val="auto"/>
          <w:sz w:val="24"/>
          <w:highlight w:val="none"/>
        </w:rPr>
        <w:t>十三、违约责任</w:t>
      </w:r>
    </w:p>
    <w:p w14:paraId="73074730">
      <w:pPr>
        <w:tabs>
          <w:tab w:val="left" w:pos="900"/>
        </w:tabs>
        <w:spacing w:line="360" w:lineRule="auto"/>
        <w:ind w:firstLine="480"/>
        <w:rPr>
          <w:rFonts w:ascii="宋体" w:hAnsi="宋体" w:cs="宋体"/>
          <w:color w:val="auto"/>
          <w:sz w:val="24"/>
          <w:highlight w:val="none"/>
        </w:rPr>
      </w:pPr>
      <w:r>
        <w:rPr>
          <w:rFonts w:ascii="宋体" w:hAnsi="宋体" w:cs="宋体"/>
          <w:color w:val="auto"/>
          <w:sz w:val="24"/>
          <w:highlight w:val="none"/>
        </w:rPr>
        <w:t>1、甲方或其代表有权按本合同及其附件之约定随时对维序服务质量进行检查，发现不合格项将填写《不合格服务通知单》交乙方驻场管理人员签字，乙方应在48小时内作出答复及整改，就同类事件若当月开具整改单三次后经甲方发出期限要求整改，乙方整改仍未达到本合同要求的服务标准，则甲方有权拒付</w:t>
      </w:r>
      <w:r>
        <w:rPr>
          <w:rFonts w:hint="eastAsia" w:ascii="宋体" w:hAnsi="宋体" w:cs="宋体"/>
          <w:color w:val="auto"/>
          <w:sz w:val="24"/>
          <w:highlight w:val="none"/>
          <w:lang w:val="en-US" w:eastAsia="zh-CN"/>
        </w:rPr>
        <w:t>本</w:t>
      </w:r>
      <w:r>
        <w:rPr>
          <w:rFonts w:ascii="宋体" w:hAnsi="宋体" w:cs="宋体"/>
          <w:color w:val="auto"/>
          <w:sz w:val="24"/>
          <w:highlight w:val="none"/>
        </w:rPr>
        <w:t>月的款项，并有权单方面解除本合同，并保留要求乙方赔偿的权利。</w:t>
      </w:r>
    </w:p>
    <w:p w14:paraId="08C40B04">
      <w:pPr>
        <w:tabs>
          <w:tab w:val="left" w:pos="900"/>
        </w:tabs>
        <w:spacing w:line="360" w:lineRule="auto"/>
        <w:ind w:firstLine="480"/>
        <w:rPr>
          <w:rFonts w:ascii="宋体" w:hAnsi="宋体" w:cs="宋体"/>
          <w:color w:val="auto"/>
          <w:sz w:val="24"/>
          <w:highlight w:val="none"/>
        </w:rPr>
      </w:pPr>
      <w:r>
        <w:rPr>
          <w:rFonts w:ascii="宋体" w:hAnsi="宋体" w:cs="宋体"/>
          <w:color w:val="auto"/>
          <w:sz w:val="24"/>
          <w:highlight w:val="none"/>
        </w:rPr>
        <w:t>2、若每月发生甲方发出《不合格服务通知单》之情况(本合同第六条第7款例外),如同类不合格服务事件累计发生二次将扣除乙方当月总维序服务费之1%作为违约金，累计发生三次，扣除乙方当月总维序服务费之2%作为违约金，累计发生四次，则扣除乙方当月总维序服务费之3%作为违约金；累计发生五次，则扣除乙方当月总维序服务费之4%作为违约金，以此类推。累计发生3次以上甲方有权单方提前解除合同(本条款与第1条不冲突，甲方可并行处罚)。</w:t>
      </w:r>
    </w:p>
    <w:p w14:paraId="4235FD13">
      <w:pPr>
        <w:tabs>
          <w:tab w:val="left" w:pos="900"/>
        </w:tabs>
        <w:spacing w:line="360" w:lineRule="auto"/>
        <w:ind w:firstLine="480"/>
        <w:rPr>
          <w:rFonts w:ascii="宋体" w:hAnsi="宋体" w:cs="宋体"/>
          <w:color w:val="auto"/>
          <w:sz w:val="24"/>
          <w:highlight w:val="none"/>
        </w:rPr>
      </w:pPr>
      <w:r>
        <w:rPr>
          <w:rFonts w:ascii="宋体" w:hAnsi="宋体" w:cs="宋体"/>
          <w:color w:val="auto"/>
          <w:sz w:val="24"/>
          <w:highlight w:val="none"/>
        </w:rPr>
        <w:t>3、为保证甲方的服务质量，乙方应每月按照与员工签订的劳动合同之金额按时发放工资及福利等，不得影响员工工作态度及其服务质量，并给甲方企业形象带来负面影响。如在服务过程中乙方逾期发放维序服务人员工资及福利，并发生乙方员工不按照本合同约定的服务质量提供服务或停止服务，以及发生乙方员工到甲方服务区域进行维权或起诉等行为，甲方有权单方面解除本合同，并保留要求乙方赔偿的权利。</w:t>
      </w:r>
    </w:p>
    <w:p w14:paraId="653CD1BB">
      <w:pPr>
        <w:tabs>
          <w:tab w:val="left" w:pos="900"/>
        </w:tabs>
        <w:spacing w:line="360" w:lineRule="auto"/>
        <w:ind w:firstLine="480"/>
        <w:rPr>
          <w:rFonts w:ascii="宋体" w:hAnsi="宋体" w:cs="宋体"/>
          <w:color w:val="auto"/>
          <w:sz w:val="24"/>
          <w:highlight w:val="none"/>
        </w:rPr>
      </w:pPr>
      <w:r>
        <w:rPr>
          <w:rFonts w:ascii="宋体" w:hAnsi="宋体" w:cs="宋体"/>
          <w:color w:val="auto"/>
          <w:sz w:val="24"/>
          <w:highlight w:val="none"/>
        </w:rPr>
        <w:t>4、乙方不能按本合同约定向所属项目区域内派遣足够</w:t>
      </w:r>
      <w:r>
        <w:rPr>
          <w:rFonts w:hint="eastAsia" w:ascii="宋体" w:hAnsi="宋体" w:cs="宋体"/>
          <w:color w:val="auto"/>
          <w:sz w:val="24"/>
          <w:highlight w:val="none"/>
          <w:lang w:val="en-US" w:eastAsia="zh-CN"/>
        </w:rPr>
        <w:t>岗位数量</w:t>
      </w:r>
      <w:r>
        <w:rPr>
          <w:rFonts w:ascii="宋体" w:hAnsi="宋体" w:cs="宋体"/>
          <w:color w:val="auto"/>
          <w:sz w:val="24"/>
          <w:highlight w:val="none"/>
        </w:rPr>
        <w:t>的在岗维序人员属于违约行为。并且甲方根据本合同，有权解除本合同，所有因此产生的损失概由乙方承担。同时，为保证服务质量，乙方所派驻的维序员不能连续工作超过相关法规限定的持续工作时限。</w:t>
      </w:r>
    </w:p>
    <w:p w14:paraId="12C0F1D1">
      <w:pPr>
        <w:tabs>
          <w:tab w:val="left" w:pos="900"/>
        </w:tabs>
        <w:spacing w:line="360" w:lineRule="auto"/>
        <w:ind w:firstLine="480"/>
        <w:rPr>
          <w:rFonts w:ascii="宋体" w:hAnsi="宋体" w:cs="宋体"/>
          <w:color w:val="auto"/>
          <w:sz w:val="24"/>
          <w:highlight w:val="none"/>
        </w:rPr>
      </w:pPr>
      <w:r>
        <w:rPr>
          <w:rFonts w:ascii="宋体" w:hAnsi="宋体" w:cs="宋体"/>
          <w:color w:val="auto"/>
          <w:sz w:val="24"/>
          <w:highlight w:val="none"/>
        </w:rPr>
        <w:t>5、甲方对乙方维序人员的岗位服务及操作规程可以进行督促、检查，甲方依据合同约定雇佣其他任何所需人员进行上述维序服务，所需之一切维序费用，甲方有权从当月之乙方维序总服务费用中予以扣除。同时，乙方应赔偿甲方因此而遭受的一切损失。如遇乙方发生重大事故对甲方造成恶劣影响，或在服务过程中乙方员工发生刑事案件等情况，甲方有权单方面解除本合同，并保留要求乙方赔偿的权利。</w:t>
      </w:r>
    </w:p>
    <w:p w14:paraId="5AED9019">
      <w:pPr>
        <w:tabs>
          <w:tab w:val="left" w:pos="900"/>
        </w:tabs>
        <w:spacing w:line="360" w:lineRule="auto"/>
        <w:ind w:firstLine="480"/>
        <w:rPr>
          <w:rFonts w:ascii="宋体" w:hAnsi="宋体" w:cs="宋体"/>
          <w:color w:val="auto"/>
          <w:sz w:val="24"/>
          <w:highlight w:val="none"/>
        </w:rPr>
      </w:pPr>
      <w:r>
        <w:rPr>
          <w:rFonts w:ascii="宋体" w:hAnsi="宋体" w:cs="宋体"/>
          <w:color w:val="auto"/>
          <w:sz w:val="24"/>
          <w:highlight w:val="none"/>
        </w:rPr>
        <w:t>6、对甲方及业主/租户投诉所属项目维序不合格事宜，乙方应立即整改，并对岗位服务安排作出检讨及调整。若每月发生两次业主/租户投诉同类不合格事宜，甲方有权在当月总维序服务费用内扣除1%的费用作为违约金；累计发生三次，在当月总维序服务费用中扣除2%作为违约金；累计发生四次，在当月总维序服务费用中扣除3%作为违约金，以此类推，累计发生3次以上甲方有权单方提前解除合同。</w:t>
      </w:r>
    </w:p>
    <w:p w14:paraId="40AA8965">
      <w:pPr>
        <w:tabs>
          <w:tab w:val="left" w:pos="900"/>
        </w:tabs>
        <w:spacing w:line="360" w:lineRule="auto"/>
        <w:ind w:firstLine="480"/>
        <w:rPr>
          <w:rFonts w:ascii="宋体" w:hAnsi="宋体" w:cs="宋体"/>
          <w:color w:val="auto"/>
          <w:sz w:val="24"/>
          <w:highlight w:val="none"/>
        </w:rPr>
      </w:pPr>
      <w:r>
        <w:rPr>
          <w:rFonts w:ascii="宋体" w:hAnsi="宋体" w:cs="宋体"/>
          <w:color w:val="auto"/>
          <w:sz w:val="24"/>
          <w:highlight w:val="none"/>
        </w:rPr>
        <w:t>7、在执行本合同时，如因乙方及其员工原因导致甲方或第三者人身/财产受损，乙方须自行负责，并赔偿甲方所遭受之一切损失；如确因乙方人员失职、渎职造成事故和损失，由乙方根据事故的性质和情节，给予责任者应有处分，直至依法追究法律责任。</w:t>
      </w:r>
    </w:p>
    <w:p w14:paraId="63C18609">
      <w:pPr>
        <w:tabs>
          <w:tab w:val="left" w:pos="900"/>
        </w:tabs>
        <w:spacing w:line="360" w:lineRule="auto"/>
        <w:ind w:firstLine="480"/>
        <w:rPr>
          <w:rFonts w:ascii="宋体" w:hAnsi="宋体" w:cs="宋体"/>
          <w:color w:val="auto"/>
          <w:sz w:val="24"/>
          <w:highlight w:val="none"/>
        </w:rPr>
      </w:pPr>
      <w:r>
        <w:rPr>
          <w:rFonts w:ascii="宋体" w:hAnsi="宋体" w:cs="宋体"/>
          <w:color w:val="auto"/>
          <w:sz w:val="24"/>
          <w:highlight w:val="none"/>
        </w:rPr>
        <w:t>8、若在本合同履行过程中，乙方出现本条第2、6款规定的违约行为累计达三次(含三次)以上，甲方有权单方面解除本合同，乙方不得因此要求甲方给予任何赔偿。同时甲方因此而遭受的损失，乙方应负责赔偿。</w:t>
      </w:r>
    </w:p>
    <w:p w14:paraId="42CB2219">
      <w:pPr>
        <w:tabs>
          <w:tab w:val="left" w:pos="900"/>
        </w:tabs>
        <w:spacing w:line="360" w:lineRule="auto"/>
        <w:ind w:firstLine="480"/>
        <w:rPr>
          <w:rFonts w:ascii="宋体" w:hAnsi="宋体" w:cs="宋体"/>
          <w:color w:val="auto"/>
          <w:sz w:val="24"/>
          <w:highlight w:val="none"/>
        </w:rPr>
      </w:pPr>
      <w:r>
        <w:rPr>
          <w:rFonts w:ascii="宋体" w:hAnsi="宋体" w:cs="宋体"/>
          <w:color w:val="auto"/>
          <w:sz w:val="24"/>
          <w:highlight w:val="none"/>
        </w:rPr>
        <w:t>9、签订本合同后，如乙方非当地公司或在当地没有分公司，请在签订合同1个月内前往本地公安机关完成本合同备案。</w:t>
      </w:r>
    </w:p>
    <w:p w14:paraId="1876DCA5">
      <w:pPr>
        <w:tabs>
          <w:tab w:val="left" w:pos="900"/>
        </w:tabs>
        <w:spacing w:line="360" w:lineRule="auto"/>
        <w:ind w:firstLine="480"/>
        <w:rPr>
          <w:rFonts w:ascii="宋体" w:hAnsi="宋体" w:cs="宋体"/>
          <w:b/>
          <w:color w:val="auto"/>
          <w:sz w:val="24"/>
          <w:highlight w:val="none"/>
        </w:rPr>
      </w:pPr>
      <w:r>
        <w:rPr>
          <w:rFonts w:ascii="宋体" w:hAnsi="宋体" w:cs="宋体"/>
          <w:color w:val="auto"/>
          <w:sz w:val="24"/>
          <w:highlight w:val="none"/>
        </w:rPr>
        <w:t>10、乙方应告知并确保安排到所属项目服务区域的员工与甲方不存在任何劳动合同关系、劳动派遣关系或用工关系。若因乙方员工向甲方提出或向劳动仲裁委员会及/或人民法院提起有关与甲方劳动关系的纠纷而致使甲方遭受损失(包括但不限于仲裁费、律师费、诉讼费</w:t>
      </w:r>
      <w:r>
        <w:rPr>
          <w:rFonts w:hint="eastAsia" w:ascii="宋体" w:hAnsi="宋体" w:cs="宋体"/>
          <w:color w:val="auto"/>
          <w:sz w:val="24"/>
          <w:highlight w:val="none"/>
        </w:rPr>
        <w:t>、保全费、保全保险费、差旅费</w:t>
      </w:r>
      <w:r>
        <w:rPr>
          <w:rFonts w:ascii="宋体" w:hAnsi="宋体" w:cs="宋体"/>
          <w:color w:val="auto"/>
          <w:sz w:val="24"/>
          <w:highlight w:val="none"/>
        </w:rPr>
        <w:t>等),乙方应承担甲方的一切损失。</w:t>
      </w:r>
    </w:p>
    <w:p w14:paraId="62FF8FC6">
      <w:pPr>
        <w:tabs>
          <w:tab w:val="left" w:pos="900"/>
        </w:tabs>
        <w:spacing w:line="360" w:lineRule="auto"/>
        <w:ind w:firstLine="482"/>
        <w:rPr>
          <w:rFonts w:ascii="宋体" w:hAnsi="宋体" w:cs="宋体"/>
          <w:color w:val="auto"/>
          <w:sz w:val="24"/>
          <w:highlight w:val="none"/>
        </w:rPr>
      </w:pPr>
      <w:r>
        <w:rPr>
          <w:rFonts w:ascii="宋体" w:hAnsi="宋体" w:cs="宋体"/>
          <w:b/>
          <w:color w:val="auto"/>
          <w:sz w:val="24"/>
          <w:highlight w:val="none"/>
        </w:rPr>
        <w:t>十四、员工制服及工作证</w:t>
      </w:r>
    </w:p>
    <w:p w14:paraId="44544ECD">
      <w:pPr>
        <w:tabs>
          <w:tab w:val="left" w:pos="900"/>
        </w:tabs>
        <w:spacing w:line="360" w:lineRule="auto"/>
        <w:ind w:firstLine="480"/>
        <w:rPr>
          <w:rFonts w:ascii="宋体" w:hAnsi="宋体" w:cs="宋体"/>
          <w:color w:val="auto"/>
          <w:sz w:val="24"/>
          <w:highlight w:val="none"/>
        </w:rPr>
      </w:pPr>
      <w:r>
        <w:rPr>
          <w:rFonts w:ascii="宋体" w:hAnsi="宋体" w:cs="宋体"/>
          <w:color w:val="auto"/>
          <w:sz w:val="24"/>
          <w:highlight w:val="none"/>
        </w:rPr>
        <w:t>1、甲方提供应项目管理制服款式由乙方自行购买制服(制服须款式须按甲方要求统一穿戴),员工在岗当值及所属项目范围内，必须穿着整齐、清洁、完整的制服。员工之工牌证亦佩戴于指定或明显位置。</w:t>
      </w:r>
    </w:p>
    <w:p w14:paraId="7AB32FAD">
      <w:pPr>
        <w:tabs>
          <w:tab w:val="left" w:pos="900"/>
        </w:tabs>
        <w:spacing w:line="360" w:lineRule="auto"/>
        <w:ind w:firstLine="480"/>
        <w:rPr>
          <w:rFonts w:ascii="宋体" w:hAnsi="宋体" w:cs="宋体"/>
          <w:color w:val="auto"/>
          <w:sz w:val="24"/>
          <w:highlight w:val="none"/>
        </w:rPr>
      </w:pPr>
      <w:r>
        <w:rPr>
          <w:rFonts w:ascii="宋体" w:hAnsi="宋体" w:cs="宋体"/>
          <w:color w:val="auto"/>
          <w:sz w:val="24"/>
          <w:highlight w:val="none"/>
        </w:rPr>
        <w:t>2、乙方员工在所属项目内，必须整齐地将员工之工牌佩戴在左襟上；头发整齐清洁；制服须整齐干净。服务时间不得与同事闲谈或聚众聊天、或躲在厕所内；不准在公众区域吸烟；避免使用客用电梯及设备。</w:t>
      </w:r>
    </w:p>
    <w:p w14:paraId="598E728E">
      <w:pPr>
        <w:tabs>
          <w:tab w:val="left" w:pos="900"/>
        </w:tabs>
        <w:spacing w:line="360" w:lineRule="auto"/>
        <w:ind w:firstLine="480"/>
        <w:rPr>
          <w:rFonts w:ascii="宋体" w:hAnsi="宋体" w:cs="宋体"/>
          <w:b/>
          <w:color w:val="auto"/>
          <w:sz w:val="24"/>
          <w:highlight w:val="none"/>
        </w:rPr>
      </w:pPr>
      <w:r>
        <w:rPr>
          <w:rFonts w:ascii="宋体" w:hAnsi="宋体" w:cs="宋体"/>
          <w:color w:val="auto"/>
          <w:sz w:val="24"/>
          <w:highlight w:val="none"/>
        </w:rPr>
        <w:t>3、乙方派驻项目的维序人员，若工牌或工作证及相关维序的设施设备(包括但不限于对讲机、消防器材等)丢失，乙方</w:t>
      </w:r>
      <w:r>
        <w:rPr>
          <w:rFonts w:hint="eastAsia" w:ascii="宋体" w:hAnsi="宋体" w:cs="宋体"/>
          <w:color w:val="auto"/>
          <w:sz w:val="24"/>
          <w:highlight w:val="none"/>
        </w:rPr>
        <w:t>按原</w:t>
      </w:r>
      <w:r>
        <w:rPr>
          <w:rFonts w:ascii="宋体" w:hAnsi="宋体" w:cs="宋体"/>
          <w:color w:val="auto"/>
          <w:sz w:val="24"/>
          <w:highlight w:val="none"/>
        </w:rPr>
        <w:t>价赔偿。</w:t>
      </w:r>
    </w:p>
    <w:p w14:paraId="6C1DFEE8">
      <w:pPr>
        <w:tabs>
          <w:tab w:val="left" w:pos="900"/>
        </w:tabs>
        <w:spacing w:line="360" w:lineRule="auto"/>
        <w:ind w:firstLine="482"/>
        <w:rPr>
          <w:rFonts w:ascii="宋体" w:hAnsi="宋体" w:cs="宋体"/>
          <w:color w:val="auto"/>
          <w:sz w:val="24"/>
          <w:highlight w:val="none"/>
        </w:rPr>
      </w:pPr>
      <w:r>
        <w:rPr>
          <w:rFonts w:ascii="宋体" w:hAnsi="宋体" w:cs="宋体"/>
          <w:b/>
          <w:color w:val="auto"/>
          <w:sz w:val="24"/>
          <w:highlight w:val="none"/>
        </w:rPr>
        <w:t>十五、礼貌、仪表、仪容标准</w:t>
      </w:r>
    </w:p>
    <w:p w14:paraId="5FFD1CB8">
      <w:pPr>
        <w:tabs>
          <w:tab w:val="left" w:pos="900"/>
        </w:tabs>
        <w:spacing w:line="360" w:lineRule="auto"/>
        <w:ind w:firstLine="480"/>
        <w:rPr>
          <w:rFonts w:ascii="宋体" w:hAnsi="宋体" w:cs="宋体"/>
          <w:color w:val="auto"/>
          <w:sz w:val="24"/>
          <w:highlight w:val="none"/>
        </w:rPr>
      </w:pPr>
      <w:r>
        <w:rPr>
          <w:rFonts w:ascii="宋体" w:hAnsi="宋体" w:cs="宋体"/>
          <w:color w:val="auto"/>
          <w:sz w:val="24"/>
          <w:highlight w:val="none"/>
        </w:rPr>
        <w:t>1、乙方提供的维序人员应确保个人形象为：</w:t>
      </w:r>
    </w:p>
    <w:p w14:paraId="0E9CF816">
      <w:pPr>
        <w:tabs>
          <w:tab w:val="left" w:pos="900"/>
        </w:tabs>
        <w:spacing w:line="360" w:lineRule="auto"/>
        <w:ind w:firstLine="480"/>
        <w:rPr>
          <w:rFonts w:ascii="宋体" w:hAnsi="宋体" w:cs="宋体"/>
          <w:color w:val="auto"/>
          <w:sz w:val="24"/>
          <w:highlight w:val="none"/>
        </w:rPr>
      </w:pPr>
      <w:r>
        <w:rPr>
          <w:rFonts w:ascii="宋体" w:hAnsi="宋体" w:cs="宋体"/>
          <w:color w:val="auto"/>
          <w:sz w:val="24"/>
          <w:highlight w:val="none"/>
        </w:rPr>
        <w:t>(1)保持仪容、仪表大方，着装整齐。</w:t>
      </w:r>
    </w:p>
    <w:p w14:paraId="4D8CFD2D">
      <w:pPr>
        <w:tabs>
          <w:tab w:val="left" w:pos="900"/>
        </w:tabs>
        <w:spacing w:line="360" w:lineRule="auto"/>
        <w:ind w:firstLine="480"/>
        <w:rPr>
          <w:rFonts w:ascii="宋体" w:hAnsi="宋体" w:cs="宋体"/>
          <w:color w:val="auto"/>
          <w:sz w:val="24"/>
          <w:highlight w:val="none"/>
        </w:rPr>
      </w:pPr>
      <w:r>
        <w:rPr>
          <w:rFonts w:ascii="宋体" w:hAnsi="宋体" w:cs="宋体"/>
          <w:color w:val="auto"/>
          <w:sz w:val="24"/>
          <w:highlight w:val="none"/>
        </w:rPr>
        <w:t>(2)使用普通话，语音清晰、语气亲切。</w:t>
      </w:r>
    </w:p>
    <w:p w14:paraId="438787D7">
      <w:pPr>
        <w:tabs>
          <w:tab w:val="left" w:pos="900"/>
        </w:tabs>
        <w:spacing w:line="360" w:lineRule="auto"/>
        <w:ind w:firstLine="480"/>
        <w:rPr>
          <w:rFonts w:ascii="宋体" w:hAnsi="宋体" w:cs="宋体"/>
          <w:color w:val="auto"/>
          <w:sz w:val="24"/>
          <w:highlight w:val="none"/>
        </w:rPr>
      </w:pPr>
      <w:r>
        <w:rPr>
          <w:rFonts w:ascii="宋体" w:hAnsi="宋体" w:cs="宋体"/>
          <w:color w:val="auto"/>
          <w:sz w:val="24"/>
          <w:highlight w:val="none"/>
        </w:rPr>
        <w:t>(3)笑容自然亲切，应答得体。</w:t>
      </w:r>
    </w:p>
    <w:p w14:paraId="108C4A8C">
      <w:pPr>
        <w:tabs>
          <w:tab w:val="left" w:pos="900"/>
        </w:tabs>
        <w:spacing w:line="360" w:lineRule="auto"/>
        <w:ind w:firstLine="480"/>
        <w:rPr>
          <w:rFonts w:ascii="宋体" w:hAnsi="宋体" w:cs="宋体"/>
          <w:color w:val="auto"/>
          <w:sz w:val="24"/>
          <w:highlight w:val="none"/>
        </w:rPr>
      </w:pPr>
      <w:r>
        <w:rPr>
          <w:rFonts w:ascii="宋体" w:hAnsi="宋体" w:cs="宋体"/>
          <w:color w:val="auto"/>
          <w:sz w:val="24"/>
          <w:highlight w:val="none"/>
        </w:rPr>
        <w:t>(4)姿态端正(坐如钟、站如松)。</w:t>
      </w:r>
    </w:p>
    <w:p w14:paraId="3F1190C4">
      <w:pPr>
        <w:tabs>
          <w:tab w:val="left" w:pos="900"/>
        </w:tabs>
        <w:spacing w:line="360" w:lineRule="auto"/>
        <w:ind w:firstLine="480"/>
        <w:rPr>
          <w:rFonts w:ascii="宋体" w:hAnsi="宋体" w:cs="宋体"/>
          <w:color w:val="auto"/>
          <w:sz w:val="24"/>
          <w:highlight w:val="none"/>
        </w:rPr>
      </w:pPr>
      <w:r>
        <w:rPr>
          <w:rFonts w:ascii="宋体" w:hAnsi="宋体" w:cs="宋体"/>
          <w:color w:val="auto"/>
          <w:sz w:val="24"/>
          <w:highlight w:val="none"/>
        </w:rPr>
        <w:t>(5)态度和蔼，不卑不亢。</w:t>
      </w:r>
    </w:p>
    <w:p w14:paraId="0E712630">
      <w:pPr>
        <w:tabs>
          <w:tab w:val="left" w:pos="900"/>
        </w:tabs>
        <w:spacing w:line="360" w:lineRule="auto"/>
        <w:ind w:firstLine="480"/>
        <w:rPr>
          <w:rFonts w:ascii="宋体" w:hAnsi="宋体" w:cs="宋体"/>
          <w:color w:val="auto"/>
          <w:sz w:val="24"/>
          <w:highlight w:val="none"/>
        </w:rPr>
      </w:pPr>
      <w:r>
        <w:rPr>
          <w:rFonts w:ascii="宋体" w:hAnsi="宋体" w:cs="宋体"/>
          <w:color w:val="auto"/>
          <w:sz w:val="24"/>
          <w:highlight w:val="none"/>
        </w:rPr>
        <w:t>(6)遇事冷净，反应敏捷，不浮不燥。</w:t>
      </w:r>
    </w:p>
    <w:p w14:paraId="41B79769">
      <w:pPr>
        <w:tabs>
          <w:tab w:val="left" w:pos="900"/>
        </w:tabs>
        <w:spacing w:line="360" w:lineRule="auto"/>
        <w:ind w:firstLine="480"/>
        <w:rPr>
          <w:rFonts w:ascii="宋体" w:hAnsi="宋体" w:cs="宋体"/>
          <w:color w:val="auto"/>
          <w:sz w:val="24"/>
          <w:highlight w:val="none"/>
        </w:rPr>
      </w:pPr>
      <w:r>
        <w:rPr>
          <w:rFonts w:ascii="宋体" w:hAnsi="宋体" w:cs="宋体"/>
          <w:color w:val="auto"/>
          <w:sz w:val="24"/>
          <w:highlight w:val="none"/>
        </w:rPr>
        <w:t>(7)向业主/住户展现专业的形象。</w:t>
      </w:r>
    </w:p>
    <w:p w14:paraId="4D4C9499">
      <w:pPr>
        <w:tabs>
          <w:tab w:val="left" w:pos="900"/>
        </w:tabs>
        <w:spacing w:line="360" w:lineRule="auto"/>
        <w:ind w:firstLine="480"/>
        <w:rPr>
          <w:rFonts w:ascii="宋体" w:hAnsi="宋体" w:cs="宋体"/>
          <w:color w:val="auto"/>
          <w:sz w:val="24"/>
          <w:highlight w:val="none"/>
        </w:rPr>
      </w:pPr>
      <w:r>
        <w:rPr>
          <w:rFonts w:ascii="宋体" w:hAnsi="宋体" w:cs="宋体"/>
          <w:color w:val="auto"/>
          <w:sz w:val="24"/>
          <w:highlight w:val="none"/>
        </w:rPr>
        <w:t>2、仪容、仪表</w:t>
      </w:r>
    </w:p>
    <w:p w14:paraId="75E29EC2">
      <w:pPr>
        <w:tabs>
          <w:tab w:val="left" w:pos="900"/>
        </w:tabs>
        <w:spacing w:line="360" w:lineRule="auto"/>
        <w:ind w:firstLine="480"/>
        <w:rPr>
          <w:rFonts w:ascii="宋体" w:hAnsi="宋体" w:cs="宋体"/>
          <w:color w:val="auto"/>
          <w:sz w:val="24"/>
          <w:highlight w:val="none"/>
        </w:rPr>
      </w:pPr>
      <w:r>
        <w:rPr>
          <w:rFonts w:ascii="宋体" w:hAnsi="宋体" w:cs="宋体"/>
          <w:color w:val="auto"/>
          <w:sz w:val="24"/>
          <w:highlight w:val="none"/>
        </w:rPr>
        <w:t>(1)当值时间须着甲方指定样式的工服，纽扣须完整扣齐，穿黑色皮鞋；头发、指甲须修剪整齐、干净，身上无任何异味(如汗味、烟味、狐臭味等),不得有纹身。</w:t>
      </w:r>
    </w:p>
    <w:p w14:paraId="02A4248A">
      <w:pPr>
        <w:tabs>
          <w:tab w:val="left" w:pos="900"/>
        </w:tabs>
        <w:spacing w:line="360" w:lineRule="auto"/>
        <w:ind w:firstLine="480"/>
        <w:rPr>
          <w:rFonts w:ascii="宋体" w:hAnsi="宋体" w:cs="宋体"/>
          <w:color w:val="auto"/>
          <w:sz w:val="24"/>
          <w:highlight w:val="none"/>
        </w:rPr>
      </w:pPr>
      <w:r>
        <w:rPr>
          <w:rFonts w:ascii="宋体" w:hAnsi="宋体" w:cs="宋体"/>
          <w:color w:val="auto"/>
          <w:sz w:val="24"/>
          <w:highlight w:val="none"/>
        </w:rPr>
        <w:t>(2)在公共区域站立、行走时应注意姿态，避免双手叉腰、插兜或交叉横于胸前等不雅仪态。</w:t>
      </w:r>
    </w:p>
    <w:p w14:paraId="167B899D">
      <w:pPr>
        <w:tabs>
          <w:tab w:val="left" w:pos="900"/>
        </w:tabs>
        <w:spacing w:line="360" w:lineRule="auto"/>
        <w:ind w:firstLine="480"/>
        <w:rPr>
          <w:rFonts w:ascii="宋体" w:hAnsi="宋体" w:cs="宋体"/>
          <w:b/>
          <w:color w:val="auto"/>
          <w:sz w:val="24"/>
          <w:highlight w:val="none"/>
        </w:rPr>
      </w:pPr>
      <w:r>
        <w:rPr>
          <w:rFonts w:ascii="宋体" w:hAnsi="宋体" w:cs="宋体"/>
          <w:color w:val="auto"/>
          <w:sz w:val="24"/>
          <w:highlight w:val="none"/>
        </w:rPr>
        <w:t>(3)当值时间内须讲普通话，不得用方言与人交谈，用语规范，不得口带脏字。</w:t>
      </w:r>
    </w:p>
    <w:p w14:paraId="5387452B">
      <w:pPr>
        <w:tabs>
          <w:tab w:val="left" w:pos="900"/>
        </w:tabs>
        <w:spacing w:line="360" w:lineRule="auto"/>
        <w:ind w:firstLine="482"/>
        <w:rPr>
          <w:rFonts w:ascii="宋体" w:hAnsi="宋体" w:cs="宋体"/>
          <w:color w:val="auto"/>
          <w:sz w:val="24"/>
          <w:highlight w:val="none"/>
        </w:rPr>
      </w:pPr>
      <w:r>
        <w:rPr>
          <w:rFonts w:ascii="宋体" w:hAnsi="宋体" w:cs="宋体"/>
          <w:b/>
          <w:color w:val="auto"/>
          <w:sz w:val="24"/>
          <w:highlight w:val="none"/>
        </w:rPr>
        <w:t>十六、公众、设施及警告标志</w:t>
      </w:r>
    </w:p>
    <w:p w14:paraId="3F1615C3">
      <w:pPr>
        <w:tabs>
          <w:tab w:val="left" w:pos="900"/>
        </w:tabs>
        <w:spacing w:line="360" w:lineRule="auto"/>
        <w:ind w:firstLine="480"/>
        <w:rPr>
          <w:rFonts w:ascii="宋体" w:hAnsi="宋体" w:cs="宋体"/>
          <w:color w:val="auto"/>
          <w:sz w:val="24"/>
          <w:highlight w:val="none"/>
        </w:rPr>
      </w:pPr>
      <w:r>
        <w:rPr>
          <w:rFonts w:ascii="宋体" w:hAnsi="宋体" w:cs="宋体"/>
          <w:color w:val="auto"/>
          <w:sz w:val="24"/>
          <w:highlight w:val="none"/>
        </w:rPr>
        <w:t>1、乙方从事所属项目区域内的维序服务时，应小心保护公共设施设备及有关材料，乙方未尽保护注意义务引起的损失或事故由乙方负全部责任。</w:t>
      </w:r>
    </w:p>
    <w:p w14:paraId="6E5EF5B2">
      <w:pPr>
        <w:tabs>
          <w:tab w:val="left" w:pos="900"/>
        </w:tabs>
        <w:spacing w:line="360" w:lineRule="auto"/>
        <w:ind w:firstLine="480"/>
        <w:rPr>
          <w:rFonts w:ascii="宋体" w:hAnsi="宋体" w:cs="宋体"/>
          <w:color w:val="auto"/>
          <w:sz w:val="24"/>
          <w:highlight w:val="none"/>
        </w:rPr>
      </w:pPr>
      <w:r>
        <w:rPr>
          <w:rFonts w:ascii="宋体" w:hAnsi="宋体" w:cs="宋体"/>
          <w:color w:val="auto"/>
          <w:sz w:val="24"/>
          <w:highlight w:val="none"/>
        </w:rPr>
        <w:t>2、若因乙方的过失导致任何人士受到人身伤害及财物遭受损失，或严重影响所属项目正常运作，由乙方负责赔偿及承担，若甲方不得已而承担上述损失，乙方须在接到甲方书面通知后三个工作日内将甲方承担的赔偿支付给甲方。</w:t>
      </w:r>
    </w:p>
    <w:p w14:paraId="7318D4E9">
      <w:pPr>
        <w:tabs>
          <w:tab w:val="left" w:pos="900"/>
        </w:tabs>
        <w:spacing w:line="360" w:lineRule="auto"/>
        <w:ind w:firstLine="480"/>
        <w:rPr>
          <w:rFonts w:ascii="宋体" w:hAnsi="宋体" w:cs="宋体"/>
          <w:b/>
          <w:color w:val="auto"/>
          <w:sz w:val="24"/>
          <w:highlight w:val="none"/>
        </w:rPr>
      </w:pPr>
      <w:r>
        <w:rPr>
          <w:rFonts w:ascii="宋体" w:hAnsi="宋体" w:cs="宋体"/>
          <w:color w:val="auto"/>
          <w:sz w:val="24"/>
          <w:highlight w:val="none"/>
        </w:rPr>
        <w:t>3、乙方需要在公共区域从事或进行服务时(如突发事件、演习时),应在该公共地方的明显位置内，放置相关事件的警告标志或警示带，如有需要的情况下，乙方须将该处理范围完全隔离，以免在进行服务时，导致公众人士有任何意外发生或造成事态扩大，若因乙方的过失导致任何人士受到人身伤害及财物遭受损失，或严重影响所属项目正常运作，由乙方负责赔偿及承担。</w:t>
      </w:r>
    </w:p>
    <w:p w14:paraId="226F71F8">
      <w:pPr>
        <w:tabs>
          <w:tab w:val="left" w:pos="900"/>
        </w:tabs>
        <w:spacing w:line="360" w:lineRule="auto"/>
        <w:ind w:firstLine="482"/>
        <w:rPr>
          <w:rFonts w:ascii="宋体" w:hAnsi="宋体" w:cs="宋体"/>
          <w:color w:val="auto"/>
          <w:sz w:val="24"/>
          <w:highlight w:val="none"/>
        </w:rPr>
      </w:pPr>
      <w:r>
        <w:rPr>
          <w:rFonts w:ascii="宋体" w:hAnsi="宋体" w:cs="宋体"/>
          <w:b/>
          <w:color w:val="auto"/>
          <w:sz w:val="24"/>
          <w:highlight w:val="none"/>
        </w:rPr>
        <w:t>十七、证明签署</w:t>
      </w:r>
    </w:p>
    <w:p w14:paraId="61998765">
      <w:pPr>
        <w:tabs>
          <w:tab w:val="left" w:pos="900"/>
        </w:tabs>
        <w:spacing w:line="360" w:lineRule="auto"/>
        <w:ind w:firstLine="480"/>
        <w:rPr>
          <w:rFonts w:ascii="宋体" w:hAnsi="宋体" w:cs="宋体"/>
          <w:b/>
          <w:color w:val="auto"/>
          <w:sz w:val="24"/>
          <w:highlight w:val="none"/>
        </w:rPr>
      </w:pPr>
      <w:r>
        <w:rPr>
          <w:rFonts w:ascii="宋体" w:hAnsi="宋体" w:cs="宋体"/>
          <w:color w:val="auto"/>
          <w:sz w:val="24"/>
          <w:highlight w:val="none"/>
        </w:rPr>
        <w:t>甲方准备相应维序检查表格，在进行维序服务后，甲方负责人负责检查，乙方须在每次甲方发放维序服务费用十五天前，将各岗位记录文件提交甲方存放。</w:t>
      </w:r>
    </w:p>
    <w:p w14:paraId="21913435">
      <w:pPr>
        <w:numPr>
          <w:ilvl w:val="0"/>
          <w:numId w:val="15"/>
        </w:numPr>
        <w:tabs>
          <w:tab w:val="left" w:pos="900"/>
        </w:tabs>
        <w:spacing w:line="360" w:lineRule="auto"/>
        <w:ind w:firstLine="482"/>
        <w:rPr>
          <w:rFonts w:hint="eastAsia" w:ascii="宋体" w:hAnsi="宋体" w:cs="宋体"/>
          <w:color w:val="auto"/>
          <w:sz w:val="24"/>
          <w:highlight w:val="none"/>
        </w:rPr>
      </w:pPr>
      <w:r>
        <w:rPr>
          <w:rFonts w:ascii="宋体" w:hAnsi="宋体" w:cs="宋体"/>
          <w:color w:val="auto"/>
          <w:sz w:val="24"/>
          <w:highlight w:val="none"/>
        </w:rPr>
        <w:t>甲、乙双方因本合同发生的任何争议应协商解决；协商不成，任何一方可将争议提交甲方所在地有管辖权的人民法院处理。</w:t>
      </w:r>
      <w:r>
        <w:rPr>
          <w:rFonts w:hint="eastAsia" w:ascii="宋体" w:hAnsi="宋体" w:cs="宋体"/>
          <w:color w:val="auto"/>
          <w:sz w:val="24"/>
          <w:highlight w:val="none"/>
        </w:rPr>
        <w:t>违约方应赔偿因违约给守约方造成的全部损失，包括但不限于诉讼费、律师费、保全费、保全保险费、差旅费等。</w:t>
      </w:r>
    </w:p>
    <w:p w14:paraId="4847233B">
      <w:pPr>
        <w:numPr>
          <w:ilvl w:val="0"/>
          <w:numId w:val="15"/>
        </w:numPr>
        <w:tabs>
          <w:tab w:val="left" w:pos="900"/>
        </w:tabs>
        <w:spacing w:line="360" w:lineRule="auto"/>
        <w:ind w:firstLine="482"/>
        <w:rPr>
          <w:rFonts w:ascii="宋体" w:hAnsi="宋体" w:cs="宋体"/>
          <w:color w:val="auto"/>
          <w:spacing w:val="-18"/>
          <w:sz w:val="25"/>
          <w:szCs w:val="25"/>
          <w:highlight w:val="none"/>
        </w:rPr>
      </w:pPr>
      <w:r>
        <w:rPr>
          <w:rFonts w:hint="eastAsia" w:ascii="宋体" w:hAnsi="宋体" w:cs="宋体"/>
          <w:color w:val="auto"/>
          <w:sz w:val="24"/>
          <w:highlight w:val="none"/>
        </w:rPr>
        <w:t>双方确认本合同载明的联系方式为双方确定的联系方式，若发生争议，该地址亦为接收法院送达应诉材料及裁判文书的地址。若地址发生变更，一方应在变更前三日内书面告知另一方，否则本合同载明的地址为有效地址。</w:t>
      </w:r>
    </w:p>
    <w:p w14:paraId="59E58793">
      <w:pPr>
        <w:numPr>
          <w:ilvl w:val="0"/>
          <w:numId w:val="15"/>
        </w:numPr>
        <w:tabs>
          <w:tab w:val="left" w:pos="900"/>
        </w:tabs>
        <w:spacing w:line="360" w:lineRule="auto"/>
        <w:ind w:firstLine="482"/>
        <w:rPr>
          <w:rFonts w:ascii="宋体" w:hAnsi="宋体" w:cs="宋体"/>
          <w:color w:val="auto"/>
          <w:spacing w:val="-18"/>
          <w:sz w:val="25"/>
          <w:szCs w:val="25"/>
          <w:highlight w:val="none"/>
        </w:rPr>
      </w:pPr>
      <w:r>
        <w:rPr>
          <w:rFonts w:ascii="宋体" w:hAnsi="宋体" w:cs="宋体"/>
          <w:color w:val="auto"/>
          <w:sz w:val="24"/>
          <w:highlight w:val="none"/>
        </w:rPr>
        <w:t>本合同的所有附件，包括但不限于</w:t>
      </w:r>
      <w:r>
        <w:rPr>
          <w:rFonts w:ascii="宋体" w:hAnsi="宋体" w:cs="宋体"/>
          <w:b/>
          <w:color w:val="auto"/>
          <w:sz w:val="24"/>
          <w:highlight w:val="none"/>
        </w:rPr>
        <w:t>招投标文件</w:t>
      </w:r>
      <w:r>
        <w:rPr>
          <w:rFonts w:ascii="宋体" w:hAnsi="宋体" w:cs="宋体"/>
          <w:color w:val="auto"/>
          <w:sz w:val="24"/>
          <w:highlight w:val="none"/>
        </w:rPr>
        <w:t>等均为本合同不可分割的部分，与本合同具有同等法律效力。本合同自双方法定代表人/授权代表签字并加盖公章之日生效，至本合同项下的服务期届满终止。本合同一式叁份，甲方执贰份，乙方执壹份，具有同等法律效力。</w:t>
      </w:r>
    </w:p>
    <w:p w14:paraId="6216CD70">
      <w:pPr>
        <w:spacing w:before="82" w:line="218" w:lineRule="auto"/>
        <w:rPr>
          <w:rFonts w:ascii="宋体" w:hAnsi="宋体" w:cs="宋体"/>
          <w:color w:val="auto"/>
          <w:spacing w:val="-18"/>
          <w:sz w:val="25"/>
          <w:szCs w:val="25"/>
          <w:highlight w:val="none"/>
        </w:rPr>
      </w:pPr>
      <w:r>
        <w:rPr>
          <w:rFonts w:ascii="宋体" w:hAnsi="宋体" w:cs="宋体"/>
          <w:color w:val="auto"/>
          <w:spacing w:val="-18"/>
          <w:sz w:val="25"/>
          <w:szCs w:val="25"/>
          <w:highlight w:val="none"/>
        </w:rPr>
        <w:t>附件一：《维序服务检查细则》</w:t>
      </w:r>
    </w:p>
    <w:p w14:paraId="265D5C90">
      <w:pPr>
        <w:spacing w:before="173" w:line="218" w:lineRule="auto"/>
        <w:rPr>
          <w:rFonts w:ascii="宋体" w:hAnsi="宋体" w:cs="宋体"/>
          <w:color w:val="auto"/>
          <w:spacing w:val="-19"/>
          <w:sz w:val="25"/>
          <w:szCs w:val="25"/>
          <w:highlight w:val="none"/>
        </w:rPr>
      </w:pPr>
      <w:r>
        <w:rPr>
          <w:rFonts w:ascii="宋体" w:hAnsi="宋体" w:cs="宋体"/>
          <w:color w:val="auto"/>
          <w:spacing w:val="-18"/>
          <w:sz w:val="25"/>
          <w:szCs w:val="25"/>
          <w:highlight w:val="none"/>
        </w:rPr>
        <w:t>附件二：《月维序考核评分表》</w:t>
      </w:r>
    </w:p>
    <w:p w14:paraId="65F425B2">
      <w:pPr>
        <w:spacing w:before="153" w:line="218" w:lineRule="auto"/>
        <w:rPr>
          <w:rFonts w:ascii="宋体" w:hAnsi="宋体" w:cs="宋体"/>
          <w:color w:val="auto"/>
          <w:spacing w:val="-18"/>
          <w:sz w:val="25"/>
          <w:szCs w:val="25"/>
          <w:highlight w:val="none"/>
        </w:rPr>
      </w:pPr>
      <w:r>
        <w:rPr>
          <w:rFonts w:ascii="宋体" w:hAnsi="宋体" w:cs="宋体"/>
          <w:color w:val="auto"/>
          <w:spacing w:val="-19"/>
          <w:sz w:val="25"/>
          <w:szCs w:val="25"/>
          <w:highlight w:val="none"/>
        </w:rPr>
        <w:t>附件三：《外包人数确认表》</w:t>
      </w:r>
    </w:p>
    <w:p w14:paraId="31F32635">
      <w:pPr>
        <w:spacing w:before="163" w:line="218" w:lineRule="auto"/>
        <w:rPr>
          <w:rFonts w:ascii="宋体" w:hAnsi="宋体" w:cs="宋体"/>
          <w:color w:val="auto"/>
          <w:spacing w:val="-18"/>
          <w:sz w:val="25"/>
          <w:szCs w:val="25"/>
          <w:highlight w:val="none"/>
        </w:rPr>
      </w:pPr>
      <w:r>
        <w:rPr>
          <w:rFonts w:ascii="宋体" w:hAnsi="宋体" w:cs="宋体"/>
          <w:color w:val="auto"/>
          <w:spacing w:val="-18"/>
          <w:sz w:val="25"/>
          <w:szCs w:val="25"/>
          <w:highlight w:val="none"/>
        </w:rPr>
        <w:t>附件四：《不合格服务通知单》</w:t>
      </w:r>
    </w:p>
    <w:p w14:paraId="77205CF2">
      <w:pPr>
        <w:spacing w:before="183" w:line="218" w:lineRule="auto"/>
        <w:rPr>
          <w:rFonts w:ascii="宋体" w:hAnsi="宋体" w:cs="宋体"/>
          <w:color w:val="auto"/>
          <w:spacing w:val="-19"/>
          <w:sz w:val="25"/>
          <w:szCs w:val="25"/>
          <w:highlight w:val="none"/>
        </w:rPr>
      </w:pPr>
      <w:r>
        <w:rPr>
          <w:rFonts w:ascii="宋体" w:hAnsi="宋体" w:cs="宋体"/>
          <w:color w:val="auto"/>
          <w:spacing w:val="-18"/>
          <w:sz w:val="25"/>
          <w:szCs w:val="25"/>
          <w:highlight w:val="none"/>
        </w:rPr>
        <w:t>附件五：《维序员宣贯签到表》</w:t>
      </w:r>
    </w:p>
    <w:p w14:paraId="07DD3A21">
      <w:pPr>
        <w:spacing w:before="163" w:line="216" w:lineRule="auto"/>
        <w:rPr>
          <w:rFonts w:ascii="宋体" w:hAnsi="宋体" w:cs="宋体"/>
          <w:color w:val="auto"/>
          <w:spacing w:val="-18"/>
          <w:sz w:val="25"/>
          <w:szCs w:val="25"/>
          <w:highlight w:val="none"/>
        </w:rPr>
      </w:pPr>
      <w:r>
        <w:rPr>
          <w:rFonts w:ascii="宋体" w:hAnsi="宋体" w:cs="宋体"/>
          <w:color w:val="auto"/>
          <w:spacing w:val="-19"/>
          <w:sz w:val="25"/>
          <w:szCs w:val="25"/>
          <w:highlight w:val="none"/>
        </w:rPr>
        <w:t>附件六：《维序服务报价单》</w:t>
      </w:r>
    </w:p>
    <w:p w14:paraId="09355C60">
      <w:pPr>
        <w:spacing w:before="175" w:line="218" w:lineRule="auto"/>
        <w:rPr>
          <w:rFonts w:ascii="宋体" w:hAnsi="宋体" w:cs="宋体"/>
          <w:color w:val="auto"/>
          <w:spacing w:val="-17"/>
          <w:sz w:val="25"/>
          <w:szCs w:val="25"/>
          <w:highlight w:val="none"/>
        </w:rPr>
      </w:pPr>
      <w:r>
        <w:rPr>
          <w:rFonts w:ascii="宋体" w:hAnsi="宋体" w:cs="宋体"/>
          <w:color w:val="auto"/>
          <w:spacing w:val="-18"/>
          <w:sz w:val="25"/>
          <w:szCs w:val="25"/>
          <w:highlight w:val="none"/>
        </w:rPr>
        <w:t>附件七：《维序服务日常检查表》</w:t>
      </w:r>
    </w:p>
    <w:p w14:paraId="5D4F2BF1">
      <w:pPr>
        <w:spacing w:before="164" w:line="218" w:lineRule="auto"/>
        <w:rPr>
          <w:rFonts w:ascii="宋体" w:hAnsi="宋体" w:cs="宋体"/>
          <w:color w:val="auto"/>
          <w:spacing w:val="-18"/>
          <w:sz w:val="25"/>
          <w:szCs w:val="25"/>
          <w:highlight w:val="none"/>
        </w:rPr>
      </w:pPr>
      <w:r>
        <w:rPr>
          <w:rFonts w:ascii="宋体" w:hAnsi="宋体" w:cs="宋体"/>
          <w:color w:val="auto"/>
          <w:spacing w:val="-17"/>
          <w:sz w:val="25"/>
          <w:szCs w:val="25"/>
          <w:highlight w:val="none"/>
        </w:rPr>
        <w:t>附件八：《维序服务月度考核评定表》</w:t>
      </w:r>
    </w:p>
    <w:p w14:paraId="725199B3">
      <w:pPr>
        <w:spacing w:before="175" w:line="218" w:lineRule="auto"/>
        <w:rPr>
          <w:rFonts w:hint="eastAsia" w:ascii="宋体" w:hAnsi="宋体" w:cs="宋体"/>
          <w:color w:val="auto"/>
          <w:spacing w:val="-18"/>
          <w:sz w:val="25"/>
          <w:szCs w:val="25"/>
          <w:highlight w:val="none"/>
        </w:rPr>
      </w:pPr>
      <w:r>
        <w:rPr>
          <w:rFonts w:ascii="宋体" w:hAnsi="宋体" w:cs="宋体"/>
          <w:color w:val="auto"/>
          <w:spacing w:val="-18"/>
          <w:sz w:val="25"/>
          <w:szCs w:val="25"/>
          <w:highlight w:val="none"/>
        </w:rPr>
        <w:t>附件九：</w:t>
      </w:r>
      <w:r>
        <w:rPr>
          <w:rFonts w:hint="eastAsia" w:ascii="宋体" w:hAnsi="宋体" w:cs="宋体"/>
          <w:color w:val="auto"/>
          <w:spacing w:val="-18"/>
          <w:sz w:val="25"/>
          <w:szCs w:val="25"/>
          <w:highlight w:val="none"/>
        </w:rPr>
        <w:t>《廉洁承诺书》</w:t>
      </w:r>
    </w:p>
    <w:p w14:paraId="51BEF24E">
      <w:pPr>
        <w:spacing w:line="560" w:lineRule="exact"/>
        <w:rPr>
          <w:rFonts w:ascii="方正小标宋简体" w:hAnsi="方正小标宋简体" w:eastAsia="方正小标宋简体" w:cs="方正小标宋简体"/>
          <w:bCs/>
          <w:color w:val="auto"/>
          <w:sz w:val="44"/>
          <w:szCs w:val="44"/>
          <w:highlight w:val="none"/>
        </w:rPr>
      </w:pPr>
      <w:r>
        <w:rPr>
          <w:rFonts w:hint="eastAsia" w:ascii="宋体" w:hAnsi="宋体" w:cs="宋体"/>
          <w:color w:val="auto"/>
          <w:spacing w:val="-18"/>
          <w:sz w:val="25"/>
          <w:szCs w:val="25"/>
          <w:highlight w:val="none"/>
        </w:rPr>
        <w:t>附件十</w:t>
      </w:r>
      <w:r>
        <w:rPr>
          <w:rFonts w:hint="eastAsia" w:ascii="宋体" w:hAnsi="宋体" w:cs="宋体"/>
          <w:color w:val="auto"/>
          <w:spacing w:val="-17"/>
          <w:sz w:val="25"/>
          <w:szCs w:val="25"/>
          <w:highlight w:val="none"/>
        </w:rPr>
        <w:t>：《安全责任协议书</w:t>
      </w:r>
      <w:r>
        <w:rPr>
          <w:rFonts w:hint="eastAsia" w:ascii="宋体" w:hAnsi="宋体" w:cs="宋体"/>
          <w:color w:val="auto"/>
          <w:spacing w:val="-18"/>
          <w:sz w:val="25"/>
          <w:szCs w:val="25"/>
          <w:highlight w:val="none"/>
        </w:rPr>
        <w:t>》</w:t>
      </w:r>
    </w:p>
    <w:p w14:paraId="5FA0B706">
      <w:pPr>
        <w:pStyle w:val="15"/>
        <w:spacing w:line="242" w:lineRule="auto"/>
        <w:rPr>
          <w:rFonts w:ascii="方正小标宋简体" w:hAnsi="方正小标宋简体" w:eastAsia="方正小标宋简体" w:cs="方正小标宋简体"/>
          <w:bCs/>
          <w:color w:val="auto"/>
          <w:sz w:val="44"/>
          <w:szCs w:val="44"/>
          <w:highlight w:val="none"/>
        </w:rPr>
      </w:pPr>
    </w:p>
    <w:p w14:paraId="2FB1D091">
      <w:pPr>
        <w:pStyle w:val="15"/>
        <w:spacing w:line="242" w:lineRule="auto"/>
        <w:rPr>
          <w:color w:val="auto"/>
          <w:highlight w:val="none"/>
        </w:rPr>
      </w:pPr>
    </w:p>
    <w:p w14:paraId="2B333ADC">
      <w:pPr>
        <w:pStyle w:val="15"/>
        <w:spacing w:line="242" w:lineRule="auto"/>
        <w:rPr>
          <w:color w:val="auto"/>
          <w:highlight w:val="none"/>
        </w:rPr>
      </w:pPr>
    </w:p>
    <w:p w14:paraId="78405A23">
      <w:pPr>
        <w:pStyle w:val="15"/>
        <w:spacing w:line="242" w:lineRule="auto"/>
        <w:rPr>
          <w:color w:val="auto"/>
          <w:highlight w:val="none"/>
        </w:rPr>
      </w:pPr>
    </w:p>
    <w:p w14:paraId="6F3051A5">
      <w:pPr>
        <w:spacing w:line="360" w:lineRule="auto"/>
        <w:rPr>
          <w:rFonts w:ascii="宋体" w:hAnsi="宋体" w:cs="宋体"/>
          <w:color w:val="auto"/>
          <w:spacing w:val="-13"/>
          <w:sz w:val="25"/>
          <w:szCs w:val="25"/>
          <w:highlight w:val="none"/>
        </w:rPr>
      </w:pPr>
      <w:r>
        <w:rPr>
          <w:rFonts w:ascii="宋体" w:hAnsi="宋体" w:cs="宋体"/>
          <w:color w:val="auto"/>
          <w:spacing w:val="-9"/>
          <w:sz w:val="25"/>
          <w:szCs w:val="25"/>
          <w:highlight w:val="none"/>
        </w:rPr>
        <w:t>甲方：</w:t>
      </w:r>
      <w:r>
        <w:rPr>
          <w:rFonts w:hint="eastAsia" w:ascii="宋体" w:hAnsi="宋体" w:cs="宋体"/>
          <w:color w:val="auto"/>
          <w:spacing w:val="-9"/>
          <w:sz w:val="25"/>
          <w:szCs w:val="25"/>
          <w:highlight w:val="none"/>
          <w:lang w:val="en-US" w:eastAsia="zh-CN"/>
        </w:rPr>
        <w:t xml:space="preserve">                              </w:t>
      </w:r>
      <w:r>
        <w:rPr>
          <w:rFonts w:hint="eastAsia" w:ascii="宋体" w:hAnsi="宋体" w:cs="宋体"/>
          <w:color w:val="auto"/>
          <w:spacing w:val="-9"/>
          <w:sz w:val="25"/>
          <w:szCs w:val="25"/>
          <w:highlight w:val="none"/>
        </w:rPr>
        <w:t xml:space="preserve">                    </w:t>
      </w:r>
      <w:r>
        <w:rPr>
          <w:rFonts w:ascii="宋体" w:hAnsi="宋体" w:cs="宋体"/>
          <w:color w:val="auto"/>
          <w:spacing w:val="-7"/>
          <w:sz w:val="25"/>
          <w:szCs w:val="25"/>
          <w:highlight w:val="none"/>
        </w:rPr>
        <w:t>乙方：</w:t>
      </w:r>
    </w:p>
    <w:p w14:paraId="46DF11DF">
      <w:pPr>
        <w:spacing w:before="153" w:line="180" w:lineRule="auto"/>
        <w:rPr>
          <w:rFonts w:ascii="宋体" w:hAnsi="宋体" w:cs="宋体"/>
          <w:color w:val="auto"/>
          <w:spacing w:val="-5"/>
          <w:sz w:val="25"/>
          <w:szCs w:val="25"/>
          <w:highlight w:val="none"/>
        </w:rPr>
      </w:pPr>
      <w:r>
        <w:rPr>
          <w:rFonts w:ascii="宋体" w:hAnsi="宋体" w:cs="宋体"/>
          <w:color w:val="auto"/>
          <w:spacing w:val="-13"/>
          <w:sz w:val="25"/>
          <w:szCs w:val="25"/>
          <w:highlight w:val="none"/>
        </w:rPr>
        <w:t>注册地：</w:t>
      </w:r>
      <w:r>
        <w:rPr>
          <w:rFonts w:hint="eastAsia" w:ascii="宋体" w:hAnsi="宋体" w:cs="宋体"/>
          <w:color w:val="auto"/>
          <w:spacing w:val="-13"/>
          <w:sz w:val="25"/>
          <w:szCs w:val="25"/>
          <w:highlight w:val="none"/>
        </w:rPr>
        <w:t xml:space="preserve">                                                    </w:t>
      </w:r>
      <w:r>
        <w:rPr>
          <w:rFonts w:ascii="宋体" w:hAnsi="宋体" w:cs="宋体"/>
          <w:color w:val="auto"/>
          <w:spacing w:val="-13"/>
          <w:sz w:val="25"/>
          <w:szCs w:val="25"/>
          <w:highlight w:val="none"/>
        </w:rPr>
        <w:t>注册地：</w:t>
      </w:r>
    </w:p>
    <w:p w14:paraId="3B852D43">
      <w:pPr>
        <w:tabs>
          <w:tab w:val="left" w:pos="5880"/>
        </w:tabs>
        <w:spacing w:before="189" w:line="218" w:lineRule="auto"/>
        <w:rPr>
          <w:rFonts w:ascii="宋体" w:hAnsi="宋体" w:cs="宋体"/>
          <w:color w:val="auto"/>
          <w:spacing w:val="1"/>
          <w:sz w:val="25"/>
          <w:szCs w:val="25"/>
          <w:highlight w:val="none"/>
        </w:rPr>
      </w:pPr>
      <w:r>
        <w:rPr>
          <w:rFonts w:ascii="宋体" w:hAnsi="宋体" w:cs="宋体"/>
          <w:color w:val="auto"/>
          <w:spacing w:val="-5"/>
          <w:sz w:val="25"/>
          <w:szCs w:val="25"/>
          <w:highlight w:val="none"/>
        </w:rPr>
        <w:t>法定代表人(授权代表人):</w:t>
      </w:r>
      <w:r>
        <w:rPr>
          <w:rFonts w:ascii="宋体" w:hAnsi="宋体" w:cs="宋体"/>
          <w:color w:val="auto"/>
          <w:spacing w:val="74"/>
          <w:sz w:val="25"/>
          <w:szCs w:val="25"/>
          <w:highlight w:val="none"/>
        </w:rPr>
        <w:t xml:space="preserve"> </w:t>
      </w:r>
      <w:r>
        <w:rPr>
          <w:rFonts w:hint="eastAsia" w:ascii="宋体" w:hAnsi="宋体" w:cs="宋体"/>
          <w:color w:val="auto"/>
          <w:spacing w:val="74"/>
          <w:sz w:val="25"/>
          <w:szCs w:val="25"/>
          <w:highlight w:val="none"/>
        </w:rPr>
        <w:t xml:space="preserve">           </w:t>
      </w:r>
      <w:r>
        <w:rPr>
          <w:rFonts w:ascii="宋体" w:hAnsi="宋体" w:cs="宋体"/>
          <w:color w:val="auto"/>
          <w:spacing w:val="1"/>
          <w:sz w:val="25"/>
          <w:szCs w:val="25"/>
          <w:highlight w:val="none"/>
        </w:rPr>
        <w:t>法定代表人(授权代表人):</w:t>
      </w:r>
    </w:p>
    <w:p w14:paraId="4DC4D848">
      <w:pPr>
        <w:tabs>
          <w:tab w:val="left" w:pos="5880"/>
        </w:tabs>
        <w:spacing w:before="189" w:line="218" w:lineRule="auto"/>
        <w:rPr>
          <w:rFonts w:ascii="宋体" w:hAnsi="宋体" w:cs="宋体"/>
          <w:color w:val="auto"/>
          <w:spacing w:val="1"/>
          <w:sz w:val="25"/>
          <w:szCs w:val="25"/>
          <w:highlight w:val="none"/>
        </w:rPr>
      </w:pPr>
      <w:r>
        <w:rPr>
          <w:rFonts w:hint="eastAsia" w:ascii="宋体" w:hAnsi="宋体" w:cs="宋体"/>
          <w:color w:val="auto"/>
          <w:spacing w:val="1"/>
          <w:sz w:val="25"/>
          <w:szCs w:val="25"/>
          <w:highlight w:val="none"/>
        </w:rPr>
        <w:t>联系电话：                                     联系电话：</w:t>
      </w:r>
    </w:p>
    <w:p w14:paraId="2D7139A3">
      <w:pPr>
        <w:spacing w:before="82" w:line="218" w:lineRule="auto"/>
        <w:rPr>
          <w:rFonts w:ascii="宋体" w:hAnsi="宋体" w:cs="宋体"/>
          <w:b/>
          <w:bCs/>
          <w:color w:val="auto"/>
          <w:spacing w:val="-11"/>
          <w:sz w:val="26"/>
          <w:szCs w:val="26"/>
          <w:highlight w:val="none"/>
        </w:rPr>
        <w:sectPr>
          <w:headerReference r:id="rId9" w:type="first"/>
          <w:footerReference r:id="rId12" w:type="first"/>
          <w:headerReference r:id="rId7" w:type="default"/>
          <w:footerReference r:id="rId10" w:type="default"/>
          <w:headerReference r:id="rId8" w:type="even"/>
          <w:footerReference r:id="rId11" w:type="even"/>
          <w:footnotePr>
            <w:pos w:val="beneathText"/>
          </w:footnotePr>
          <w:pgSz w:w="11560" w:h="16490"/>
          <w:pgMar w:top="567" w:right="669" w:bottom="567" w:left="870" w:header="0" w:footer="316" w:gutter="0"/>
          <w:pgNumType w:fmt="decimal"/>
          <w:cols w:space="720" w:num="1"/>
          <w:docGrid w:linePitch="360" w:charSpace="0"/>
        </w:sectPr>
      </w:pPr>
      <w:r>
        <w:rPr>
          <w:rFonts w:ascii="宋体" w:hAnsi="宋体" w:cs="宋体"/>
          <w:color w:val="auto"/>
          <w:spacing w:val="-20"/>
          <w:sz w:val="25"/>
          <w:szCs w:val="25"/>
          <w:highlight w:val="none"/>
        </w:rPr>
        <w:t>日</w:t>
      </w:r>
      <w:r>
        <w:rPr>
          <w:rFonts w:ascii="宋体" w:hAnsi="宋体" w:cs="宋体"/>
          <w:color w:val="auto"/>
          <w:spacing w:val="-30"/>
          <w:sz w:val="25"/>
          <w:szCs w:val="25"/>
          <w:highlight w:val="none"/>
        </w:rPr>
        <w:t xml:space="preserve"> </w:t>
      </w:r>
      <w:r>
        <w:rPr>
          <w:rFonts w:ascii="宋体" w:hAnsi="宋体" w:cs="宋体"/>
          <w:color w:val="auto"/>
          <w:spacing w:val="-20"/>
          <w:sz w:val="25"/>
          <w:szCs w:val="25"/>
          <w:highlight w:val="none"/>
        </w:rPr>
        <w:t>期 ：</w:t>
      </w:r>
      <w:r>
        <w:rPr>
          <w:rFonts w:ascii="宋体" w:hAnsi="宋体" w:cs="宋体"/>
          <w:color w:val="auto"/>
          <w:spacing w:val="8"/>
          <w:sz w:val="25"/>
          <w:szCs w:val="25"/>
          <w:highlight w:val="none"/>
        </w:rPr>
        <w:t xml:space="preserve"> </w:t>
      </w:r>
      <w:r>
        <w:rPr>
          <w:rFonts w:hint="eastAsia" w:ascii="宋体" w:hAnsi="宋体" w:cs="宋体"/>
          <w:color w:val="auto"/>
          <w:spacing w:val="8"/>
          <w:sz w:val="25"/>
          <w:szCs w:val="25"/>
          <w:highlight w:val="none"/>
        </w:rPr>
        <w:t xml:space="preserve">   年   月   日                     </w:t>
      </w:r>
      <w:r>
        <w:rPr>
          <w:rFonts w:ascii="宋体" w:hAnsi="宋体" w:cs="宋体"/>
          <w:color w:val="auto"/>
          <w:spacing w:val="-22"/>
          <w:sz w:val="25"/>
          <w:szCs w:val="25"/>
          <w:highlight w:val="none"/>
        </w:rPr>
        <w:t>日</w:t>
      </w:r>
      <w:r>
        <w:rPr>
          <w:rFonts w:ascii="宋体" w:hAnsi="宋体" w:cs="宋体"/>
          <w:color w:val="auto"/>
          <w:spacing w:val="-20"/>
          <w:sz w:val="25"/>
          <w:szCs w:val="25"/>
          <w:highlight w:val="none"/>
        </w:rPr>
        <w:t xml:space="preserve"> </w:t>
      </w:r>
      <w:r>
        <w:rPr>
          <w:rFonts w:ascii="宋体" w:hAnsi="宋体" w:cs="宋体"/>
          <w:color w:val="auto"/>
          <w:spacing w:val="-22"/>
          <w:sz w:val="25"/>
          <w:szCs w:val="25"/>
          <w:highlight w:val="none"/>
        </w:rPr>
        <w:t>期</w:t>
      </w:r>
      <w:r>
        <w:rPr>
          <w:rFonts w:ascii="宋体" w:hAnsi="宋体" w:cs="宋体"/>
          <w:color w:val="auto"/>
          <w:spacing w:val="-33"/>
          <w:sz w:val="25"/>
          <w:szCs w:val="25"/>
          <w:highlight w:val="none"/>
        </w:rPr>
        <w:t xml:space="preserve"> </w:t>
      </w:r>
      <w:r>
        <w:rPr>
          <w:rFonts w:ascii="宋体" w:hAnsi="宋体" w:cs="宋体"/>
          <w:color w:val="auto"/>
          <w:spacing w:val="-22"/>
          <w:sz w:val="25"/>
          <w:szCs w:val="25"/>
          <w:highlight w:val="none"/>
        </w:rPr>
        <w:t>：</w:t>
      </w:r>
      <w:r>
        <w:rPr>
          <w:rFonts w:hint="eastAsia" w:ascii="宋体" w:hAnsi="宋体" w:cs="宋体"/>
          <w:color w:val="auto"/>
          <w:spacing w:val="-22"/>
          <w:sz w:val="25"/>
          <w:szCs w:val="25"/>
          <w:highlight w:val="none"/>
        </w:rPr>
        <w:t xml:space="preserve">  </w:t>
      </w:r>
      <w:r>
        <w:rPr>
          <w:rFonts w:hint="eastAsia" w:ascii="宋体" w:hAnsi="宋体" w:cs="宋体"/>
          <w:color w:val="auto"/>
          <w:spacing w:val="8"/>
          <w:sz w:val="25"/>
          <w:szCs w:val="25"/>
          <w:highlight w:val="none"/>
        </w:rPr>
        <w:t>年   月   日</w:t>
      </w:r>
    </w:p>
    <w:p w14:paraId="4C2DC4A9">
      <w:pPr>
        <w:spacing w:before="65" w:line="218" w:lineRule="auto"/>
        <w:ind w:left="33"/>
        <w:rPr>
          <w:rFonts w:ascii="宋体" w:hAnsi="宋体" w:cs="宋体"/>
          <w:b/>
          <w:bCs/>
          <w:color w:val="auto"/>
          <w:spacing w:val="-9"/>
          <w:sz w:val="33"/>
          <w:szCs w:val="33"/>
          <w:highlight w:val="none"/>
        </w:rPr>
      </w:pPr>
      <w:r>
        <w:rPr>
          <w:rFonts w:ascii="宋体" w:hAnsi="宋体" w:cs="宋体"/>
          <w:b/>
          <w:bCs/>
          <w:color w:val="auto"/>
          <w:spacing w:val="-11"/>
          <w:sz w:val="26"/>
          <w:szCs w:val="26"/>
          <w:highlight w:val="none"/>
        </w:rPr>
        <w:t>附表一：</w:t>
      </w:r>
    </w:p>
    <w:p w14:paraId="37B202C0">
      <w:pPr>
        <w:spacing w:before="205" w:line="218" w:lineRule="auto"/>
        <w:ind w:left="3714"/>
        <w:rPr>
          <w:rFonts w:ascii="宋体" w:hAnsi="宋体" w:cs="宋体"/>
          <w:color w:val="auto"/>
          <w:sz w:val="33"/>
          <w:szCs w:val="33"/>
          <w:highlight w:val="none"/>
        </w:rPr>
      </w:pPr>
      <w:r>
        <w:rPr>
          <w:rFonts w:ascii="宋体" w:hAnsi="宋体" w:cs="宋体"/>
          <w:b/>
          <w:bCs/>
          <w:color w:val="auto"/>
          <w:spacing w:val="-9"/>
          <w:sz w:val="33"/>
          <w:szCs w:val="33"/>
          <w:highlight w:val="none"/>
        </w:rPr>
        <w:t>维序服务检查细则</w:t>
      </w:r>
    </w:p>
    <w:p w14:paraId="53962C54">
      <w:pPr>
        <w:spacing w:line="184" w:lineRule="exact"/>
        <w:rPr>
          <w:rFonts w:ascii="宋体" w:hAnsi="宋体" w:cs="宋体"/>
          <w:color w:val="auto"/>
          <w:sz w:val="33"/>
          <w:szCs w:val="33"/>
          <w:highlight w:val="none"/>
        </w:rPr>
      </w:pPr>
    </w:p>
    <w:tbl>
      <w:tblPr>
        <w:tblStyle w:val="42"/>
        <w:tblW w:w="0" w:type="auto"/>
        <w:tblInd w:w="59" w:type="dxa"/>
        <w:tblLayout w:type="fixed"/>
        <w:tblCellMar>
          <w:top w:w="0" w:type="dxa"/>
          <w:left w:w="0" w:type="dxa"/>
          <w:bottom w:w="0" w:type="dxa"/>
          <w:right w:w="0" w:type="dxa"/>
        </w:tblCellMar>
      </w:tblPr>
      <w:tblGrid>
        <w:gridCol w:w="1833"/>
        <w:gridCol w:w="6853"/>
        <w:gridCol w:w="1083"/>
      </w:tblGrid>
      <w:tr w14:paraId="0DEE9884">
        <w:tblPrEx>
          <w:tblCellMar>
            <w:top w:w="0" w:type="dxa"/>
            <w:left w:w="0" w:type="dxa"/>
            <w:bottom w:w="0" w:type="dxa"/>
            <w:right w:w="0" w:type="dxa"/>
          </w:tblCellMar>
        </w:tblPrEx>
        <w:trPr>
          <w:trHeight w:val="395" w:hRule="atLeast"/>
        </w:trPr>
        <w:tc>
          <w:tcPr>
            <w:tcW w:w="9769" w:type="dxa"/>
            <w:gridSpan w:val="3"/>
            <w:tcBorders>
              <w:top w:val="single" w:color="000000" w:sz="4" w:space="0"/>
              <w:left w:val="single" w:color="000000" w:sz="4" w:space="0"/>
              <w:bottom w:val="single" w:color="000000" w:sz="4" w:space="0"/>
              <w:right w:val="single" w:color="000000" w:sz="4" w:space="0"/>
            </w:tcBorders>
            <w:noWrap w:val="0"/>
            <w:vAlign w:val="top"/>
          </w:tcPr>
          <w:p w14:paraId="4584A17F">
            <w:pPr>
              <w:pStyle w:val="95"/>
              <w:spacing w:before="90" w:line="218" w:lineRule="auto"/>
              <w:ind w:left="127"/>
              <w:rPr>
                <w:color w:val="auto"/>
                <w:highlight w:val="none"/>
              </w:rPr>
            </w:pPr>
            <w:r>
              <w:rPr>
                <w:b/>
                <w:bCs/>
                <w:color w:val="auto"/>
                <w:spacing w:val="-2"/>
                <w:highlight w:val="none"/>
              </w:rPr>
              <w:t>服务范围：门卫服务、巡逻服务、守护服务、车辆指挥</w:t>
            </w:r>
            <w:r>
              <w:rPr>
                <w:b/>
                <w:bCs/>
                <w:color w:val="auto"/>
                <w:spacing w:val="-3"/>
                <w:highlight w:val="none"/>
              </w:rPr>
              <w:t>管理、消防例检、装修管理、临时性任务</w:t>
            </w:r>
          </w:p>
        </w:tc>
      </w:tr>
      <w:tr w14:paraId="42DCCB0C">
        <w:tblPrEx>
          <w:tblCellMar>
            <w:top w:w="0" w:type="dxa"/>
            <w:left w:w="0" w:type="dxa"/>
            <w:bottom w:w="0" w:type="dxa"/>
            <w:right w:w="0" w:type="dxa"/>
          </w:tblCellMar>
        </w:tblPrEx>
        <w:trPr>
          <w:trHeight w:val="399" w:hRule="atLeast"/>
        </w:trPr>
        <w:tc>
          <w:tcPr>
            <w:tcW w:w="9769" w:type="dxa"/>
            <w:gridSpan w:val="3"/>
            <w:tcBorders>
              <w:top w:val="single" w:color="000000" w:sz="4" w:space="0"/>
              <w:left w:val="single" w:color="000000" w:sz="4" w:space="0"/>
              <w:bottom w:val="single" w:color="000000" w:sz="4" w:space="0"/>
              <w:right w:val="single" w:color="000000" w:sz="4" w:space="0"/>
            </w:tcBorders>
            <w:noWrap w:val="0"/>
            <w:vAlign w:val="top"/>
          </w:tcPr>
          <w:p w14:paraId="6D07C9D7">
            <w:pPr>
              <w:pStyle w:val="95"/>
              <w:spacing w:before="94" w:line="218" w:lineRule="auto"/>
              <w:ind w:left="127"/>
              <w:rPr>
                <w:color w:val="auto"/>
                <w:highlight w:val="none"/>
              </w:rPr>
            </w:pPr>
            <w:r>
              <w:rPr>
                <w:b/>
                <w:bCs/>
                <w:color w:val="auto"/>
                <w:spacing w:val="-6"/>
                <w:highlight w:val="none"/>
              </w:rPr>
              <w:t>一、基本要求</w:t>
            </w:r>
          </w:p>
        </w:tc>
      </w:tr>
      <w:tr w14:paraId="15CD7B80">
        <w:tblPrEx>
          <w:tblCellMar>
            <w:top w:w="0" w:type="dxa"/>
            <w:left w:w="0" w:type="dxa"/>
            <w:bottom w:w="0" w:type="dxa"/>
            <w:right w:w="0" w:type="dxa"/>
          </w:tblCellMar>
        </w:tblPrEx>
        <w:trPr>
          <w:trHeight w:val="530" w:hRule="atLeast"/>
        </w:trPr>
        <w:tc>
          <w:tcPr>
            <w:tcW w:w="1833" w:type="dxa"/>
            <w:tcBorders>
              <w:top w:val="single" w:color="000000" w:sz="4" w:space="0"/>
              <w:left w:val="single" w:color="000000" w:sz="4" w:space="0"/>
              <w:bottom w:val="single" w:color="000000" w:sz="4" w:space="0"/>
              <w:right w:val="single" w:color="000000" w:sz="4" w:space="0"/>
            </w:tcBorders>
            <w:noWrap w:val="0"/>
            <w:vAlign w:val="top"/>
          </w:tcPr>
          <w:p w14:paraId="650DB3F5">
            <w:pPr>
              <w:pStyle w:val="95"/>
              <w:spacing w:before="156" w:line="218" w:lineRule="auto"/>
              <w:ind w:left="487"/>
              <w:rPr>
                <w:color w:val="auto"/>
                <w:highlight w:val="none"/>
              </w:rPr>
            </w:pPr>
            <w:r>
              <w:rPr>
                <w:b/>
                <w:bCs/>
                <w:color w:val="auto"/>
                <w:spacing w:val="6"/>
                <w:highlight w:val="none"/>
              </w:rPr>
              <w:t>检查项目</w:t>
            </w:r>
          </w:p>
        </w:tc>
        <w:tc>
          <w:tcPr>
            <w:tcW w:w="6853" w:type="dxa"/>
            <w:tcBorders>
              <w:top w:val="single" w:color="000000" w:sz="4" w:space="0"/>
              <w:left w:val="single" w:color="000000" w:sz="4" w:space="0"/>
              <w:bottom w:val="single" w:color="000000" w:sz="4" w:space="0"/>
              <w:right w:val="single" w:color="000000" w:sz="4" w:space="0"/>
            </w:tcBorders>
            <w:noWrap w:val="0"/>
            <w:vAlign w:val="top"/>
          </w:tcPr>
          <w:p w14:paraId="72322093">
            <w:pPr>
              <w:pStyle w:val="95"/>
              <w:spacing w:before="157" w:line="218" w:lineRule="auto"/>
              <w:ind w:left="105"/>
              <w:rPr>
                <w:color w:val="auto"/>
                <w:highlight w:val="none"/>
              </w:rPr>
            </w:pPr>
            <w:r>
              <w:rPr>
                <w:b/>
                <w:bCs/>
                <w:color w:val="auto"/>
                <w:spacing w:val="-4"/>
                <w:highlight w:val="none"/>
              </w:rPr>
              <w:t>达到的标准</w:t>
            </w:r>
          </w:p>
        </w:tc>
        <w:tc>
          <w:tcPr>
            <w:tcW w:w="1083" w:type="dxa"/>
            <w:tcBorders>
              <w:top w:val="single" w:color="000000" w:sz="4" w:space="0"/>
              <w:left w:val="single" w:color="000000" w:sz="4" w:space="0"/>
              <w:bottom w:val="single" w:color="000000" w:sz="4" w:space="0"/>
              <w:right w:val="single" w:color="000000" w:sz="4" w:space="0"/>
            </w:tcBorders>
            <w:noWrap w:val="0"/>
            <w:vAlign w:val="top"/>
          </w:tcPr>
          <w:p w14:paraId="27917FE5">
            <w:pPr>
              <w:pStyle w:val="95"/>
              <w:spacing w:before="7" w:line="218" w:lineRule="auto"/>
              <w:ind w:left="121" w:right="122" w:firstLine="99"/>
              <w:rPr>
                <w:color w:val="auto"/>
                <w:highlight w:val="none"/>
              </w:rPr>
            </w:pPr>
            <w:r>
              <w:rPr>
                <w:b/>
                <w:bCs/>
                <w:color w:val="auto"/>
                <w:spacing w:val="-7"/>
                <w:highlight w:val="none"/>
              </w:rPr>
              <w:t>未达标</w:t>
            </w:r>
            <w:r>
              <w:rPr>
                <w:color w:val="auto"/>
                <w:highlight w:val="none"/>
              </w:rPr>
              <w:t xml:space="preserve">  </w:t>
            </w:r>
            <w:r>
              <w:rPr>
                <w:b/>
                <w:bCs/>
                <w:color w:val="auto"/>
                <w:spacing w:val="-6"/>
                <w:highlight w:val="none"/>
              </w:rPr>
              <w:t>扣分标准</w:t>
            </w:r>
          </w:p>
        </w:tc>
      </w:tr>
      <w:tr w14:paraId="6CF3D095">
        <w:tblPrEx>
          <w:tblCellMar>
            <w:top w:w="0" w:type="dxa"/>
            <w:left w:w="0" w:type="dxa"/>
            <w:bottom w:w="0" w:type="dxa"/>
            <w:right w:w="0" w:type="dxa"/>
          </w:tblCellMar>
        </w:tblPrEx>
        <w:trPr>
          <w:trHeight w:val="549" w:hRule="atLeast"/>
        </w:trPr>
        <w:tc>
          <w:tcPr>
            <w:tcW w:w="1833" w:type="dxa"/>
            <w:tcBorders>
              <w:top w:val="single" w:color="000000" w:sz="4" w:space="0"/>
              <w:left w:val="single" w:color="000000" w:sz="4" w:space="0"/>
              <w:bottom w:val="single" w:color="000000" w:sz="4" w:space="0"/>
              <w:right w:val="single" w:color="000000" w:sz="4" w:space="0"/>
            </w:tcBorders>
            <w:noWrap w:val="0"/>
            <w:vAlign w:val="top"/>
          </w:tcPr>
          <w:p w14:paraId="3AB8FF41">
            <w:pPr>
              <w:pStyle w:val="95"/>
              <w:spacing w:before="169" w:line="218" w:lineRule="auto"/>
              <w:ind w:left="484"/>
              <w:rPr>
                <w:color w:val="auto"/>
                <w:highlight w:val="none"/>
              </w:rPr>
            </w:pPr>
            <w:r>
              <w:rPr>
                <w:color w:val="auto"/>
                <w:spacing w:val="2"/>
                <w:highlight w:val="none"/>
              </w:rPr>
              <w:t>安防人数</w:t>
            </w:r>
          </w:p>
        </w:tc>
        <w:tc>
          <w:tcPr>
            <w:tcW w:w="6853" w:type="dxa"/>
            <w:tcBorders>
              <w:top w:val="single" w:color="000000" w:sz="4" w:space="0"/>
              <w:left w:val="single" w:color="000000" w:sz="4" w:space="0"/>
              <w:bottom w:val="single" w:color="000000" w:sz="4" w:space="0"/>
              <w:right w:val="single" w:color="000000" w:sz="4" w:space="0"/>
            </w:tcBorders>
            <w:noWrap w:val="0"/>
            <w:vAlign w:val="top"/>
          </w:tcPr>
          <w:p w14:paraId="3C3BFF8A">
            <w:pPr>
              <w:pStyle w:val="95"/>
              <w:spacing w:before="8" w:line="232" w:lineRule="auto"/>
              <w:ind w:left="101" w:right="9"/>
              <w:rPr>
                <w:color w:val="auto"/>
                <w:highlight w:val="none"/>
              </w:rPr>
            </w:pPr>
            <w:r>
              <w:rPr>
                <w:color w:val="auto"/>
                <w:highlight w:val="none"/>
              </w:rPr>
              <w:t>符合合同约定的人数，派驻持证人数必须达到派驻总人数的百分之八十及</w:t>
            </w:r>
            <w:r>
              <w:rPr>
                <w:color w:val="auto"/>
                <w:spacing w:val="10"/>
                <w:highlight w:val="none"/>
              </w:rPr>
              <w:t xml:space="preserve"> </w:t>
            </w:r>
            <w:r>
              <w:rPr>
                <w:color w:val="auto"/>
                <w:spacing w:val="-2"/>
                <w:highlight w:val="none"/>
              </w:rPr>
              <w:t>以上。</w:t>
            </w:r>
          </w:p>
        </w:tc>
        <w:tc>
          <w:tcPr>
            <w:tcW w:w="1083" w:type="dxa"/>
            <w:tcBorders>
              <w:top w:val="single" w:color="000000" w:sz="4" w:space="0"/>
              <w:left w:val="single" w:color="000000" w:sz="4" w:space="0"/>
              <w:bottom w:val="single" w:color="000000" w:sz="4" w:space="0"/>
              <w:right w:val="single" w:color="000000" w:sz="4" w:space="0"/>
            </w:tcBorders>
            <w:noWrap w:val="0"/>
            <w:vAlign w:val="top"/>
          </w:tcPr>
          <w:p w14:paraId="4DFAC3D4">
            <w:pPr>
              <w:pStyle w:val="95"/>
              <w:spacing w:before="110" w:line="218" w:lineRule="auto"/>
              <w:ind w:left="328"/>
              <w:rPr>
                <w:color w:val="auto"/>
                <w:highlight w:val="none"/>
              </w:rPr>
            </w:pPr>
            <w:r>
              <w:rPr>
                <w:color w:val="auto"/>
                <w:spacing w:val="3"/>
                <w:highlight w:val="none"/>
              </w:rPr>
              <w:t>10分</w:t>
            </w:r>
          </w:p>
        </w:tc>
      </w:tr>
      <w:tr w14:paraId="39C1E5A9">
        <w:tblPrEx>
          <w:tblCellMar>
            <w:top w:w="0" w:type="dxa"/>
            <w:left w:w="0" w:type="dxa"/>
            <w:bottom w:w="0" w:type="dxa"/>
            <w:right w:w="0" w:type="dxa"/>
          </w:tblCellMar>
        </w:tblPrEx>
        <w:trPr>
          <w:trHeight w:val="540" w:hRule="atLeast"/>
        </w:trPr>
        <w:tc>
          <w:tcPr>
            <w:tcW w:w="1833" w:type="dxa"/>
            <w:tcBorders>
              <w:top w:val="single" w:color="000000" w:sz="4" w:space="0"/>
              <w:left w:val="single" w:color="000000" w:sz="4" w:space="0"/>
              <w:bottom w:val="single" w:color="000000" w:sz="4" w:space="0"/>
              <w:right w:val="single" w:color="000000" w:sz="4" w:space="0"/>
            </w:tcBorders>
            <w:noWrap w:val="0"/>
            <w:vAlign w:val="top"/>
          </w:tcPr>
          <w:p w14:paraId="77280269">
            <w:pPr>
              <w:pStyle w:val="95"/>
              <w:spacing w:before="171" w:line="218" w:lineRule="auto"/>
              <w:ind w:left="384"/>
              <w:rPr>
                <w:color w:val="auto"/>
                <w:highlight w:val="none"/>
              </w:rPr>
            </w:pPr>
            <w:r>
              <w:rPr>
                <w:color w:val="auto"/>
                <w:spacing w:val="1"/>
                <w:highlight w:val="none"/>
              </w:rPr>
              <w:t>安防员要求</w:t>
            </w:r>
          </w:p>
        </w:tc>
        <w:tc>
          <w:tcPr>
            <w:tcW w:w="6853" w:type="dxa"/>
            <w:tcBorders>
              <w:top w:val="single" w:color="000000" w:sz="4" w:space="0"/>
              <w:left w:val="single" w:color="000000" w:sz="4" w:space="0"/>
              <w:bottom w:val="single" w:color="000000" w:sz="4" w:space="0"/>
              <w:right w:val="single" w:color="000000" w:sz="4" w:space="0"/>
            </w:tcBorders>
            <w:noWrap w:val="0"/>
            <w:vAlign w:val="top"/>
          </w:tcPr>
          <w:p w14:paraId="0BF82859">
            <w:pPr>
              <w:pStyle w:val="95"/>
              <w:spacing w:before="40" w:line="213" w:lineRule="auto"/>
              <w:ind w:left="101" w:right="232" w:hanging="19"/>
              <w:rPr>
                <w:color w:val="auto"/>
                <w:highlight w:val="none"/>
              </w:rPr>
            </w:pPr>
            <w:r>
              <w:rPr>
                <w:rFonts w:hint="eastAsia"/>
                <w:color w:val="auto"/>
                <w:highlight w:val="none"/>
              </w:rPr>
              <w:t>18</w:t>
            </w:r>
            <w:r>
              <w:rPr>
                <w:color w:val="auto"/>
                <w:highlight w:val="none"/>
              </w:rPr>
              <w:t>-5</w:t>
            </w:r>
            <w:r>
              <w:rPr>
                <w:rFonts w:hint="eastAsia"/>
                <w:color w:val="auto"/>
                <w:highlight w:val="none"/>
              </w:rPr>
              <w:t>7</w:t>
            </w:r>
            <w:r>
              <w:rPr>
                <w:color w:val="auto"/>
                <w:highlight w:val="none"/>
              </w:rPr>
              <w:t>周岁，身高170cm以上，五官端正，文化程度和身高等符合合同约</w:t>
            </w:r>
            <w:r>
              <w:rPr>
                <w:color w:val="auto"/>
                <w:spacing w:val="17"/>
                <w:highlight w:val="none"/>
              </w:rPr>
              <w:t xml:space="preserve"> </w:t>
            </w:r>
            <w:r>
              <w:rPr>
                <w:color w:val="auto"/>
                <w:spacing w:val="-2"/>
                <w:highlight w:val="none"/>
              </w:rPr>
              <w:t>定。</w:t>
            </w:r>
          </w:p>
        </w:tc>
        <w:tc>
          <w:tcPr>
            <w:tcW w:w="1083" w:type="dxa"/>
            <w:tcBorders>
              <w:top w:val="single" w:color="000000" w:sz="4" w:space="0"/>
              <w:left w:val="single" w:color="000000" w:sz="4" w:space="0"/>
              <w:bottom w:val="single" w:color="000000" w:sz="4" w:space="0"/>
              <w:right w:val="single" w:color="000000" w:sz="4" w:space="0"/>
            </w:tcBorders>
            <w:noWrap w:val="0"/>
            <w:vAlign w:val="top"/>
          </w:tcPr>
          <w:p w14:paraId="6C05194F">
            <w:pPr>
              <w:pStyle w:val="95"/>
              <w:spacing w:before="91" w:line="218" w:lineRule="auto"/>
              <w:ind w:left="378"/>
              <w:rPr>
                <w:color w:val="auto"/>
                <w:highlight w:val="none"/>
              </w:rPr>
            </w:pPr>
            <w:r>
              <w:rPr>
                <w:color w:val="auto"/>
                <w:spacing w:val="-3"/>
                <w:highlight w:val="none"/>
              </w:rPr>
              <w:t>3分</w:t>
            </w:r>
          </w:p>
        </w:tc>
      </w:tr>
      <w:tr w14:paraId="78243FDC">
        <w:tblPrEx>
          <w:tblCellMar>
            <w:top w:w="0" w:type="dxa"/>
            <w:left w:w="0" w:type="dxa"/>
            <w:bottom w:w="0" w:type="dxa"/>
            <w:right w:w="0" w:type="dxa"/>
          </w:tblCellMar>
        </w:tblPrEx>
        <w:trPr>
          <w:trHeight w:val="410" w:hRule="atLeast"/>
        </w:trPr>
        <w:tc>
          <w:tcPr>
            <w:tcW w:w="1833" w:type="dxa"/>
            <w:vMerge w:val="restart"/>
            <w:tcBorders>
              <w:top w:val="single" w:color="000000" w:sz="4" w:space="0"/>
              <w:left w:val="single" w:color="000000" w:sz="4" w:space="0"/>
              <w:right w:val="single" w:color="000000" w:sz="4" w:space="0"/>
            </w:tcBorders>
            <w:noWrap w:val="0"/>
            <w:vAlign w:val="top"/>
          </w:tcPr>
          <w:p w14:paraId="15340B11">
            <w:pPr>
              <w:snapToGrid w:val="0"/>
              <w:spacing w:line="309" w:lineRule="auto"/>
              <w:rPr>
                <w:rFonts w:ascii="Arial" w:hAnsi="Arial"/>
                <w:color w:val="auto"/>
                <w:highlight w:val="none"/>
              </w:rPr>
            </w:pPr>
          </w:p>
          <w:p w14:paraId="4444297C">
            <w:pPr>
              <w:pStyle w:val="95"/>
              <w:spacing w:before="68" w:line="218" w:lineRule="auto"/>
              <w:ind w:left="274"/>
              <w:rPr>
                <w:color w:val="auto"/>
                <w:highlight w:val="none"/>
              </w:rPr>
            </w:pPr>
            <w:r>
              <w:rPr>
                <w:color w:val="auto"/>
                <w:spacing w:val="-2"/>
                <w:highlight w:val="none"/>
              </w:rPr>
              <w:t>满足岗位要求</w:t>
            </w:r>
          </w:p>
        </w:tc>
        <w:tc>
          <w:tcPr>
            <w:tcW w:w="6853" w:type="dxa"/>
            <w:tcBorders>
              <w:top w:val="single" w:color="000000" w:sz="4" w:space="0"/>
              <w:left w:val="single" w:color="000000" w:sz="4" w:space="0"/>
              <w:bottom w:val="single" w:color="000000" w:sz="4" w:space="0"/>
              <w:right w:val="single" w:color="000000" w:sz="4" w:space="0"/>
            </w:tcBorders>
            <w:noWrap w:val="0"/>
            <w:vAlign w:val="top"/>
          </w:tcPr>
          <w:p w14:paraId="6A055CA9">
            <w:pPr>
              <w:pStyle w:val="95"/>
              <w:spacing w:before="99" w:line="218" w:lineRule="auto"/>
              <w:ind w:left="101"/>
              <w:rPr>
                <w:color w:val="auto"/>
                <w:highlight w:val="none"/>
              </w:rPr>
            </w:pPr>
            <w:r>
              <w:rPr>
                <w:color w:val="auto"/>
                <w:spacing w:val="-1"/>
                <w:highlight w:val="none"/>
              </w:rPr>
              <w:t>1.熟知岗位职责和本岗位应知应会。</w:t>
            </w:r>
          </w:p>
        </w:tc>
        <w:tc>
          <w:tcPr>
            <w:tcW w:w="1083" w:type="dxa"/>
            <w:tcBorders>
              <w:top w:val="single" w:color="000000" w:sz="4" w:space="0"/>
              <w:left w:val="single" w:color="000000" w:sz="4" w:space="0"/>
              <w:bottom w:val="single" w:color="000000" w:sz="4" w:space="0"/>
              <w:right w:val="single" w:color="000000" w:sz="4" w:space="0"/>
            </w:tcBorders>
            <w:noWrap w:val="0"/>
            <w:vAlign w:val="top"/>
          </w:tcPr>
          <w:p w14:paraId="32D6A64F">
            <w:pPr>
              <w:pStyle w:val="95"/>
              <w:spacing w:before="101" w:line="218" w:lineRule="auto"/>
              <w:ind w:left="378"/>
              <w:rPr>
                <w:color w:val="auto"/>
                <w:highlight w:val="none"/>
              </w:rPr>
            </w:pPr>
            <w:r>
              <w:rPr>
                <w:color w:val="auto"/>
                <w:spacing w:val="-3"/>
                <w:highlight w:val="none"/>
              </w:rPr>
              <w:t>3分</w:t>
            </w:r>
          </w:p>
        </w:tc>
      </w:tr>
      <w:tr w14:paraId="10ECCA18">
        <w:tblPrEx>
          <w:tblCellMar>
            <w:top w:w="0" w:type="dxa"/>
            <w:left w:w="0" w:type="dxa"/>
            <w:bottom w:w="0" w:type="dxa"/>
            <w:right w:w="0" w:type="dxa"/>
          </w:tblCellMar>
        </w:tblPrEx>
        <w:trPr>
          <w:trHeight w:val="539" w:hRule="atLeast"/>
        </w:trPr>
        <w:tc>
          <w:tcPr>
            <w:tcW w:w="1833" w:type="dxa"/>
            <w:vMerge w:val="continue"/>
            <w:tcBorders>
              <w:top w:val="single" w:color="000000" w:sz="4" w:space="0"/>
              <w:left w:val="single" w:color="000000" w:sz="4" w:space="0"/>
              <w:right w:val="single" w:color="000000" w:sz="4" w:space="0"/>
            </w:tcBorders>
            <w:noWrap w:val="0"/>
            <w:vAlign w:val="top"/>
          </w:tcPr>
          <w:p w14:paraId="04F34DED">
            <w:pPr>
              <w:snapToGrid w:val="0"/>
              <w:rPr>
                <w:rFonts w:ascii="Arial" w:hAnsi="Arial"/>
                <w:color w:val="auto"/>
                <w:highlight w:val="none"/>
              </w:rPr>
            </w:pPr>
          </w:p>
        </w:tc>
        <w:tc>
          <w:tcPr>
            <w:tcW w:w="6853" w:type="dxa"/>
            <w:tcBorders>
              <w:top w:val="single" w:color="000000" w:sz="4" w:space="0"/>
              <w:left w:val="single" w:color="000000" w:sz="4" w:space="0"/>
              <w:bottom w:val="single" w:color="000000" w:sz="4" w:space="0"/>
              <w:right w:val="single" w:color="000000" w:sz="4" w:space="0"/>
            </w:tcBorders>
            <w:noWrap w:val="0"/>
            <w:vAlign w:val="top"/>
          </w:tcPr>
          <w:p w14:paraId="59E0B4EF">
            <w:pPr>
              <w:pStyle w:val="95"/>
              <w:spacing w:before="10" w:line="228" w:lineRule="auto"/>
              <w:ind w:left="101" w:right="221"/>
              <w:rPr>
                <w:color w:val="auto"/>
                <w:highlight w:val="none"/>
              </w:rPr>
            </w:pPr>
            <w:r>
              <w:rPr>
                <w:color w:val="auto"/>
                <w:highlight w:val="none"/>
              </w:rPr>
              <w:t>2.了解集团和公司基本情况：如集团名称、公司概况、管理理念、服务</w:t>
            </w:r>
            <w:r>
              <w:rPr>
                <w:color w:val="auto"/>
                <w:spacing w:val="8"/>
                <w:highlight w:val="none"/>
              </w:rPr>
              <w:t xml:space="preserve"> </w:t>
            </w:r>
            <w:r>
              <w:rPr>
                <w:color w:val="auto"/>
                <w:spacing w:val="-1"/>
                <w:highlight w:val="none"/>
              </w:rPr>
              <w:t>要求等。</w:t>
            </w:r>
          </w:p>
        </w:tc>
        <w:tc>
          <w:tcPr>
            <w:tcW w:w="1083" w:type="dxa"/>
            <w:tcBorders>
              <w:top w:val="single" w:color="000000" w:sz="4" w:space="0"/>
              <w:left w:val="single" w:color="000000" w:sz="4" w:space="0"/>
              <w:bottom w:val="single" w:color="000000" w:sz="4" w:space="0"/>
              <w:right w:val="single" w:color="000000" w:sz="4" w:space="0"/>
            </w:tcBorders>
            <w:noWrap w:val="0"/>
            <w:vAlign w:val="top"/>
          </w:tcPr>
          <w:p w14:paraId="42EA172D">
            <w:pPr>
              <w:pStyle w:val="95"/>
              <w:spacing w:before="171" w:line="218" w:lineRule="auto"/>
              <w:ind w:left="378"/>
              <w:rPr>
                <w:color w:val="auto"/>
                <w:highlight w:val="none"/>
              </w:rPr>
            </w:pPr>
            <w:r>
              <w:rPr>
                <w:color w:val="auto"/>
                <w:spacing w:val="1"/>
                <w:highlight w:val="none"/>
              </w:rPr>
              <w:t>1分</w:t>
            </w:r>
          </w:p>
        </w:tc>
      </w:tr>
      <w:tr w14:paraId="6E468A01">
        <w:tblPrEx>
          <w:tblCellMar>
            <w:top w:w="0" w:type="dxa"/>
            <w:left w:w="0" w:type="dxa"/>
            <w:bottom w:w="0" w:type="dxa"/>
            <w:right w:w="0" w:type="dxa"/>
          </w:tblCellMar>
        </w:tblPrEx>
        <w:trPr>
          <w:trHeight w:val="400" w:hRule="atLeast"/>
        </w:trPr>
        <w:tc>
          <w:tcPr>
            <w:tcW w:w="9769" w:type="dxa"/>
            <w:gridSpan w:val="3"/>
            <w:tcBorders>
              <w:top w:val="single" w:color="000000" w:sz="4" w:space="0"/>
              <w:left w:val="single" w:color="000000" w:sz="4" w:space="0"/>
              <w:bottom w:val="single" w:color="000000" w:sz="4" w:space="0"/>
              <w:right w:val="single" w:color="000000" w:sz="4" w:space="0"/>
            </w:tcBorders>
            <w:noWrap w:val="0"/>
            <w:vAlign w:val="top"/>
          </w:tcPr>
          <w:p w14:paraId="76A57A66">
            <w:pPr>
              <w:pStyle w:val="95"/>
              <w:spacing w:before="98" w:line="218" w:lineRule="auto"/>
              <w:ind w:left="127"/>
              <w:rPr>
                <w:color w:val="auto"/>
                <w:highlight w:val="none"/>
              </w:rPr>
            </w:pPr>
            <w:r>
              <w:rPr>
                <w:b/>
                <w:bCs/>
                <w:color w:val="auto"/>
                <w:spacing w:val="-4"/>
                <w:highlight w:val="none"/>
              </w:rPr>
              <w:t>二、素质要求</w:t>
            </w:r>
          </w:p>
        </w:tc>
      </w:tr>
      <w:tr w14:paraId="0087BF39">
        <w:tblPrEx>
          <w:tblCellMar>
            <w:top w:w="0" w:type="dxa"/>
            <w:left w:w="0" w:type="dxa"/>
            <w:bottom w:w="0" w:type="dxa"/>
            <w:right w:w="0" w:type="dxa"/>
          </w:tblCellMar>
        </w:tblPrEx>
        <w:trPr>
          <w:trHeight w:val="540" w:hRule="atLeast"/>
        </w:trPr>
        <w:tc>
          <w:tcPr>
            <w:tcW w:w="1833" w:type="dxa"/>
            <w:tcBorders>
              <w:top w:val="single" w:color="000000" w:sz="4" w:space="0"/>
              <w:left w:val="single" w:color="000000" w:sz="4" w:space="0"/>
              <w:bottom w:val="single" w:color="000000" w:sz="4" w:space="0"/>
              <w:right w:val="single" w:color="000000" w:sz="4" w:space="0"/>
            </w:tcBorders>
            <w:noWrap w:val="0"/>
            <w:vAlign w:val="top"/>
          </w:tcPr>
          <w:p w14:paraId="04E2D6D0">
            <w:pPr>
              <w:pStyle w:val="95"/>
              <w:spacing w:before="168" w:line="218" w:lineRule="auto"/>
              <w:ind w:left="487"/>
              <w:rPr>
                <w:color w:val="auto"/>
                <w:highlight w:val="none"/>
              </w:rPr>
            </w:pPr>
            <w:r>
              <w:rPr>
                <w:b/>
                <w:bCs/>
                <w:color w:val="auto"/>
                <w:spacing w:val="6"/>
                <w:highlight w:val="none"/>
              </w:rPr>
              <w:t>检查项目</w:t>
            </w:r>
          </w:p>
        </w:tc>
        <w:tc>
          <w:tcPr>
            <w:tcW w:w="6853" w:type="dxa"/>
            <w:tcBorders>
              <w:top w:val="single" w:color="000000" w:sz="4" w:space="0"/>
              <w:left w:val="single" w:color="000000" w:sz="4" w:space="0"/>
              <w:bottom w:val="single" w:color="000000" w:sz="4" w:space="0"/>
              <w:right w:val="single" w:color="000000" w:sz="4" w:space="0"/>
            </w:tcBorders>
            <w:noWrap w:val="0"/>
            <w:vAlign w:val="top"/>
          </w:tcPr>
          <w:p w14:paraId="2B4BB2C6">
            <w:pPr>
              <w:pStyle w:val="95"/>
              <w:spacing w:before="169" w:line="218" w:lineRule="auto"/>
              <w:ind w:left="105"/>
              <w:rPr>
                <w:color w:val="auto"/>
                <w:highlight w:val="none"/>
              </w:rPr>
            </w:pPr>
            <w:r>
              <w:rPr>
                <w:b/>
                <w:bCs/>
                <w:color w:val="auto"/>
                <w:spacing w:val="-4"/>
                <w:highlight w:val="none"/>
              </w:rPr>
              <w:t>达到的标准</w:t>
            </w:r>
          </w:p>
        </w:tc>
        <w:tc>
          <w:tcPr>
            <w:tcW w:w="1083" w:type="dxa"/>
            <w:tcBorders>
              <w:top w:val="single" w:color="000000" w:sz="4" w:space="0"/>
              <w:left w:val="single" w:color="000000" w:sz="4" w:space="0"/>
              <w:bottom w:val="single" w:color="000000" w:sz="4" w:space="0"/>
              <w:right w:val="single" w:color="000000" w:sz="4" w:space="0"/>
            </w:tcBorders>
            <w:noWrap w:val="0"/>
            <w:vAlign w:val="top"/>
          </w:tcPr>
          <w:p w14:paraId="527295D0">
            <w:pPr>
              <w:pStyle w:val="95"/>
              <w:spacing w:before="8" w:line="228" w:lineRule="auto"/>
              <w:ind w:left="121" w:right="122" w:firstLine="99"/>
              <w:rPr>
                <w:color w:val="auto"/>
                <w:highlight w:val="none"/>
              </w:rPr>
            </w:pPr>
            <w:r>
              <w:rPr>
                <w:b/>
                <w:bCs/>
                <w:color w:val="auto"/>
                <w:spacing w:val="-7"/>
                <w:highlight w:val="none"/>
              </w:rPr>
              <w:t>未达标</w:t>
            </w:r>
            <w:r>
              <w:rPr>
                <w:color w:val="auto"/>
                <w:highlight w:val="none"/>
              </w:rPr>
              <w:t xml:space="preserve">  </w:t>
            </w:r>
            <w:r>
              <w:rPr>
                <w:b/>
                <w:bCs/>
                <w:color w:val="auto"/>
                <w:spacing w:val="-6"/>
                <w:highlight w:val="none"/>
              </w:rPr>
              <w:t>扣分标准</w:t>
            </w:r>
          </w:p>
        </w:tc>
      </w:tr>
      <w:tr w14:paraId="4E9BA7A3">
        <w:tblPrEx>
          <w:tblCellMar>
            <w:top w:w="0" w:type="dxa"/>
            <w:left w:w="0" w:type="dxa"/>
            <w:bottom w:w="0" w:type="dxa"/>
            <w:right w:w="0" w:type="dxa"/>
          </w:tblCellMar>
        </w:tblPrEx>
        <w:trPr>
          <w:trHeight w:val="400" w:hRule="atLeast"/>
        </w:trPr>
        <w:tc>
          <w:tcPr>
            <w:tcW w:w="1833" w:type="dxa"/>
            <w:vMerge w:val="restart"/>
            <w:tcBorders>
              <w:top w:val="single" w:color="000000" w:sz="4" w:space="0"/>
              <w:left w:val="single" w:color="000000" w:sz="4" w:space="0"/>
              <w:right w:val="single" w:color="000000" w:sz="4" w:space="0"/>
            </w:tcBorders>
            <w:noWrap w:val="0"/>
            <w:vAlign w:val="top"/>
          </w:tcPr>
          <w:p w14:paraId="725A1C9C">
            <w:pPr>
              <w:snapToGrid w:val="0"/>
              <w:spacing w:line="247" w:lineRule="auto"/>
              <w:rPr>
                <w:rFonts w:ascii="Arial" w:hAnsi="Arial"/>
                <w:color w:val="auto"/>
                <w:highlight w:val="none"/>
              </w:rPr>
            </w:pPr>
          </w:p>
          <w:p w14:paraId="54F19D06">
            <w:pPr>
              <w:spacing w:line="247" w:lineRule="auto"/>
              <w:rPr>
                <w:rFonts w:ascii="Arial" w:hAnsi="Arial"/>
                <w:color w:val="auto"/>
                <w:highlight w:val="none"/>
              </w:rPr>
            </w:pPr>
          </w:p>
          <w:p w14:paraId="74367089">
            <w:pPr>
              <w:spacing w:line="247" w:lineRule="auto"/>
              <w:rPr>
                <w:rFonts w:ascii="Arial" w:hAnsi="Arial"/>
                <w:color w:val="auto"/>
                <w:highlight w:val="none"/>
              </w:rPr>
            </w:pPr>
          </w:p>
          <w:p w14:paraId="6DE764AD">
            <w:pPr>
              <w:spacing w:line="247" w:lineRule="auto"/>
              <w:rPr>
                <w:rFonts w:ascii="Arial" w:hAnsi="Arial"/>
                <w:color w:val="auto"/>
                <w:highlight w:val="none"/>
              </w:rPr>
            </w:pPr>
          </w:p>
          <w:p w14:paraId="6A171288">
            <w:pPr>
              <w:spacing w:line="247" w:lineRule="auto"/>
              <w:rPr>
                <w:rFonts w:ascii="Arial" w:hAnsi="Arial"/>
                <w:color w:val="auto"/>
                <w:highlight w:val="none"/>
              </w:rPr>
            </w:pPr>
          </w:p>
          <w:p w14:paraId="62C093E4">
            <w:pPr>
              <w:spacing w:line="247" w:lineRule="auto"/>
              <w:rPr>
                <w:rFonts w:ascii="Arial" w:hAnsi="Arial"/>
                <w:color w:val="auto"/>
                <w:highlight w:val="none"/>
              </w:rPr>
            </w:pPr>
          </w:p>
          <w:p w14:paraId="7C202387">
            <w:pPr>
              <w:spacing w:line="247" w:lineRule="auto"/>
              <w:rPr>
                <w:rFonts w:ascii="Arial" w:hAnsi="Arial"/>
                <w:color w:val="auto"/>
                <w:highlight w:val="none"/>
              </w:rPr>
            </w:pPr>
          </w:p>
          <w:p w14:paraId="5BA222AB">
            <w:pPr>
              <w:spacing w:line="247" w:lineRule="auto"/>
              <w:rPr>
                <w:rFonts w:ascii="Arial" w:hAnsi="Arial"/>
                <w:color w:val="auto"/>
                <w:highlight w:val="none"/>
              </w:rPr>
            </w:pPr>
          </w:p>
          <w:p w14:paraId="13F4BBEB">
            <w:pPr>
              <w:spacing w:line="247" w:lineRule="auto"/>
              <w:rPr>
                <w:rFonts w:ascii="Arial" w:hAnsi="Arial"/>
                <w:color w:val="auto"/>
                <w:highlight w:val="none"/>
              </w:rPr>
            </w:pPr>
          </w:p>
          <w:p w14:paraId="04A08CC9">
            <w:pPr>
              <w:pStyle w:val="95"/>
              <w:spacing w:before="69" w:line="218" w:lineRule="auto"/>
              <w:ind w:left="484"/>
              <w:rPr>
                <w:color w:val="auto"/>
                <w:highlight w:val="none"/>
              </w:rPr>
            </w:pPr>
            <w:r>
              <w:rPr>
                <w:color w:val="auto"/>
                <w:spacing w:val="-3"/>
                <w:highlight w:val="none"/>
              </w:rPr>
              <w:t>工作纪律</w:t>
            </w:r>
          </w:p>
        </w:tc>
        <w:tc>
          <w:tcPr>
            <w:tcW w:w="6853" w:type="dxa"/>
            <w:tcBorders>
              <w:top w:val="single" w:color="000000" w:sz="4" w:space="0"/>
              <w:left w:val="single" w:color="000000" w:sz="4" w:space="0"/>
              <w:bottom w:val="single" w:color="000000" w:sz="4" w:space="0"/>
              <w:right w:val="single" w:color="000000" w:sz="4" w:space="0"/>
            </w:tcBorders>
            <w:noWrap w:val="0"/>
            <w:vAlign w:val="top"/>
          </w:tcPr>
          <w:p w14:paraId="1647DF04">
            <w:pPr>
              <w:pStyle w:val="95"/>
              <w:spacing w:before="101" w:line="218" w:lineRule="auto"/>
              <w:ind w:left="101"/>
              <w:rPr>
                <w:color w:val="auto"/>
                <w:highlight w:val="none"/>
              </w:rPr>
            </w:pPr>
            <w:r>
              <w:rPr>
                <w:color w:val="auto"/>
                <w:highlight w:val="none"/>
              </w:rPr>
              <w:t>1.严禁聚众赌博、监守自盗、任何刑事事件和违反</w:t>
            </w:r>
            <w:r>
              <w:rPr>
                <w:color w:val="auto"/>
                <w:spacing w:val="-1"/>
                <w:highlight w:val="none"/>
              </w:rPr>
              <w:t>治安等行为。</w:t>
            </w:r>
          </w:p>
        </w:tc>
        <w:tc>
          <w:tcPr>
            <w:tcW w:w="1083" w:type="dxa"/>
            <w:tcBorders>
              <w:top w:val="single" w:color="000000" w:sz="4" w:space="0"/>
              <w:left w:val="single" w:color="000000" w:sz="4" w:space="0"/>
              <w:bottom w:val="single" w:color="000000" w:sz="4" w:space="0"/>
              <w:right w:val="single" w:color="000000" w:sz="4" w:space="0"/>
            </w:tcBorders>
            <w:noWrap w:val="0"/>
            <w:vAlign w:val="top"/>
          </w:tcPr>
          <w:p w14:paraId="1DF3F20A">
            <w:pPr>
              <w:pStyle w:val="95"/>
              <w:spacing w:before="42" w:line="218" w:lineRule="auto"/>
              <w:ind w:left="328"/>
              <w:rPr>
                <w:color w:val="auto"/>
                <w:highlight w:val="none"/>
              </w:rPr>
            </w:pPr>
            <w:r>
              <w:rPr>
                <w:color w:val="auto"/>
                <w:spacing w:val="3"/>
                <w:highlight w:val="none"/>
              </w:rPr>
              <w:t>10分</w:t>
            </w:r>
          </w:p>
        </w:tc>
      </w:tr>
      <w:tr w14:paraId="618FEE9B">
        <w:tblPrEx>
          <w:tblCellMar>
            <w:top w:w="0" w:type="dxa"/>
            <w:left w:w="0" w:type="dxa"/>
            <w:bottom w:w="0" w:type="dxa"/>
            <w:right w:w="0" w:type="dxa"/>
          </w:tblCellMar>
        </w:tblPrEx>
        <w:trPr>
          <w:trHeight w:val="549" w:hRule="atLeast"/>
        </w:trPr>
        <w:tc>
          <w:tcPr>
            <w:tcW w:w="1833" w:type="dxa"/>
            <w:vMerge w:val="continue"/>
            <w:tcBorders>
              <w:top w:val="single" w:color="000000" w:sz="4" w:space="0"/>
              <w:left w:val="single" w:color="000000" w:sz="4" w:space="0"/>
              <w:right w:val="single" w:color="000000" w:sz="4" w:space="0"/>
            </w:tcBorders>
            <w:noWrap w:val="0"/>
            <w:vAlign w:val="top"/>
          </w:tcPr>
          <w:p w14:paraId="5824D2FD">
            <w:pPr>
              <w:snapToGrid w:val="0"/>
              <w:rPr>
                <w:rFonts w:ascii="Arial" w:hAnsi="Arial"/>
                <w:color w:val="auto"/>
                <w:highlight w:val="none"/>
              </w:rPr>
            </w:pPr>
          </w:p>
        </w:tc>
        <w:tc>
          <w:tcPr>
            <w:tcW w:w="6853" w:type="dxa"/>
            <w:tcBorders>
              <w:top w:val="single" w:color="000000" w:sz="4" w:space="0"/>
              <w:left w:val="single" w:color="000000" w:sz="4" w:space="0"/>
              <w:bottom w:val="single" w:color="000000" w:sz="4" w:space="0"/>
              <w:right w:val="single" w:color="000000" w:sz="4" w:space="0"/>
            </w:tcBorders>
            <w:noWrap w:val="0"/>
            <w:vAlign w:val="top"/>
          </w:tcPr>
          <w:p w14:paraId="76A8F8C6">
            <w:pPr>
              <w:pStyle w:val="95"/>
              <w:spacing w:before="49" w:line="213" w:lineRule="auto"/>
              <w:ind w:left="101" w:right="9"/>
              <w:rPr>
                <w:color w:val="auto"/>
                <w:highlight w:val="none"/>
              </w:rPr>
            </w:pPr>
            <w:r>
              <w:rPr>
                <w:color w:val="auto"/>
                <w:highlight w:val="none"/>
              </w:rPr>
              <w:t>2.要礼貌待客，严禁用粗言秽语，讥讽客人或对客人不礼貌，以及因安防</w:t>
            </w:r>
            <w:r>
              <w:rPr>
                <w:color w:val="auto"/>
                <w:spacing w:val="10"/>
                <w:highlight w:val="none"/>
              </w:rPr>
              <w:t xml:space="preserve"> </w:t>
            </w:r>
            <w:r>
              <w:rPr>
                <w:color w:val="auto"/>
                <w:spacing w:val="-1"/>
                <w:highlight w:val="none"/>
              </w:rPr>
              <w:t>服务原因造成业主和顾客投诉。</w:t>
            </w:r>
          </w:p>
        </w:tc>
        <w:tc>
          <w:tcPr>
            <w:tcW w:w="1083" w:type="dxa"/>
            <w:tcBorders>
              <w:top w:val="single" w:color="000000" w:sz="4" w:space="0"/>
              <w:left w:val="single" w:color="000000" w:sz="4" w:space="0"/>
              <w:bottom w:val="single" w:color="000000" w:sz="4" w:space="0"/>
              <w:right w:val="single" w:color="000000" w:sz="4" w:space="0"/>
            </w:tcBorders>
            <w:noWrap w:val="0"/>
            <w:vAlign w:val="top"/>
          </w:tcPr>
          <w:p w14:paraId="0A329D1F">
            <w:pPr>
              <w:pStyle w:val="95"/>
              <w:spacing w:before="112" w:line="218" w:lineRule="auto"/>
              <w:ind w:left="328"/>
              <w:rPr>
                <w:color w:val="auto"/>
                <w:highlight w:val="none"/>
              </w:rPr>
            </w:pPr>
            <w:r>
              <w:rPr>
                <w:color w:val="auto"/>
                <w:spacing w:val="3"/>
                <w:highlight w:val="none"/>
              </w:rPr>
              <w:t>10分</w:t>
            </w:r>
          </w:p>
        </w:tc>
      </w:tr>
      <w:tr w14:paraId="08231E57">
        <w:tblPrEx>
          <w:tblCellMar>
            <w:top w:w="0" w:type="dxa"/>
            <w:left w:w="0" w:type="dxa"/>
            <w:bottom w:w="0" w:type="dxa"/>
            <w:right w:w="0" w:type="dxa"/>
          </w:tblCellMar>
        </w:tblPrEx>
        <w:trPr>
          <w:trHeight w:val="410" w:hRule="atLeast"/>
        </w:trPr>
        <w:tc>
          <w:tcPr>
            <w:tcW w:w="1833" w:type="dxa"/>
            <w:vMerge w:val="continue"/>
            <w:tcBorders>
              <w:top w:val="single" w:color="000000" w:sz="4" w:space="0"/>
              <w:left w:val="single" w:color="000000" w:sz="4" w:space="0"/>
              <w:right w:val="single" w:color="000000" w:sz="4" w:space="0"/>
            </w:tcBorders>
            <w:noWrap w:val="0"/>
            <w:vAlign w:val="top"/>
          </w:tcPr>
          <w:p w14:paraId="7D341747">
            <w:pPr>
              <w:snapToGrid w:val="0"/>
              <w:rPr>
                <w:rFonts w:ascii="Arial" w:hAnsi="Arial"/>
                <w:color w:val="auto"/>
                <w:highlight w:val="none"/>
              </w:rPr>
            </w:pPr>
          </w:p>
        </w:tc>
        <w:tc>
          <w:tcPr>
            <w:tcW w:w="6853" w:type="dxa"/>
            <w:tcBorders>
              <w:top w:val="single" w:color="000000" w:sz="4" w:space="0"/>
              <w:left w:val="single" w:color="000000" w:sz="4" w:space="0"/>
              <w:bottom w:val="single" w:color="000000" w:sz="4" w:space="0"/>
              <w:right w:val="single" w:color="000000" w:sz="4" w:space="0"/>
            </w:tcBorders>
            <w:noWrap w:val="0"/>
            <w:vAlign w:val="top"/>
          </w:tcPr>
          <w:p w14:paraId="33B1082D">
            <w:pPr>
              <w:pStyle w:val="95"/>
              <w:spacing w:before="102" w:line="218" w:lineRule="auto"/>
              <w:ind w:left="101"/>
              <w:rPr>
                <w:color w:val="auto"/>
                <w:highlight w:val="none"/>
              </w:rPr>
            </w:pPr>
            <w:r>
              <w:rPr>
                <w:color w:val="auto"/>
                <w:highlight w:val="none"/>
              </w:rPr>
              <w:t>3.爱护区域内各种公共财物，不得故意损坏区域内任</w:t>
            </w:r>
            <w:r>
              <w:rPr>
                <w:color w:val="auto"/>
                <w:spacing w:val="-1"/>
                <w:highlight w:val="none"/>
              </w:rPr>
              <w:t>何公共财物。</w:t>
            </w:r>
          </w:p>
        </w:tc>
        <w:tc>
          <w:tcPr>
            <w:tcW w:w="1083" w:type="dxa"/>
            <w:tcBorders>
              <w:top w:val="single" w:color="000000" w:sz="4" w:space="0"/>
              <w:left w:val="single" w:color="000000" w:sz="4" w:space="0"/>
              <w:bottom w:val="single" w:color="000000" w:sz="4" w:space="0"/>
              <w:right w:val="single" w:color="000000" w:sz="4" w:space="0"/>
            </w:tcBorders>
            <w:noWrap w:val="0"/>
            <w:vAlign w:val="top"/>
          </w:tcPr>
          <w:p w14:paraId="6B339CE0">
            <w:pPr>
              <w:pStyle w:val="95"/>
              <w:spacing w:before="103" w:line="218" w:lineRule="auto"/>
              <w:ind w:left="328"/>
              <w:rPr>
                <w:color w:val="auto"/>
                <w:highlight w:val="none"/>
              </w:rPr>
            </w:pPr>
            <w:r>
              <w:rPr>
                <w:color w:val="auto"/>
                <w:spacing w:val="3"/>
                <w:highlight w:val="none"/>
              </w:rPr>
              <w:t>10分</w:t>
            </w:r>
          </w:p>
        </w:tc>
      </w:tr>
      <w:tr w14:paraId="7289AB31">
        <w:tblPrEx>
          <w:tblCellMar>
            <w:top w:w="0" w:type="dxa"/>
            <w:left w:w="0" w:type="dxa"/>
            <w:bottom w:w="0" w:type="dxa"/>
            <w:right w:w="0" w:type="dxa"/>
          </w:tblCellMar>
        </w:tblPrEx>
        <w:trPr>
          <w:trHeight w:val="399" w:hRule="atLeast"/>
        </w:trPr>
        <w:tc>
          <w:tcPr>
            <w:tcW w:w="1833" w:type="dxa"/>
            <w:vMerge w:val="continue"/>
            <w:tcBorders>
              <w:top w:val="single" w:color="000000" w:sz="4" w:space="0"/>
              <w:left w:val="single" w:color="000000" w:sz="4" w:space="0"/>
              <w:right w:val="single" w:color="000000" w:sz="4" w:space="0"/>
            </w:tcBorders>
            <w:noWrap w:val="0"/>
            <w:vAlign w:val="top"/>
          </w:tcPr>
          <w:p w14:paraId="0AE79E9A">
            <w:pPr>
              <w:snapToGrid w:val="0"/>
              <w:rPr>
                <w:rFonts w:ascii="Arial" w:hAnsi="Arial"/>
                <w:color w:val="auto"/>
                <w:highlight w:val="none"/>
              </w:rPr>
            </w:pPr>
          </w:p>
        </w:tc>
        <w:tc>
          <w:tcPr>
            <w:tcW w:w="6853" w:type="dxa"/>
            <w:tcBorders>
              <w:top w:val="single" w:color="000000" w:sz="4" w:space="0"/>
              <w:left w:val="single" w:color="000000" w:sz="4" w:space="0"/>
              <w:bottom w:val="single" w:color="000000" w:sz="4" w:space="0"/>
              <w:right w:val="single" w:color="000000" w:sz="4" w:space="0"/>
            </w:tcBorders>
            <w:noWrap w:val="0"/>
            <w:vAlign w:val="top"/>
          </w:tcPr>
          <w:p w14:paraId="521BB007">
            <w:pPr>
              <w:pStyle w:val="95"/>
              <w:spacing w:before="102" w:line="218" w:lineRule="auto"/>
              <w:ind w:left="101"/>
              <w:rPr>
                <w:color w:val="auto"/>
                <w:highlight w:val="none"/>
              </w:rPr>
            </w:pPr>
            <w:r>
              <w:rPr>
                <w:color w:val="auto"/>
                <w:highlight w:val="none"/>
              </w:rPr>
              <w:t>4.严禁工作时间内擅自进入区域内非乙方</w:t>
            </w:r>
            <w:r>
              <w:rPr>
                <w:color w:val="auto"/>
                <w:spacing w:val="-1"/>
                <w:highlight w:val="none"/>
              </w:rPr>
              <w:t>服务区域内。</w:t>
            </w:r>
          </w:p>
        </w:tc>
        <w:tc>
          <w:tcPr>
            <w:tcW w:w="1083" w:type="dxa"/>
            <w:tcBorders>
              <w:top w:val="single" w:color="000000" w:sz="4" w:space="0"/>
              <w:left w:val="single" w:color="000000" w:sz="4" w:space="0"/>
              <w:bottom w:val="single" w:color="000000" w:sz="4" w:space="0"/>
              <w:right w:val="single" w:color="000000" w:sz="4" w:space="0"/>
            </w:tcBorders>
            <w:noWrap w:val="0"/>
            <w:vAlign w:val="top"/>
          </w:tcPr>
          <w:p w14:paraId="6A42EA7D">
            <w:pPr>
              <w:pStyle w:val="95"/>
              <w:spacing w:before="103" w:line="218" w:lineRule="auto"/>
              <w:ind w:left="378"/>
              <w:rPr>
                <w:color w:val="auto"/>
                <w:highlight w:val="none"/>
              </w:rPr>
            </w:pPr>
            <w:r>
              <w:rPr>
                <w:color w:val="auto"/>
                <w:spacing w:val="-3"/>
                <w:highlight w:val="none"/>
              </w:rPr>
              <w:t>3分</w:t>
            </w:r>
          </w:p>
        </w:tc>
      </w:tr>
      <w:tr w14:paraId="4308F12B">
        <w:tblPrEx>
          <w:tblCellMar>
            <w:top w:w="0" w:type="dxa"/>
            <w:left w:w="0" w:type="dxa"/>
            <w:bottom w:w="0" w:type="dxa"/>
            <w:right w:w="0" w:type="dxa"/>
          </w:tblCellMar>
        </w:tblPrEx>
        <w:trPr>
          <w:trHeight w:val="410" w:hRule="atLeast"/>
        </w:trPr>
        <w:tc>
          <w:tcPr>
            <w:tcW w:w="1833" w:type="dxa"/>
            <w:vMerge w:val="continue"/>
            <w:tcBorders>
              <w:top w:val="single" w:color="000000" w:sz="4" w:space="0"/>
              <w:left w:val="single" w:color="000000" w:sz="4" w:space="0"/>
              <w:right w:val="single" w:color="000000" w:sz="4" w:space="0"/>
            </w:tcBorders>
            <w:noWrap w:val="0"/>
            <w:vAlign w:val="top"/>
          </w:tcPr>
          <w:p w14:paraId="406A4A24">
            <w:pPr>
              <w:snapToGrid w:val="0"/>
              <w:rPr>
                <w:rFonts w:ascii="Arial" w:hAnsi="Arial"/>
                <w:color w:val="auto"/>
                <w:highlight w:val="none"/>
              </w:rPr>
            </w:pPr>
          </w:p>
        </w:tc>
        <w:tc>
          <w:tcPr>
            <w:tcW w:w="6853" w:type="dxa"/>
            <w:tcBorders>
              <w:top w:val="single" w:color="000000" w:sz="4" w:space="0"/>
              <w:left w:val="single" w:color="000000" w:sz="4" w:space="0"/>
              <w:bottom w:val="single" w:color="000000" w:sz="4" w:space="0"/>
              <w:right w:val="single" w:color="000000" w:sz="4" w:space="0"/>
            </w:tcBorders>
            <w:noWrap w:val="0"/>
            <w:vAlign w:val="top"/>
          </w:tcPr>
          <w:p w14:paraId="39F42260">
            <w:pPr>
              <w:pStyle w:val="95"/>
              <w:spacing w:before="103" w:line="218" w:lineRule="auto"/>
              <w:ind w:left="101"/>
              <w:rPr>
                <w:color w:val="auto"/>
                <w:highlight w:val="none"/>
              </w:rPr>
            </w:pPr>
            <w:r>
              <w:rPr>
                <w:color w:val="auto"/>
                <w:spacing w:val="-1"/>
                <w:highlight w:val="none"/>
              </w:rPr>
              <w:t>5.严禁出现危害他人和业主的行为。</w:t>
            </w:r>
          </w:p>
        </w:tc>
        <w:tc>
          <w:tcPr>
            <w:tcW w:w="1083" w:type="dxa"/>
            <w:tcBorders>
              <w:top w:val="single" w:color="000000" w:sz="4" w:space="0"/>
              <w:left w:val="single" w:color="000000" w:sz="4" w:space="0"/>
              <w:bottom w:val="single" w:color="000000" w:sz="4" w:space="0"/>
              <w:right w:val="single" w:color="000000" w:sz="4" w:space="0"/>
            </w:tcBorders>
            <w:noWrap w:val="0"/>
            <w:vAlign w:val="top"/>
          </w:tcPr>
          <w:p w14:paraId="6C341BF2">
            <w:pPr>
              <w:pStyle w:val="95"/>
              <w:spacing w:before="104" w:line="218" w:lineRule="auto"/>
              <w:ind w:left="378"/>
              <w:rPr>
                <w:color w:val="auto"/>
                <w:highlight w:val="none"/>
              </w:rPr>
            </w:pPr>
            <w:r>
              <w:rPr>
                <w:color w:val="auto"/>
                <w:spacing w:val="-3"/>
                <w:highlight w:val="none"/>
              </w:rPr>
              <w:t>5分</w:t>
            </w:r>
          </w:p>
        </w:tc>
      </w:tr>
      <w:tr w14:paraId="7DBCD26A">
        <w:tblPrEx>
          <w:tblCellMar>
            <w:top w:w="0" w:type="dxa"/>
            <w:left w:w="0" w:type="dxa"/>
            <w:bottom w:w="0" w:type="dxa"/>
            <w:right w:w="0" w:type="dxa"/>
          </w:tblCellMar>
        </w:tblPrEx>
        <w:trPr>
          <w:trHeight w:val="410" w:hRule="atLeast"/>
        </w:trPr>
        <w:tc>
          <w:tcPr>
            <w:tcW w:w="1833" w:type="dxa"/>
            <w:vMerge w:val="continue"/>
            <w:tcBorders>
              <w:top w:val="single" w:color="000000" w:sz="4" w:space="0"/>
              <w:left w:val="single" w:color="000000" w:sz="4" w:space="0"/>
              <w:right w:val="single" w:color="000000" w:sz="4" w:space="0"/>
            </w:tcBorders>
            <w:noWrap w:val="0"/>
            <w:vAlign w:val="top"/>
          </w:tcPr>
          <w:p w14:paraId="36660649">
            <w:pPr>
              <w:snapToGrid w:val="0"/>
              <w:rPr>
                <w:rFonts w:ascii="Arial" w:hAnsi="Arial"/>
                <w:color w:val="auto"/>
                <w:highlight w:val="none"/>
              </w:rPr>
            </w:pPr>
          </w:p>
        </w:tc>
        <w:tc>
          <w:tcPr>
            <w:tcW w:w="6853" w:type="dxa"/>
            <w:tcBorders>
              <w:top w:val="single" w:color="000000" w:sz="4" w:space="0"/>
              <w:left w:val="single" w:color="000000" w:sz="4" w:space="0"/>
              <w:bottom w:val="single" w:color="000000" w:sz="4" w:space="0"/>
              <w:right w:val="single" w:color="000000" w:sz="4" w:space="0"/>
            </w:tcBorders>
            <w:noWrap w:val="0"/>
            <w:vAlign w:val="top"/>
          </w:tcPr>
          <w:p w14:paraId="61E58F38">
            <w:pPr>
              <w:pStyle w:val="95"/>
              <w:spacing w:before="103" w:line="218" w:lineRule="auto"/>
              <w:ind w:left="101"/>
              <w:rPr>
                <w:color w:val="auto"/>
                <w:highlight w:val="none"/>
              </w:rPr>
            </w:pPr>
            <w:r>
              <w:rPr>
                <w:color w:val="auto"/>
                <w:spacing w:val="-1"/>
                <w:highlight w:val="none"/>
              </w:rPr>
              <w:t>6.安防员严禁从事第二职业。</w:t>
            </w:r>
          </w:p>
        </w:tc>
        <w:tc>
          <w:tcPr>
            <w:tcW w:w="1083" w:type="dxa"/>
            <w:tcBorders>
              <w:top w:val="single" w:color="000000" w:sz="4" w:space="0"/>
              <w:left w:val="single" w:color="000000" w:sz="4" w:space="0"/>
              <w:bottom w:val="single" w:color="000000" w:sz="4" w:space="0"/>
              <w:right w:val="single" w:color="000000" w:sz="4" w:space="0"/>
            </w:tcBorders>
            <w:noWrap w:val="0"/>
            <w:vAlign w:val="top"/>
          </w:tcPr>
          <w:p w14:paraId="64A0A8DE">
            <w:pPr>
              <w:pStyle w:val="95"/>
              <w:spacing w:before="104" w:line="218" w:lineRule="auto"/>
              <w:ind w:left="378"/>
              <w:rPr>
                <w:color w:val="auto"/>
                <w:highlight w:val="none"/>
              </w:rPr>
            </w:pPr>
            <w:r>
              <w:rPr>
                <w:color w:val="auto"/>
                <w:spacing w:val="1"/>
                <w:highlight w:val="none"/>
              </w:rPr>
              <w:t>1分</w:t>
            </w:r>
          </w:p>
        </w:tc>
      </w:tr>
      <w:tr w14:paraId="4A707C71">
        <w:tblPrEx>
          <w:tblCellMar>
            <w:top w:w="0" w:type="dxa"/>
            <w:left w:w="0" w:type="dxa"/>
            <w:bottom w:w="0" w:type="dxa"/>
            <w:right w:w="0" w:type="dxa"/>
          </w:tblCellMar>
        </w:tblPrEx>
        <w:trPr>
          <w:trHeight w:val="549" w:hRule="atLeast"/>
        </w:trPr>
        <w:tc>
          <w:tcPr>
            <w:tcW w:w="1833" w:type="dxa"/>
            <w:vMerge w:val="continue"/>
            <w:tcBorders>
              <w:top w:val="single" w:color="000000" w:sz="4" w:space="0"/>
              <w:left w:val="single" w:color="000000" w:sz="4" w:space="0"/>
              <w:right w:val="single" w:color="000000" w:sz="4" w:space="0"/>
            </w:tcBorders>
            <w:noWrap w:val="0"/>
            <w:vAlign w:val="top"/>
          </w:tcPr>
          <w:p w14:paraId="29F1B82E">
            <w:pPr>
              <w:snapToGrid w:val="0"/>
              <w:rPr>
                <w:rFonts w:ascii="Arial" w:hAnsi="Arial"/>
                <w:color w:val="auto"/>
                <w:highlight w:val="none"/>
              </w:rPr>
            </w:pPr>
          </w:p>
        </w:tc>
        <w:tc>
          <w:tcPr>
            <w:tcW w:w="6853" w:type="dxa"/>
            <w:tcBorders>
              <w:top w:val="single" w:color="000000" w:sz="4" w:space="0"/>
              <w:left w:val="single" w:color="000000" w:sz="4" w:space="0"/>
              <w:bottom w:val="single" w:color="000000" w:sz="4" w:space="0"/>
              <w:right w:val="single" w:color="000000" w:sz="4" w:space="0"/>
            </w:tcBorders>
            <w:noWrap w:val="0"/>
            <w:vAlign w:val="top"/>
          </w:tcPr>
          <w:p w14:paraId="26EBA11F">
            <w:pPr>
              <w:pStyle w:val="95"/>
              <w:spacing w:before="13" w:line="230" w:lineRule="auto"/>
              <w:ind w:left="101" w:right="51" w:hanging="39"/>
              <w:rPr>
                <w:color w:val="auto"/>
                <w:highlight w:val="none"/>
              </w:rPr>
            </w:pPr>
            <w:r>
              <w:rPr>
                <w:color w:val="auto"/>
                <w:highlight w:val="none"/>
              </w:rPr>
              <w:t>7.工作时严禁打私人电话、抽烟、会客、非就餐时间就餐及其他与工作无</w:t>
            </w:r>
            <w:r>
              <w:rPr>
                <w:color w:val="auto"/>
                <w:spacing w:val="8"/>
                <w:highlight w:val="none"/>
              </w:rPr>
              <w:t xml:space="preserve"> </w:t>
            </w:r>
            <w:r>
              <w:rPr>
                <w:color w:val="auto"/>
                <w:spacing w:val="-1"/>
                <w:highlight w:val="none"/>
              </w:rPr>
              <w:t>关的事。</w:t>
            </w:r>
          </w:p>
        </w:tc>
        <w:tc>
          <w:tcPr>
            <w:tcW w:w="1083" w:type="dxa"/>
            <w:tcBorders>
              <w:top w:val="single" w:color="000000" w:sz="4" w:space="0"/>
              <w:left w:val="single" w:color="000000" w:sz="4" w:space="0"/>
              <w:bottom w:val="single" w:color="000000" w:sz="4" w:space="0"/>
              <w:right w:val="single" w:color="000000" w:sz="4" w:space="0"/>
            </w:tcBorders>
            <w:noWrap w:val="0"/>
            <w:vAlign w:val="top"/>
          </w:tcPr>
          <w:p w14:paraId="512E69C0">
            <w:pPr>
              <w:pStyle w:val="95"/>
              <w:spacing w:before="94" w:line="218" w:lineRule="auto"/>
              <w:ind w:left="378"/>
              <w:rPr>
                <w:color w:val="auto"/>
                <w:highlight w:val="none"/>
              </w:rPr>
            </w:pPr>
            <w:r>
              <w:rPr>
                <w:color w:val="auto"/>
                <w:spacing w:val="1"/>
                <w:highlight w:val="none"/>
              </w:rPr>
              <w:t>1分</w:t>
            </w:r>
          </w:p>
        </w:tc>
      </w:tr>
      <w:tr w14:paraId="47BEBCC4">
        <w:tblPrEx>
          <w:tblCellMar>
            <w:top w:w="0" w:type="dxa"/>
            <w:left w:w="0" w:type="dxa"/>
            <w:bottom w:w="0" w:type="dxa"/>
            <w:right w:w="0" w:type="dxa"/>
          </w:tblCellMar>
        </w:tblPrEx>
        <w:trPr>
          <w:trHeight w:val="809" w:hRule="atLeast"/>
        </w:trPr>
        <w:tc>
          <w:tcPr>
            <w:tcW w:w="1833" w:type="dxa"/>
            <w:vMerge w:val="continue"/>
            <w:tcBorders>
              <w:top w:val="single" w:color="000000" w:sz="4" w:space="0"/>
              <w:left w:val="single" w:color="000000" w:sz="4" w:space="0"/>
              <w:right w:val="single" w:color="000000" w:sz="4" w:space="0"/>
            </w:tcBorders>
            <w:noWrap w:val="0"/>
            <w:vAlign w:val="top"/>
          </w:tcPr>
          <w:p w14:paraId="5F5BEEF0">
            <w:pPr>
              <w:snapToGrid w:val="0"/>
              <w:rPr>
                <w:rFonts w:ascii="Arial" w:hAnsi="Arial"/>
                <w:color w:val="auto"/>
                <w:highlight w:val="none"/>
              </w:rPr>
            </w:pPr>
          </w:p>
        </w:tc>
        <w:tc>
          <w:tcPr>
            <w:tcW w:w="6853" w:type="dxa"/>
            <w:tcBorders>
              <w:top w:val="single" w:color="000000" w:sz="4" w:space="0"/>
              <w:left w:val="single" w:color="000000" w:sz="4" w:space="0"/>
              <w:bottom w:val="single" w:color="000000" w:sz="4" w:space="0"/>
              <w:right w:val="single" w:color="000000" w:sz="4" w:space="0"/>
            </w:tcBorders>
            <w:noWrap w:val="0"/>
            <w:vAlign w:val="top"/>
          </w:tcPr>
          <w:p w14:paraId="5B6F18AB">
            <w:pPr>
              <w:pStyle w:val="95"/>
              <w:spacing w:before="24" w:line="225" w:lineRule="auto"/>
              <w:ind w:left="101"/>
              <w:rPr>
                <w:color w:val="auto"/>
                <w:highlight w:val="none"/>
              </w:rPr>
            </w:pPr>
            <w:r>
              <w:rPr>
                <w:color w:val="auto"/>
                <w:highlight w:val="none"/>
              </w:rPr>
              <w:t>8.安防用具严禁用作工作以外用途、不得暴力</w:t>
            </w:r>
            <w:r>
              <w:rPr>
                <w:color w:val="auto"/>
                <w:spacing w:val="-1"/>
                <w:highlight w:val="none"/>
              </w:rPr>
              <w:t>操作、违规操作，现场设备</w:t>
            </w:r>
            <w:r>
              <w:rPr>
                <w:color w:val="auto"/>
                <w:highlight w:val="none"/>
              </w:rPr>
              <w:t xml:space="preserve"> </w:t>
            </w:r>
            <w:r>
              <w:rPr>
                <w:color w:val="auto"/>
                <w:spacing w:val="1"/>
                <w:highlight w:val="none"/>
              </w:rPr>
              <w:t>有损坏的必须出具经项目管理处经理签字确</w:t>
            </w:r>
            <w:r>
              <w:rPr>
                <w:color w:val="auto"/>
                <w:highlight w:val="none"/>
              </w:rPr>
              <w:t xml:space="preserve">认的书面材料；不使用时集中 </w:t>
            </w:r>
            <w:r>
              <w:rPr>
                <w:color w:val="auto"/>
                <w:spacing w:val="-1"/>
                <w:highlight w:val="none"/>
              </w:rPr>
              <w:t>存放，摆放有序。</w:t>
            </w:r>
          </w:p>
        </w:tc>
        <w:tc>
          <w:tcPr>
            <w:tcW w:w="1083" w:type="dxa"/>
            <w:tcBorders>
              <w:top w:val="single" w:color="000000" w:sz="4" w:space="0"/>
              <w:left w:val="single" w:color="000000" w:sz="4" w:space="0"/>
              <w:bottom w:val="single" w:color="000000" w:sz="4" w:space="0"/>
              <w:right w:val="single" w:color="000000" w:sz="4" w:space="0"/>
            </w:tcBorders>
            <w:noWrap w:val="0"/>
            <w:vAlign w:val="top"/>
          </w:tcPr>
          <w:p w14:paraId="1028CBDC">
            <w:pPr>
              <w:pStyle w:val="95"/>
              <w:spacing w:before="225" w:line="218" w:lineRule="auto"/>
              <w:ind w:left="378"/>
              <w:rPr>
                <w:color w:val="auto"/>
                <w:highlight w:val="none"/>
              </w:rPr>
            </w:pPr>
            <w:r>
              <w:rPr>
                <w:color w:val="auto"/>
                <w:spacing w:val="-2"/>
                <w:highlight w:val="none"/>
              </w:rPr>
              <w:t>2分</w:t>
            </w:r>
          </w:p>
        </w:tc>
      </w:tr>
      <w:tr w14:paraId="5D1EC5AE">
        <w:tblPrEx>
          <w:tblCellMar>
            <w:top w:w="0" w:type="dxa"/>
            <w:left w:w="0" w:type="dxa"/>
            <w:bottom w:w="0" w:type="dxa"/>
            <w:right w:w="0" w:type="dxa"/>
          </w:tblCellMar>
        </w:tblPrEx>
        <w:trPr>
          <w:trHeight w:val="400" w:hRule="atLeast"/>
        </w:trPr>
        <w:tc>
          <w:tcPr>
            <w:tcW w:w="1833" w:type="dxa"/>
            <w:vMerge w:val="continue"/>
            <w:tcBorders>
              <w:top w:val="single" w:color="000000" w:sz="4" w:space="0"/>
              <w:left w:val="single" w:color="000000" w:sz="4" w:space="0"/>
              <w:right w:val="single" w:color="000000" w:sz="4" w:space="0"/>
            </w:tcBorders>
            <w:noWrap w:val="0"/>
            <w:vAlign w:val="top"/>
          </w:tcPr>
          <w:p w14:paraId="59BA7786">
            <w:pPr>
              <w:snapToGrid w:val="0"/>
              <w:rPr>
                <w:rFonts w:ascii="Arial" w:hAnsi="Arial"/>
                <w:color w:val="auto"/>
                <w:highlight w:val="none"/>
              </w:rPr>
            </w:pPr>
          </w:p>
        </w:tc>
        <w:tc>
          <w:tcPr>
            <w:tcW w:w="6853" w:type="dxa"/>
            <w:tcBorders>
              <w:top w:val="single" w:color="000000" w:sz="4" w:space="0"/>
              <w:left w:val="single" w:color="000000" w:sz="4" w:space="0"/>
              <w:bottom w:val="single" w:color="000000" w:sz="4" w:space="0"/>
              <w:right w:val="single" w:color="000000" w:sz="4" w:space="0"/>
            </w:tcBorders>
            <w:noWrap w:val="0"/>
            <w:vAlign w:val="top"/>
          </w:tcPr>
          <w:p w14:paraId="0192C346">
            <w:pPr>
              <w:pStyle w:val="95"/>
              <w:spacing w:before="104" w:line="218" w:lineRule="auto"/>
              <w:ind w:left="101"/>
              <w:rPr>
                <w:color w:val="auto"/>
                <w:highlight w:val="none"/>
              </w:rPr>
            </w:pPr>
            <w:r>
              <w:rPr>
                <w:color w:val="auto"/>
                <w:highlight w:val="none"/>
              </w:rPr>
              <w:t>9.听从物业管理公司委派属乙方安防工作范</w:t>
            </w:r>
            <w:r>
              <w:rPr>
                <w:color w:val="auto"/>
                <w:spacing w:val="-1"/>
                <w:highlight w:val="none"/>
              </w:rPr>
              <w:t>围内的指令。</w:t>
            </w:r>
          </w:p>
        </w:tc>
        <w:tc>
          <w:tcPr>
            <w:tcW w:w="1083" w:type="dxa"/>
            <w:tcBorders>
              <w:top w:val="single" w:color="000000" w:sz="4" w:space="0"/>
              <w:left w:val="single" w:color="000000" w:sz="4" w:space="0"/>
              <w:bottom w:val="single" w:color="000000" w:sz="4" w:space="0"/>
              <w:right w:val="single" w:color="000000" w:sz="4" w:space="0"/>
            </w:tcBorders>
            <w:noWrap w:val="0"/>
            <w:vAlign w:val="top"/>
          </w:tcPr>
          <w:p w14:paraId="37E92918">
            <w:pPr>
              <w:pStyle w:val="95"/>
              <w:spacing w:before="106" w:line="218" w:lineRule="auto"/>
              <w:ind w:left="378"/>
              <w:rPr>
                <w:color w:val="auto"/>
                <w:highlight w:val="none"/>
              </w:rPr>
            </w:pPr>
            <w:r>
              <w:rPr>
                <w:color w:val="auto"/>
                <w:spacing w:val="1"/>
                <w:highlight w:val="none"/>
              </w:rPr>
              <w:t>1分</w:t>
            </w:r>
          </w:p>
        </w:tc>
      </w:tr>
      <w:tr w14:paraId="5D6B079F">
        <w:tblPrEx>
          <w:tblCellMar>
            <w:top w:w="0" w:type="dxa"/>
            <w:left w:w="0" w:type="dxa"/>
            <w:bottom w:w="0" w:type="dxa"/>
            <w:right w:w="0" w:type="dxa"/>
          </w:tblCellMar>
        </w:tblPrEx>
        <w:trPr>
          <w:trHeight w:val="410" w:hRule="atLeast"/>
        </w:trPr>
        <w:tc>
          <w:tcPr>
            <w:tcW w:w="1833" w:type="dxa"/>
            <w:vMerge w:val="continue"/>
            <w:tcBorders>
              <w:top w:val="single" w:color="000000" w:sz="4" w:space="0"/>
              <w:left w:val="single" w:color="000000" w:sz="4" w:space="0"/>
              <w:right w:val="single" w:color="000000" w:sz="4" w:space="0"/>
            </w:tcBorders>
            <w:noWrap w:val="0"/>
            <w:vAlign w:val="top"/>
          </w:tcPr>
          <w:p w14:paraId="76122B5E">
            <w:pPr>
              <w:snapToGrid w:val="0"/>
              <w:rPr>
                <w:rFonts w:ascii="Arial" w:hAnsi="Arial"/>
                <w:color w:val="auto"/>
                <w:highlight w:val="none"/>
              </w:rPr>
            </w:pPr>
          </w:p>
        </w:tc>
        <w:tc>
          <w:tcPr>
            <w:tcW w:w="6853" w:type="dxa"/>
            <w:tcBorders>
              <w:top w:val="single" w:color="000000" w:sz="4" w:space="0"/>
              <w:left w:val="single" w:color="000000" w:sz="4" w:space="0"/>
              <w:bottom w:val="single" w:color="000000" w:sz="4" w:space="0"/>
              <w:right w:val="single" w:color="000000" w:sz="4" w:space="0"/>
            </w:tcBorders>
            <w:noWrap w:val="0"/>
            <w:vAlign w:val="top"/>
          </w:tcPr>
          <w:p w14:paraId="2B1BAC5F">
            <w:pPr>
              <w:pStyle w:val="95"/>
              <w:spacing w:before="104" w:line="218" w:lineRule="auto"/>
              <w:ind w:left="101"/>
              <w:rPr>
                <w:color w:val="auto"/>
                <w:highlight w:val="none"/>
              </w:rPr>
            </w:pPr>
            <w:r>
              <w:rPr>
                <w:color w:val="auto"/>
                <w:highlight w:val="none"/>
              </w:rPr>
              <w:t>10.严禁私自为业主和顾客提供合同外服</w:t>
            </w:r>
            <w:r>
              <w:rPr>
                <w:color w:val="auto"/>
                <w:spacing w:val="-1"/>
                <w:highlight w:val="none"/>
              </w:rPr>
              <w:t>务。</w:t>
            </w:r>
          </w:p>
        </w:tc>
        <w:tc>
          <w:tcPr>
            <w:tcW w:w="1083" w:type="dxa"/>
            <w:tcBorders>
              <w:top w:val="single" w:color="000000" w:sz="4" w:space="0"/>
              <w:left w:val="single" w:color="000000" w:sz="4" w:space="0"/>
              <w:bottom w:val="single" w:color="000000" w:sz="4" w:space="0"/>
              <w:right w:val="single" w:color="000000" w:sz="4" w:space="0"/>
            </w:tcBorders>
            <w:noWrap w:val="0"/>
            <w:vAlign w:val="top"/>
          </w:tcPr>
          <w:p w14:paraId="455F04CC">
            <w:pPr>
              <w:pStyle w:val="95"/>
              <w:spacing w:before="46" w:line="218" w:lineRule="auto"/>
              <w:ind w:left="378"/>
              <w:rPr>
                <w:color w:val="auto"/>
                <w:highlight w:val="none"/>
              </w:rPr>
            </w:pPr>
            <w:r>
              <w:rPr>
                <w:color w:val="auto"/>
                <w:spacing w:val="1"/>
                <w:highlight w:val="none"/>
              </w:rPr>
              <w:t>1分</w:t>
            </w:r>
          </w:p>
        </w:tc>
      </w:tr>
      <w:tr w14:paraId="5F41DC1E">
        <w:tblPrEx>
          <w:tblCellMar>
            <w:top w:w="0" w:type="dxa"/>
            <w:left w:w="0" w:type="dxa"/>
            <w:bottom w:w="0" w:type="dxa"/>
            <w:right w:w="0" w:type="dxa"/>
          </w:tblCellMar>
        </w:tblPrEx>
        <w:trPr>
          <w:trHeight w:val="819" w:hRule="atLeast"/>
        </w:trPr>
        <w:tc>
          <w:tcPr>
            <w:tcW w:w="1833" w:type="dxa"/>
            <w:vMerge w:val="restart"/>
            <w:tcBorders>
              <w:top w:val="single" w:color="000000" w:sz="4" w:space="0"/>
              <w:left w:val="single" w:color="000000" w:sz="4" w:space="0"/>
              <w:right w:val="single" w:color="000000" w:sz="4" w:space="0"/>
            </w:tcBorders>
            <w:noWrap w:val="0"/>
            <w:vAlign w:val="top"/>
          </w:tcPr>
          <w:p w14:paraId="33D8E8B4">
            <w:pPr>
              <w:snapToGrid w:val="0"/>
              <w:spacing w:line="280" w:lineRule="auto"/>
              <w:rPr>
                <w:rFonts w:ascii="Arial" w:hAnsi="Arial"/>
                <w:color w:val="auto"/>
                <w:highlight w:val="none"/>
              </w:rPr>
            </w:pPr>
          </w:p>
          <w:p w14:paraId="3775E8B1">
            <w:pPr>
              <w:spacing w:line="280" w:lineRule="auto"/>
              <w:rPr>
                <w:rFonts w:ascii="Arial" w:hAnsi="Arial"/>
                <w:color w:val="auto"/>
                <w:highlight w:val="none"/>
              </w:rPr>
            </w:pPr>
          </w:p>
          <w:p w14:paraId="4CE0B2C7">
            <w:pPr>
              <w:spacing w:line="280" w:lineRule="auto"/>
              <w:rPr>
                <w:rFonts w:ascii="Arial" w:hAnsi="Arial"/>
                <w:color w:val="auto"/>
                <w:highlight w:val="none"/>
              </w:rPr>
            </w:pPr>
          </w:p>
          <w:p w14:paraId="15245A76">
            <w:pPr>
              <w:spacing w:line="280" w:lineRule="auto"/>
              <w:rPr>
                <w:rFonts w:ascii="Arial" w:hAnsi="Arial"/>
                <w:color w:val="auto"/>
                <w:highlight w:val="none"/>
              </w:rPr>
            </w:pPr>
          </w:p>
          <w:p w14:paraId="0E003907">
            <w:pPr>
              <w:pStyle w:val="95"/>
              <w:spacing w:before="68" w:line="218" w:lineRule="auto"/>
              <w:ind w:left="484"/>
              <w:rPr>
                <w:color w:val="auto"/>
                <w:highlight w:val="none"/>
              </w:rPr>
            </w:pPr>
            <w:r>
              <w:rPr>
                <w:color w:val="auto"/>
                <w:spacing w:val="-2"/>
                <w:highlight w:val="none"/>
              </w:rPr>
              <w:t>仪容仪表</w:t>
            </w:r>
          </w:p>
        </w:tc>
        <w:tc>
          <w:tcPr>
            <w:tcW w:w="6853" w:type="dxa"/>
            <w:tcBorders>
              <w:top w:val="single" w:color="000000" w:sz="4" w:space="0"/>
              <w:left w:val="single" w:color="000000" w:sz="4" w:space="0"/>
              <w:bottom w:val="single" w:color="000000" w:sz="4" w:space="0"/>
              <w:right w:val="single" w:color="000000" w:sz="4" w:space="0"/>
            </w:tcBorders>
            <w:noWrap w:val="0"/>
            <w:vAlign w:val="top"/>
          </w:tcPr>
          <w:p w14:paraId="07338F5D">
            <w:pPr>
              <w:pStyle w:val="95"/>
              <w:spacing w:before="13" w:line="232" w:lineRule="auto"/>
              <w:ind w:left="101" w:right="104"/>
              <w:rPr>
                <w:color w:val="auto"/>
                <w:highlight w:val="none"/>
              </w:rPr>
            </w:pPr>
            <w:r>
              <w:rPr>
                <w:color w:val="auto"/>
                <w:highlight w:val="none"/>
              </w:rPr>
              <w:t>1.男职工发根不过衣领，前发不遮眼，不梳怪异发型，不染颜色(黑色除</w:t>
            </w:r>
            <w:r>
              <w:rPr>
                <w:color w:val="auto"/>
                <w:spacing w:val="4"/>
                <w:highlight w:val="none"/>
              </w:rPr>
              <w:t xml:space="preserve"> </w:t>
            </w:r>
            <w:r>
              <w:rPr>
                <w:color w:val="auto"/>
                <w:spacing w:val="1"/>
                <w:highlight w:val="none"/>
              </w:rPr>
              <w:t>外)。每天修面，不留胡须，不留大鬓角、不</w:t>
            </w:r>
            <w:r>
              <w:rPr>
                <w:color w:val="auto"/>
                <w:highlight w:val="none"/>
              </w:rPr>
              <w:t xml:space="preserve">得纹身、指甲不得超出指甲 </w:t>
            </w:r>
            <w:r>
              <w:rPr>
                <w:color w:val="auto"/>
                <w:spacing w:val="-1"/>
                <w:highlight w:val="none"/>
              </w:rPr>
              <w:t>盖外延2mm。</w:t>
            </w:r>
          </w:p>
        </w:tc>
        <w:tc>
          <w:tcPr>
            <w:tcW w:w="1083" w:type="dxa"/>
            <w:tcBorders>
              <w:top w:val="single" w:color="000000" w:sz="4" w:space="0"/>
              <w:left w:val="single" w:color="000000" w:sz="4" w:space="0"/>
              <w:bottom w:val="single" w:color="000000" w:sz="4" w:space="0"/>
              <w:right w:val="single" w:color="000000" w:sz="4" w:space="0"/>
            </w:tcBorders>
            <w:noWrap w:val="0"/>
            <w:vAlign w:val="top"/>
          </w:tcPr>
          <w:p w14:paraId="6B652AC4">
            <w:pPr>
              <w:snapToGrid w:val="0"/>
              <w:spacing w:line="244" w:lineRule="auto"/>
              <w:rPr>
                <w:rFonts w:ascii="Arial" w:hAnsi="Arial"/>
                <w:color w:val="auto"/>
                <w:highlight w:val="none"/>
              </w:rPr>
            </w:pPr>
          </w:p>
          <w:p w14:paraId="07FEA338">
            <w:pPr>
              <w:pStyle w:val="95"/>
              <w:spacing w:before="68" w:line="218" w:lineRule="auto"/>
              <w:ind w:left="378"/>
              <w:rPr>
                <w:color w:val="auto"/>
                <w:highlight w:val="none"/>
              </w:rPr>
            </w:pPr>
            <w:r>
              <w:rPr>
                <w:color w:val="auto"/>
                <w:spacing w:val="1"/>
                <w:highlight w:val="none"/>
              </w:rPr>
              <w:t>1分</w:t>
            </w:r>
          </w:p>
        </w:tc>
      </w:tr>
      <w:tr w14:paraId="0537C69A">
        <w:tblPrEx>
          <w:tblCellMar>
            <w:top w:w="0" w:type="dxa"/>
            <w:left w:w="0" w:type="dxa"/>
            <w:bottom w:w="0" w:type="dxa"/>
            <w:right w:w="0" w:type="dxa"/>
          </w:tblCellMar>
        </w:tblPrEx>
        <w:trPr>
          <w:trHeight w:val="549" w:hRule="atLeast"/>
        </w:trPr>
        <w:tc>
          <w:tcPr>
            <w:tcW w:w="1833" w:type="dxa"/>
            <w:vMerge w:val="continue"/>
            <w:tcBorders>
              <w:top w:val="single" w:color="000000" w:sz="4" w:space="0"/>
              <w:left w:val="single" w:color="000000" w:sz="4" w:space="0"/>
              <w:right w:val="single" w:color="000000" w:sz="4" w:space="0"/>
            </w:tcBorders>
            <w:noWrap w:val="0"/>
            <w:vAlign w:val="top"/>
          </w:tcPr>
          <w:p w14:paraId="49FE84C2">
            <w:pPr>
              <w:snapToGrid w:val="0"/>
              <w:rPr>
                <w:rFonts w:ascii="Arial" w:hAnsi="Arial"/>
                <w:color w:val="auto"/>
                <w:highlight w:val="none"/>
              </w:rPr>
            </w:pPr>
          </w:p>
        </w:tc>
        <w:tc>
          <w:tcPr>
            <w:tcW w:w="6853" w:type="dxa"/>
            <w:tcBorders>
              <w:top w:val="single" w:color="000000" w:sz="4" w:space="0"/>
              <w:left w:val="single" w:color="000000" w:sz="4" w:space="0"/>
              <w:bottom w:val="single" w:color="000000" w:sz="4" w:space="0"/>
              <w:right w:val="single" w:color="000000" w:sz="4" w:space="0"/>
            </w:tcBorders>
            <w:noWrap w:val="0"/>
            <w:vAlign w:val="top"/>
          </w:tcPr>
          <w:p w14:paraId="06C152D6">
            <w:pPr>
              <w:pStyle w:val="95"/>
              <w:spacing w:before="24" w:line="225" w:lineRule="auto"/>
              <w:ind w:left="101" w:right="7"/>
              <w:rPr>
                <w:color w:val="auto"/>
                <w:highlight w:val="none"/>
              </w:rPr>
            </w:pPr>
            <w:r>
              <w:rPr>
                <w:color w:val="auto"/>
                <w:highlight w:val="none"/>
              </w:rPr>
              <w:t>2.女职工着淡妆上岗，严禁浓妆艳抹，佩戴夸张的饰物，不涂指甲油、指</w:t>
            </w:r>
            <w:r>
              <w:rPr>
                <w:color w:val="auto"/>
                <w:spacing w:val="12"/>
                <w:highlight w:val="none"/>
              </w:rPr>
              <w:t xml:space="preserve"> </w:t>
            </w:r>
            <w:r>
              <w:rPr>
                <w:color w:val="auto"/>
                <w:highlight w:val="none"/>
              </w:rPr>
              <w:t>甲不得超出指甲盖外延2mm。</w:t>
            </w:r>
          </w:p>
        </w:tc>
        <w:tc>
          <w:tcPr>
            <w:tcW w:w="1083" w:type="dxa"/>
            <w:tcBorders>
              <w:top w:val="single" w:color="000000" w:sz="4" w:space="0"/>
              <w:left w:val="single" w:color="000000" w:sz="4" w:space="0"/>
              <w:bottom w:val="single" w:color="000000" w:sz="4" w:space="0"/>
              <w:right w:val="single" w:color="000000" w:sz="4" w:space="0"/>
            </w:tcBorders>
            <w:noWrap w:val="0"/>
            <w:vAlign w:val="top"/>
          </w:tcPr>
          <w:p w14:paraId="7240B968">
            <w:pPr>
              <w:pStyle w:val="95"/>
              <w:spacing w:before="107" w:line="218" w:lineRule="auto"/>
              <w:ind w:left="378"/>
              <w:rPr>
                <w:color w:val="auto"/>
                <w:highlight w:val="none"/>
              </w:rPr>
            </w:pPr>
            <w:r>
              <w:rPr>
                <w:color w:val="auto"/>
                <w:spacing w:val="1"/>
                <w:highlight w:val="none"/>
              </w:rPr>
              <w:t>1分</w:t>
            </w:r>
          </w:p>
        </w:tc>
      </w:tr>
      <w:tr w14:paraId="28A68F03">
        <w:tblPrEx>
          <w:tblCellMar>
            <w:top w:w="0" w:type="dxa"/>
            <w:left w:w="0" w:type="dxa"/>
            <w:bottom w:w="0" w:type="dxa"/>
            <w:right w:w="0" w:type="dxa"/>
          </w:tblCellMar>
        </w:tblPrEx>
        <w:trPr>
          <w:trHeight w:val="389" w:hRule="atLeast"/>
        </w:trPr>
        <w:tc>
          <w:tcPr>
            <w:tcW w:w="1833" w:type="dxa"/>
            <w:vMerge w:val="continue"/>
            <w:tcBorders>
              <w:top w:val="single" w:color="000000" w:sz="4" w:space="0"/>
              <w:left w:val="single" w:color="000000" w:sz="4" w:space="0"/>
              <w:right w:val="single" w:color="000000" w:sz="4" w:space="0"/>
            </w:tcBorders>
            <w:noWrap w:val="0"/>
            <w:vAlign w:val="top"/>
          </w:tcPr>
          <w:p w14:paraId="27A211EE">
            <w:pPr>
              <w:snapToGrid w:val="0"/>
              <w:rPr>
                <w:rFonts w:ascii="Arial" w:hAnsi="Arial"/>
                <w:color w:val="auto"/>
                <w:highlight w:val="none"/>
              </w:rPr>
            </w:pPr>
          </w:p>
        </w:tc>
        <w:tc>
          <w:tcPr>
            <w:tcW w:w="6853" w:type="dxa"/>
            <w:tcBorders>
              <w:top w:val="single" w:color="000000" w:sz="4" w:space="0"/>
              <w:left w:val="single" w:color="000000" w:sz="4" w:space="0"/>
              <w:bottom w:val="single" w:color="000000" w:sz="4" w:space="0"/>
              <w:right w:val="single" w:color="000000" w:sz="4" w:space="0"/>
            </w:tcBorders>
            <w:noWrap w:val="0"/>
            <w:vAlign w:val="top"/>
          </w:tcPr>
          <w:p w14:paraId="31439363">
            <w:pPr>
              <w:pStyle w:val="95"/>
              <w:spacing w:before="96" w:line="218" w:lineRule="auto"/>
              <w:ind w:left="101"/>
              <w:rPr>
                <w:color w:val="auto"/>
                <w:highlight w:val="none"/>
              </w:rPr>
            </w:pPr>
            <w:r>
              <w:rPr>
                <w:color w:val="auto"/>
                <w:highlight w:val="none"/>
              </w:rPr>
              <w:t>3.上班时间统一着工作服，并应保持干净整洁，</w:t>
            </w:r>
            <w:r>
              <w:rPr>
                <w:color w:val="auto"/>
                <w:spacing w:val="-1"/>
                <w:highlight w:val="none"/>
              </w:rPr>
              <w:t>不得佩带饰品。</w:t>
            </w:r>
          </w:p>
        </w:tc>
        <w:tc>
          <w:tcPr>
            <w:tcW w:w="1083" w:type="dxa"/>
            <w:tcBorders>
              <w:top w:val="single" w:color="000000" w:sz="4" w:space="0"/>
              <w:left w:val="single" w:color="000000" w:sz="4" w:space="0"/>
              <w:bottom w:val="single" w:color="000000" w:sz="4" w:space="0"/>
              <w:right w:val="single" w:color="000000" w:sz="4" w:space="0"/>
            </w:tcBorders>
            <w:noWrap w:val="0"/>
            <w:vAlign w:val="top"/>
          </w:tcPr>
          <w:p w14:paraId="0489BCDF">
            <w:pPr>
              <w:pStyle w:val="95"/>
              <w:spacing w:before="98" w:line="218" w:lineRule="auto"/>
              <w:ind w:left="378"/>
              <w:rPr>
                <w:color w:val="auto"/>
                <w:highlight w:val="none"/>
              </w:rPr>
            </w:pPr>
            <w:r>
              <w:rPr>
                <w:color w:val="auto"/>
                <w:spacing w:val="1"/>
                <w:highlight w:val="none"/>
              </w:rPr>
              <w:t>1分</w:t>
            </w:r>
          </w:p>
        </w:tc>
      </w:tr>
      <w:tr w14:paraId="6CDC5647">
        <w:tblPrEx>
          <w:tblCellMar>
            <w:top w:w="0" w:type="dxa"/>
            <w:left w:w="0" w:type="dxa"/>
            <w:bottom w:w="0" w:type="dxa"/>
            <w:right w:w="0" w:type="dxa"/>
          </w:tblCellMar>
        </w:tblPrEx>
        <w:trPr>
          <w:trHeight w:val="410" w:hRule="atLeast"/>
        </w:trPr>
        <w:tc>
          <w:tcPr>
            <w:tcW w:w="1833" w:type="dxa"/>
            <w:vMerge w:val="continue"/>
            <w:tcBorders>
              <w:top w:val="single" w:color="000000" w:sz="4" w:space="0"/>
              <w:left w:val="single" w:color="000000" w:sz="4" w:space="0"/>
              <w:right w:val="single" w:color="000000" w:sz="4" w:space="0"/>
            </w:tcBorders>
            <w:noWrap w:val="0"/>
            <w:vAlign w:val="top"/>
          </w:tcPr>
          <w:p w14:paraId="0FFB6DD7">
            <w:pPr>
              <w:snapToGrid w:val="0"/>
              <w:rPr>
                <w:rFonts w:ascii="Arial" w:hAnsi="Arial"/>
                <w:color w:val="auto"/>
                <w:highlight w:val="none"/>
              </w:rPr>
            </w:pPr>
          </w:p>
        </w:tc>
        <w:tc>
          <w:tcPr>
            <w:tcW w:w="6853" w:type="dxa"/>
            <w:tcBorders>
              <w:top w:val="single" w:color="000000" w:sz="4" w:space="0"/>
              <w:left w:val="single" w:color="000000" w:sz="4" w:space="0"/>
              <w:bottom w:val="single" w:color="000000" w:sz="4" w:space="0"/>
              <w:right w:val="single" w:color="000000" w:sz="4" w:space="0"/>
            </w:tcBorders>
            <w:noWrap w:val="0"/>
            <w:vAlign w:val="top"/>
          </w:tcPr>
          <w:p w14:paraId="237BC31D">
            <w:pPr>
              <w:pStyle w:val="95"/>
              <w:spacing w:before="107" w:line="218" w:lineRule="auto"/>
              <w:ind w:left="101"/>
              <w:rPr>
                <w:color w:val="auto"/>
                <w:highlight w:val="none"/>
              </w:rPr>
            </w:pPr>
            <w:r>
              <w:rPr>
                <w:color w:val="auto"/>
                <w:highlight w:val="none"/>
              </w:rPr>
              <w:t>4.态度友善、面露微笑，使用礼貌用语，不可带</w:t>
            </w:r>
            <w:r>
              <w:rPr>
                <w:color w:val="auto"/>
                <w:spacing w:val="-1"/>
                <w:highlight w:val="none"/>
              </w:rPr>
              <w:t>有情绪工作。</w:t>
            </w:r>
          </w:p>
        </w:tc>
        <w:tc>
          <w:tcPr>
            <w:tcW w:w="1083" w:type="dxa"/>
            <w:tcBorders>
              <w:top w:val="single" w:color="000000" w:sz="4" w:space="0"/>
              <w:left w:val="single" w:color="000000" w:sz="4" w:space="0"/>
              <w:bottom w:val="single" w:color="000000" w:sz="4" w:space="0"/>
              <w:right w:val="single" w:color="000000" w:sz="4" w:space="0"/>
            </w:tcBorders>
            <w:noWrap w:val="0"/>
            <w:vAlign w:val="top"/>
          </w:tcPr>
          <w:p w14:paraId="2487DB79">
            <w:pPr>
              <w:pStyle w:val="95"/>
              <w:spacing w:before="109" w:line="218" w:lineRule="auto"/>
              <w:ind w:left="378"/>
              <w:rPr>
                <w:color w:val="auto"/>
                <w:highlight w:val="none"/>
              </w:rPr>
            </w:pPr>
            <w:r>
              <w:rPr>
                <w:color w:val="auto"/>
                <w:spacing w:val="1"/>
                <w:highlight w:val="none"/>
              </w:rPr>
              <w:t>1分</w:t>
            </w:r>
          </w:p>
        </w:tc>
      </w:tr>
      <w:tr w14:paraId="3410F49F">
        <w:tblPrEx>
          <w:tblCellMar>
            <w:top w:w="0" w:type="dxa"/>
            <w:left w:w="0" w:type="dxa"/>
            <w:bottom w:w="0" w:type="dxa"/>
            <w:right w:w="0" w:type="dxa"/>
          </w:tblCellMar>
        </w:tblPrEx>
        <w:trPr>
          <w:trHeight w:val="400" w:hRule="atLeast"/>
        </w:trPr>
        <w:tc>
          <w:tcPr>
            <w:tcW w:w="1833" w:type="dxa"/>
            <w:vMerge w:val="continue"/>
            <w:tcBorders>
              <w:top w:val="single" w:color="000000" w:sz="4" w:space="0"/>
              <w:left w:val="single" w:color="000000" w:sz="4" w:space="0"/>
              <w:right w:val="single" w:color="000000" w:sz="4" w:space="0"/>
            </w:tcBorders>
            <w:noWrap w:val="0"/>
            <w:vAlign w:val="top"/>
          </w:tcPr>
          <w:p w14:paraId="017C5011">
            <w:pPr>
              <w:snapToGrid w:val="0"/>
              <w:rPr>
                <w:rFonts w:ascii="Arial" w:hAnsi="Arial"/>
                <w:color w:val="auto"/>
                <w:highlight w:val="none"/>
              </w:rPr>
            </w:pPr>
          </w:p>
        </w:tc>
        <w:tc>
          <w:tcPr>
            <w:tcW w:w="6853" w:type="dxa"/>
            <w:tcBorders>
              <w:top w:val="single" w:color="000000" w:sz="4" w:space="0"/>
              <w:left w:val="single" w:color="000000" w:sz="4" w:space="0"/>
              <w:bottom w:val="single" w:color="000000" w:sz="4" w:space="0"/>
              <w:right w:val="single" w:color="000000" w:sz="4" w:space="0"/>
            </w:tcBorders>
            <w:noWrap w:val="0"/>
            <w:vAlign w:val="top"/>
          </w:tcPr>
          <w:p w14:paraId="6356FF4B">
            <w:pPr>
              <w:pStyle w:val="95"/>
              <w:spacing w:before="109" w:line="218" w:lineRule="auto"/>
              <w:ind w:left="101"/>
              <w:rPr>
                <w:color w:val="auto"/>
                <w:highlight w:val="none"/>
              </w:rPr>
            </w:pPr>
            <w:r>
              <w:rPr>
                <w:color w:val="auto"/>
                <w:spacing w:val="-1"/>
                <w:highlight w:val="none"/>
              </w:rPr>
              <w:t>5.遵守甲方其它相关规定。</w:t>
            </w:r>
          </w:p>
        </w:tc>
        <w:tc>
          <w:tcPr>
            <w:tcW w:w="1083" w:type="dxa"/>
            <w:tcBorders>
              <w:top w:val="single" w:color="000000" w:sz="4" w:space="0"/>
              <w:left w:val="single" w:color="000000" w:sz="4" w:space="0"/>
              <w:bottom w:val="single" w:color="000000" w:sz="4" w:space="0"/>
              <w:right w:val="single" w:color="000000" w:sz="4" w:space="0"/>
            </w:tcBorders>
            <w:noWrap w:val="0"/>
            <w:vAlign w:val="top"/>
          </w:tcPr>
          <w:p w14:paraId="199D1C5C">
            <w:pPr>
              <w:pStyle w:val="95"/>
              <w:spacing w:before="109" w:line="218" w:lineRule="auto"/>
              <w:ind w:left="378"/>
              <w:rPr>
                <w:color w:val="auto"/>
                <w:highlight w:val="none"/>
              </w:rPr>
            </w:pPr>
            <w:r>
              <w:rPr>
                <w:color w:val="auto"/>
                <w:spacing w:val="1"/>
                <w:highlight w:val="none"/>
              </w:rPr>
              <w:t>1分</w:t>
            </w:r>
          </w:p>
        </w:tc>
      </w:tr>
      <w:tr w14:paraId="3E96A418">
        <w:tblPrEx>
          <w:tblCellMar>
            <w:top w:w="0" w:type="dxa"/>
            <w:left w:w="0" w:type="dxa"/>
            <w:bottom w:w="0" w:type="dxa"/>
            <w:right w:w="0" w:type="dxa"/>
          </w:tblCellMar>
        </w:tblPrEx>
        <w:trPr>
          <w:trHeight w:val="400" w:hRule="atLeast"/>
        </w:trPr>
        <w:tc>
          <w:tcPr>
            <w:tcW w:w="9769" w:type="dxa"/>
            <w:gridSpan w:val="3"/>
            <w:tcBorders>
              <w:top w:val="single" w:color="000000" w:sz="4" w:space="0"/>
              <w:left w:val="single" w:color="000000" w:sz="4" w:space="0"/>
              <w:bottom w:val="single" w:color="000000" w:sz="4" w:space="0"/>
              <w:right w:val="single" w:color="000000" w:sz="4" w:space="0"/>
            </w:tcBorders>
            <w:noWrap w:val="0"/>
            <w:vAlign w:val="top"/>
          </w:tcPr>
          <w:p w14:paraId="1C544900">
            <w:pPr>
              <w:pStyle w:val="95"/>
              <w:spacing w:before="106" w:line="218" w:lineRule="auto"/>
              <w:ind w:left="127"/>
              <w:rPr>
                <w:color w:val="auto"/>
                <w:highlight w:val="none"/>
              </w:rPr>
            </w:pPr>
            <w:r>
              <w:rPr>
                <w:b/>
                <w:bCs/>
                <w:color w:val="auto"/>
                <w:spacing w:val="-4"/>
                <w:highlight w:val="none"/>
              </w:rPr>
              <w:t>三、工作要求</w:t>
            </w:r>
          </w:p>
        </w:tc>
      </w:tr>
      <w:tr w14:paraId="38EB696E">
        <w:tblPrEx>
          <w:tblCellMar>
            <w:top w:w="0" w:type="dxa"/>
            <w:left w:w="0" w:type="dxa"/>
            <w:bottom w:w="0" w:type="dxa"/>
            <w:right w:w="0" w:type="dxa"/>
          </w:tblCellMar>
        </w:tblPrEx>
        <w:trPr>
          <w:trHeight w:val="530" w:hRule="atLeast"/>
        </w:trPr>
        <w:tc>
          <w:tcPr>
            <w:tcW w:w="1833" w:type="dxa"/>
            <w:tcBorders>
              <w:top w:val="single" w:color="000000" w:sz="4" w:space="0"/>
              <w:left w:val="single" w:color="000000" w:sz="4" w:space="0"/>
              <w:bottom w:val="single" w:color="000000" w:sz="4" w:space="0"/>
              <w:right w:val="single" w:color="000000" w:sz="4" w:space="0"/>
            </w:tcBorders>
            <w:noWrap w:val="0"/>
            <w:vAlign w:val="top"/>
          </w:tcPr>
          <w:p w14:paraId="3523E719">
            <w:pPr>
              <w:pStyle w:val="95"/>
              <w:spacing w:before="165" w:line="218" w:lineRule="auto"/>
              <w:ind w:left="487"/>
              <w:rPr>
                <w:color w:val="auto"/>
                <w:highlight w:val="none"/>
              </w:rPr>
            </w:pPr>
            <w:r>
              <w:rPr>
                <w:b/>
                <w:bCs/>
                <w:color w:val="auto"/>
                <w:spacing w:val="6"/>
                <w:highlight w:val="none"/>
              </w:rPr>
              <w:t>检查项目</w:t>
            </w:r>
          </w:p>
        </w:tc>
        <w:tc>
          <w:tcPr>
            <w:tcW w:w="6853" w:type="dxa"/>
            <w:tcBorders>
              <w:top w:val="single" w:color="000000" w:sz="4" w:space="0"/>
              <w:left w:val="single" w:color="000000" w:sz="4" w:space="0"/>
              <w:bottom w:val="single" w:color="000000" w:sz="4" w:space="0"/>
              <w:right w:val="single" w:color="000000" w:sz="4" w:space="0"/>
            </w:tcBorders>
            <w:noWrap w:val="0"/>
            <w:vAlign w:val="top"/>
          </w:tcPr>
          <w:p w14:paraId="432824D7">
            <w:pPr>
              <w:pStyle w:val="95"/>
              <w:spacing w:before="166" w:line="218" w:lineRule="auto"/>
              <w:ind w:left="105"/>
              <w:rPr>
                <w:color w:val="auto"/>
                <w:highlight w:val="none"/>
              </w:rPr>
            </w:pPr>
            <w:r>
              <w:rPr>
                <w:b/>
                <w:bCs/>
                <w:color w:val="auto"/>
                <w:spacing w:val="-4"/>
                <w:highlight w:val="none"/>
              </w:rPr>
              <w:t>达到的标准</w:t>
            </w:r>
          </w:p>
        </w:tc>
        <w:tc>
          <w:tcPr>
            <w:tcW w:w="1083" w:type="dxa"/>
            <w:tcBorders>
              <w:top w:val="single" w:color="000000" w:sz="4" w:space="0"/>
              <w:left w:val="single" w:color="000000" w:sz="4" w:space="0"/>
              <w:bottom w:val="single" w:color="000000" w:sz="4" w:space="0"/>
              <w:right w:val="single" w:color="000000" w:sz="4" w:space="0"/>
            </w:tcBorders>
            <w:noWrap w:val="0"/>
            <w:vAlign w:val="top"/>
          </w:tcPr>
          <w:p w14:paraId="64F63CD2">
            <w:pPr>
              <w:pStyle w:val="95"/>
              <w:spacing w:before="17" w:line="220" w:lineRule="auto"/>
              <w:ind w:left="121" w:right="122" w:firstLine="99"/>
              <w:rPr>
                <w:color w:val="auto"/>
                <w:highlight w:val="none"/>
              </w:rPr>
            </w:pPr>
            <w:r>
              <w:rPr>
                <w:b/>
                <w:bCs/>
                <w:color w:val="auto"/>
                <w:spacing w:val="-7"/>
                <w:highlight w:val="none"/>
              </w:rPr>
              <w:t>未达标</w:t>
            </w:r>
            <w:r>
              <w:rPr>
                <w:color w:val="auto"/>
                <w:highlight w:val="none"/>
              </w:rPr>
              <w:t xml:space="preserve">  </w:t>
            </w:r>
            <w:r>
              <w:rPr>
                <w:b/>
                <w:bCs/>
                <w:color w:val="auto"/>
                <w:spacing w:val="-6"/>
                <w:highlight w:val="none"/>
              </w:rPr>
              <w:t>扣分标准</w:t>
            </w:r>
          </w:p>
        </w:tc>
      </w:tr>
      <w:tr w14:paraId="3F6BB50F">
        <w:tblPrEx>
          <w:tblCellMar>
            <w:top w:w="0" w:type="dxa"/>
            <w:left w:w="0" w:type="dxa"/>
            <w:bottom w:w="0" w:type="dxa"/>
            <w:right w:w="0" w:type="dxa"/>
          </w:tblCellMar>
        </w:tblPrEx>
        <w:trPr>
          <w:trHeight w:val="415" w:hRule="atLeast"/>
        </w:trPr>
        <w:tc>
          <w:tcPr>
            <w:tcW w:w="1833" w:type="dxa"/>
            <w:tcBorders>
              <w:top w:val="single" w:color="000000" w:sz="4" w:space="0"/>
              <w:left w:val="single" w:color="000000" w:sz="4" w:space="0"/>
              <w:bottom w:val="single" w:color="000000" w:sz="4" w:space="0"/>
              <w:right w:val="single" w:color="000000" w:sz="4" w:space="0"/>
            </w:tcBorders>
            <w:noWrap w:val="0"/>
            <w:vAlign w:val="top"/>
          </w:tcPr>
          <w:p w14:paraId="043F4BBD">
            <w:pPr>
              <w:pStyle w:val="95"/>
              <w:spacing w:before="106" w:line="220" w:lineRule="auto"/>
              <w:ind w:left="697"/>
              <w:rPr>
                <w:color w:val="auto"/>
                <w:highlight w:val="none"/>
              </w:rPr>
            </w:pPr>
            <w:r>
              <w:rPr>
                <w:b/>
                <w:bCs/>
                <w:color w:val="auto"/>
                <w:spacing w:val="-5"/>
                <w:highlight w:val="none"/>
              </w:rPr>
              <w:t>准备</w:t>
            </w:r>
          </w:p>
        </w:tc>
        <w:tc>
          <w:tcPr>
            <w:tcW w:w="6853" w:type="dxa"/>
            <w:tcBorders>
              <w:top w:val="single" w:color="000000" w:sz="4" w:space="0"/>
              <w:left w:val="single" w:color="000000" w:sz="4" w:space="0"/>
              <w:bottom w:val="single" w:color="000000" w:sz="4" w:space="0"/>
              <w:right w:val="single" w:color="000000" w:sz="4" w:space="0"/>
            </w:tcBorders>
            <w:noWrap w:val="0"/>
            <w:vAlign w:val="top"/>
          </w:tcPr>
          <w:p w14:paraId="3E9BA22C">
            <w:pPr>
              <w:pStyle w:val="95"/>
              <w:spacing w:before="108" w:line="218" w:lineRule="auto"/>
              <w:ind w:left="101"/>
              <w:rPr>
                <w:color w:val="auto"/>
                <w:highlight w:val="none"/>
              </w:rPr>
            </w:pPr>
            <w:r>
              <w:rPr>
                <w:color w:val="auto"/>
                <w:spacing w:val="-1"/>
                <w:highlight w:val="none"/>
              </w:rPr>
              <w:t>1.提前10分钟到岗位，自检仪容仪表。</w:t>
            </w:r>
          </w:p>
        </w:tc>
        <w:tc>
          <w:tcPr>
            <w:tcW w:w="1083" w:type="dxa"/>
            <w:tcBorders>
              <w:top w:val="single" w:color="000000" w:sz="4" w:space="0"/>
              <w:left w:val="single" w:color="000000" w:sz="4" w:space="0"/>
              <w:bottom w:val="single" w:color="000000" w:sz="4" w:space="0"/>
              <w:right w:val="single" w:color="000000" w:sz="4" w:space="0"/>
            </w:tcBorders>
            <w:noWrap w:val="0"/>
            <w:vAlign w:val="top"/>
          </w:tcPr>
          <w:p w14:paraId="699D659C">
            <w:pPr>
              <w:pStyle w:val="95"/>
              <w:spacing w:before="109" w:line="218" w:lineRule="auto"/>
              <w:ind w:left="378"/>
              <w:rPr>
                <w:color w:val="auto"/>
                <w:highlight w:val="none"/>
              </w:rPr>
            </w:pPr>
            <w:r>
              <w:rPr>
                <w:color w:val="auto"/>
                <w:spacing w:val="1"/>
                <w:highlight w:val="none"/>
              </w:rPr>
              <w:t>1分</w:t>
            </w:r>
          </w:p>
        </w:tc>
      </w:tr>
    </w:tbl>
    <w:p w14:paraId="6C924025">
      <w:pPr>
        <w:pStyle w:val="15"/>
        <w:spacing w:line="83" w:lineRule="exact"/>
        <w:rPr>
          <w:color w:val="auto"/>
          <w:sz w:val="7"/>
          <w:highlight w:val="none"/>
        </w:rPr>
        <w:sectPr>
          <w:headerReference r:id="rId15" w:type="first"/>
          <w:footerReference r:id="rId18" w:type="first"/>
          <w:headerReference r:id="rId13" w:type="default"/>
          <w:footerReference r:id="rId16" w:type="default"/>
          <w:headerReference r:id="rId14" w:type="even"/>
          <w:footerReference r:id="rId17" w:type="even"/>
          <w:footnotePr>
            <w:pos w:val="beneathText"/>
          </w:footnotePr>
          <w:pgSz w:w="11560" w:h="16490"/>
          <w:pgMar w:top="519" w:right="450" w:bottom="541" w:left="1100" w:header="0" w:footer="304" w:gutter="0"/>
          <w:pgNumType w:fmt="decimal"/>
          <w:cols w:space="720" w:num="1"/>
          <w:docGrid w:linePitch="360" w:charSpace="0"/>
        </w:sectPr>
      </w:pPr>
    </w:p>
    <w:p w14:paraId="4CCA5154">
      <w:pPr>
        <w:spacing w:line="74" w:lineRule="exact"/>
        <w:rPr>
          <w:color w:val="auto"/>
          <w:sz w:val="7"/>
          <w:szCs w:val="7"/>
          <w:highlight w:val="none"/>
        </w:rPr>
      </w:pPr>
    </w:p>
    <w:tbl>
      <w:tblPr>
        <w:tblStyle w:val="42"/>
        <w:tblW w:w="0" w:type="auto"/>
        <w:tblInd w:w="90" w:type="dxa"/>
        <w:tblLayout w:type="fixed"/>
        <w:tblCellMar>
          <w:top w:w="0" w:type="dxa"/>
          <w:left w:w="0" w:type="dxa"/>
          <w:bottom w:w="0" w:type="dxa"/>
          <w:right w:w="0" w:type="dxa"/>
        </w:tblCellMar>
      </w:tblPr>
      <w:tblGrid>
        <w:gridCol w:w="694"/>
        <w:gridCol w:w="1138"/>
        <w:gridCol w:w="6803"/>
        <w:gridCol w:w="1094"/>
      </w:tblGrid>
      <w:tr w14:paraId="0EB9DC53">
        <w:tblPrEx>
          <w:tblCellMar>
            <w:top w:w="0" w:type="dxa"/>
            <w:left w:w="0" w:type="dxa"/>
            <w:bottom w:w="0" w:type="dxa"/>
            <w:right w:w="0" w:type="dxa"/>
          </w:tblCellMar>
        </w:tblPrEx>
        <w:trPr>
          <w:trHeight w:val="415" w:hRule="atLeast"/>
        </w:trPr>
        <w:tc>
          <w:tcPr>
            <w:tcW w:w="1832" w:type="dxa"/>
            <w:gridSpan w:val="2"/>
            <w:tcBorders>
              <w:top w:val="single" w:color="000000" w:sz="4" w:space="0"/>
              <w:left w:val="single" w:color="000000" w:sz="4" w:space="0"/>
              <w:bottom w:val="single" w:color="000000" w:sz="4" w:space="0"/>
              <w:right w:val="single" w:color="000000" w:sz="4" w:space="0"/>
            </w:tcBorders>
            <w:noWrap w:val="0"/>
            <w:vAlign w:val="top"/>
          </w:tcPr>
          <w:p w14:paraId="5F6ACC1E">
            <w:pPr>
              <w:snapToGrid w:val="0"/>
              <w:rPr>
                <w:rFonts w:ascii="Arial" w:hAnsi="Arial"/>
                <w:color w:val="auto"/>
                <w:highlight w:val="none"/>
              </w:rPr>
            </w:pPr>
          </w:p>
        </w:tc>
        <w:tc>
          <w:tcPr>
            <w:tcW w:w="6803" w:type="dxa"/>
            <w:tcBorders>
              <w:top w:val="single" w:color="000000" w:sz="4" w:space="0"/>
              <w:left w:val="single" w:color="000000" w:sz="4" w:space="0"/>
              <w:bottom w:val="single" w:color="000000" w:sz="4" w:space="0"/>
              <w:right w:val="single" w:color="000000" w:sz="4" w:space="0"/>
            </w:tcBorders>
            <w:noWrap w:val="0"/>
            <w:vAlign w:val="top"/>
          </w:tcPr>
          <w:p w14:paraId="5C3C303C">
            <w:pPr>
              <w:pStyle w:val="95"/>
              <w:spacing w:before="102" w:line="218" w:lineRule="auto"/>
              <w:ind w:left="102"/>
              <w:rPr>
                <w:color w:val="auto"/>
                <w:highlight w:val="none"/>
              </w:rPr>
            </w:pPr>
            <w:r>
              <w:rPr>
                <w:color w:val="auto"/>
                <w:highlight w:val="none"/>
              </w:rPr>
              <w:t>2.交班前5分钟，班长布置当天的工作任务及注意事项。</w:t>
            </w:r>
          </w:p>
        </w:tc>
        <w:tc>
          <w:tcPr>
            <w:tcW w:w="1094" w:type="dxa"/>
            <w:tcBorders>
              <w:top w:val="single" w:color="000000" w:sz="4" w:space="0"/>
              <w:left w:val="single" w:color="000000" w:sz="4" w:space="0"/>
              <w:bottom w:val="single" w:color="000000" w:sz="4" w:space="0"/>
              <w:right w:val="single" w:color="000000" w:sz="4" w:space="0"/>
            </w:tcBorders>
            <w:noWrap w:val="0"/>
            <w:vAlign w:val="top"/>
          </w:tcPr>
          <w:p w14:paraId="5C2AAF5B">
            <w:pPr>
              <w:pStyle w:val="95"/>
              <w:spacing w:before="54" w:line="218" w:lineRule="auto"/>
              <w:ind w:left="379"/>
              <w:rPr>
                <w:color w:val="auto"/>
                <w:highlight w:val="none"/>
              </w:rPr>
            </w:pPr>
            <w:r>
              <w:rPr>
                <w:color w:val="auto"/>
                <w:spacing w:val="7"/>
                <w:highlight w:val="none"/>
              </w:rPr>
              <w:t>1分</w:t>
            </w:r>
          </w:p>
        </w:tc>
      </w:tr>
      <w:tr w14:paraId="2A5AE068">
        <w:tblPrEx>
          <w:tblCellMar>
            <w:top w:w="0" w:type="dxa"/>
            <w:left w:w="0" w:type="dxa"/>
            <w:bottom w:w="0" w:type="dxa"/>
            <w:right w:w="0" w:type="dxa"/>
          </w:tblCellMar>
        </w:tblPrEx>
        <w:trPr>
          <w:trHeight w:val="549" w:hRule="atLeast"/>
        </w:trPr>
        <w:tc>
          <w:tcPr>
            <w:tcW w:w="1832" w:type="dxa"/>
            <w:gridSpan w:val="2"/>
            <w:vMerge w:val="restart"/>
            <w:tcBorders>
              <w:top w:val="single" w:color="000000" w:sz="4" w:space="0"/>
              <w:left w:val="single" w:color="000000" w:sz="4" w:space="0"/>
              <w:right w:val="single" w:color="000000" w:sz="4" w:space="0"/>
            </w:tcBorders>
            <w:noWrap w:val="0"/>
            <w:vAlign w:val="top"/>
          </w:tcPr>
          <w:p w14:paraId="5A484114">
            <w:pPr>
              <w:pStyle w:val="95"/>
              <w:spacing w:before="237"/>
              <w:ind w:right="554"/>
              <w:rPr>
                <w:color w:val="auto"/>
                <w:highlight w:val="none"/>
              </w:rPr>
            </w:pPr>
            <w:r>
              <w:rPr>
                <w:b/>
                <w:bCs/>
                <w:color w:val="auto"/>
                <w:spacing w:val="-6"/>
                <w:highlight w:val="none"/>
              </w:rPr>
              <w:t>接班</w:t>
            </w:r>
            <w:r>
              <w:rPr>
                <w:color w:val="auto"/>
                <w:highlight w:val="none"/>
              </w:rPr>
              <w:t xml:space="preserve">  </w:t>
            </w:r>
            <w:r>
              <w:rPr>
                <w:b/>
                <w:bCs/>
                <w:color w:val="auto"/>
                <w:spacing w:val="7"/>
                <w:highlight w:val="none"/>
              </w:rPr>
              <w:t>(接岗)</w:t>
            </w:r>
          </w:p>
        </w:tc>
        <w:tc>
          <w:tcPr>
            <w:tcW w:w="6803" w:type="dxa"/>
            <w:tcBorders>
              <w:top w:val="single" w:color="000000" w:sz="4" w:space="0"/>
              <w:left w:val="single" w:color="000000" w:sz="4" w:space="0"/>
              <w:bottom w:val="single" w:color="000000" w:sz="4" w:space="0"/>
              <w:right w:val="single" w:color="000000" w:sz="4" w:space="0"/>
            </w:tcBorders>
            <w:noWrap w:val="0"/>
            <w:vAlign w:val="top"/>
          </w:tcPr>
          <w:p w14:paraId="027941AD">
            <w:pPr>
              <w:pStyle w:val="95"/>
              <w:spacing w:before="19" w:line="228" w:lineRule="auto"/>
              <w:ind w:left="102" w:hanging="19"/>
              <w:rPr>
                <w:color w:val="auto"/>
                <w:highlight w:val="none"/>
              </w:rPr>
            </w:pPr>
            <w:r>
              <w:rPr>
                <w:color w:val="auto"/>
                <w:highlight w:val="none"/>
              </w:rPr>
              <w:t>1.仔细查阅上一班记录。了解上一班次的值班情</w:t>
            </w:r>
            <w:r>
              <w:rPr>
                <w:color w:val="auto"/>
                <w:spacing w:val="-1"/>
                <w:highlight w:val="none"/>
              </w:rPr>
              <w:t>况和未完成工作，交接哨</w:t>
            </w:r>
            <w:r>
              <w:rPr>
                <w:color w:val="auto"/>
                <w:highlight w:val="none"/>
              </w:rPr>
              <w:t xml:space="preserve"> </w:t>
            </w:r>
            <w:r>
              <w:rPr>
                <w:color w:val="auto"/>
                <w:spacing w:val="-2"/>
                <w:highlight w:val="none"/>
              </w:rPr>
              <w:t>位警械等，并做好交接记录。</w:t>
            </w:r>
          </w:p>
        </w:tc>
        <w:tc>
          <w:tcPr>
            <w:tcW w:w="1094" w:type="dxa"/>
            <w:tcBorders>
              <w:top w:val="single" w:color="000000" w:sz="4" w:space="0"/>
              <w:left w:val="single" w:color="000000" w:sz="4" w:space="0"/>
              <w:bottom w:val="single" w:color="000000" w:sz="4" w:space="0"/>
              <w:right w:val="single" w:color="000000" w:sz="4" w:space="0"/>
            </w:tcBorders>
            <w:noWrap w:val="0"/>
            <w:vAlign w:val="top"/>
          </w:tcPr>
          <w:p w14:paraId="5692DC0B">
            <w:pPr>
              <w:pStyle w:val="95"/>
              <w:spacing w:before="99" w:line="218" w:lineRule="auto"/>
              <w:ind w:left="379"/>
              <w:rPr>
                <w:color w:val="auto"/>
                <w:highlight w:val="none"/>
              </w:rPr>
            </w:pPr>
            <w:r>
              <w:rPr>
                <w:color w:val="auto"/>
                <w:spacing w:val="7"/>
                <w:highlight w:val="none"/>
              </w:rPr>
              <w:t>1分</w:t>
            </w:r>
          </w:p>
        </w:tc>
      </w:tr>
      <w:tr w14:paraId="2ED9261E">
        <w:tblPrEx>
          <w:tblCellMar>
            <w:top w:w="0" w:type="dxa"/>
            <w:left w:w="0" w:type="dxa"/>
            <w:bottom w:w="0" w:type="dxa"/>
            <w:right w:w="0" w:type="dxa"/>
          </w:tblCellMar>
        </w:tblPrEx>
        <w:trPr>
          <w:trHeight w:val="410" w:hRule="atLeast"/>
        </w:trPr>
        <w:tc>
          <w:tcPr>
            <w:tcW w:w="1832" w:type="dxa"/>
            <w:gridSpan w:val="2"/>
            <w:vMerge w:val="continue"/>
            <w:tcBorders>
              <w:top w:val="single" w:color="000000" w:sz="4" w:space="0"/>
              <w:left w:val="single" w:color="000000" w:sz="4" w:space="0"/>
              <w:right w:val="single" w:color="000000" w:sz="4" w:space="0"/>
            </w:tcBorders>
            <w:noWrap w:val="0"/>
            <w:vAlign w:val="top"/>
          </w:tcPr>
          <w:p w14:paraId="2DCAC96A">
            <w:pPr>
              <w:snapToGrid w:val="0"/>
              <w:rPr>
                <w:rFonts w:ascii="Arial" w:hAnsi="Arial"/>
                <w:color w:val="auto"/>
                <w:highlight w:val="none"/>
              </w:rPr>
            </w:pPr>
          </w:p>
        </w:tc>
        <w:tc>
          <w:tcPr>
            <w:tcW w:w="6803" w:type="dxa"/>
            <w:tcBorders>
              <w:top w:val="single" w:color="000000" w:sz="4" w:space="0"/>
              <w:left w:val="single" w:color="000000" w:sz="4" w:space="0"/>
              <w:bottom w:val="single" w:color="000000" w:sz="4" w:space="0"/>
              <w:right w:val="single" w:color="000000" w:sz="4" w:space="0"/>
            </w:tcBorders>
            <w:noWrap w:val="0"/>
            <w:vAlign w:val="top"/>
          </w:tcPr>
          <w:p w14:paraId="6A442B57">
            <w:pPr>
              <w:pStyle w:val="95"/>
              <w:spacing w:before="99" w:line="218" w:lineRule="auto"/>
              <w:ind w:left="102"/>
              <w:rPr>
                <w:color w:val="auto"/>
                <w:highlight w:val="none"/>
              </w:rPr>
            </w:pPr>
            <w:r>
              <w:rPr>
                <w:color w:val="auto"/>
                <w:spacing w:val="-1"/>
                <w:highlight w:val="none"/>
              </w:rPr>
              <w:t>2.列队赶赴分派哨位，队伍整齐有序。</w:t>
            </w:r>
          </w:p>
        </w:tc>
        <w:tc>
          <w:tcPr>
            <w:tcW w:w="1094" w:type="dxa"/>
            <w:tcBorders>
              <w:top w:val="single" w:color="000000" w:sz="4" w:space="0"/>
              <w:left w:val="single" w:color="000000" w:sz="4" w:space="0"/>
              <w:bottom w:val="single" w:color="000000" w:sz="4" w:space="0"/>
              <w:right w:val="single" w:color="000000" w:sz="4" w:space="0"/>
            </w:tcBorders>
            <w:noWrap w:val="0"/>
            <w:vAlign w:val="top"/>
          </w:tcPr>
          <w:p w14:paraId="4EE586B7">
            <w:pPr>
              <w:pStyle w:val="95"/>
              <w:spacing w:before="40" w:line="218" w:lineRule="auto"/>
              <w:ind w:left="379"/>
              <w:rPr>
                <w:color w:val="auto"/>
                <w:highlight w:val="none"/>
              </w:rPr>
            </w:pPr>
            <w:r>
              <w:rPr>
                <w:color w:val="auto"/>
                <w:spacing w:val="7"/>
                <w:highlight w:val="none"/>
              </w:rPr>
              <w:t>1分</w:t>
            </w:r>
          </w:p>
        </w:tc>
      </w:tr>
      <w:tr w14:paraId="783BE02A">
        <w:tblPrEx>
          <w:tblCellMar>
            <w:top w:w="0" w:type="dxa"/>
            <w:left w:w="0" w:type="dxa"/>
            <w:bottom w:w="0" w:type="dxa"/>
            <w:right w:w="0" w:type="dxa"/>
          </w:tblCellMar>
        </w:tblPrEx>
        <w:trPr>
          <w:trHeight w:val="400" w:hRule="atLeast"/>
        </w:trPr>
        <w:tc>
          <w:tcPr>
            <w:tcW w:w="694" w:type="dxa"/>
            <w:vMerge w:val="restart"/>
            <w:tcBorders>
              <w:top w:val="single" w:color="000000" w:sz="4" w:space="0"/>
              <w:left w:val="single" w:color="000000" w:sz="4" w:space="0"/>
              <w:right w:val="single" w:color="000000" w:sz="4" w:space="0"/>
            </w:tcBorders>
            <w:noWrap w:val="0"/>
            <w:vAlign w:val="top"/>
          </w:tcPr>
          <w:p w14:paraId="48A1CE63">
            <w:pPr>
              <w:snapToGrid w:val="0"/>
              <w:spacing w:line="295" w:lineRule="auto"/>
              <w:rPr>
                <w:rFonts w:ascii="Arial" w:hAnsi="Arial"/>
                <w:color w:val="auto"/>
                <w:highlight w:val="none"/>
              </w:rPr>
            </w:pPr>
          </w:p>
          <w:p w14:paraId="582D31CC">
            <w:pPr>
              <w:spacing w:line="295" w:lineRule="auto"/>
              <w:rPr>
                <w:rFonts w:ascii="Arial" w:hAnsi="Arial"/>
                <w:color w:val="auto"/>
                <w:highlight w:val="none"/>
              </w:rPr>
            </w:pPr>
          </w:p>
          <w:p w14:paraId="7C9AE0A4">
            <w:pPr>
              <w:spacing w:line="295" w:lineRule="auto"/>
              <w:rPr>
                <w:rFonts w:ascii="Arial" w:hAnsi="Arial"/>
                <w:color w:val="auto"/>
                <w:highlight w:val="none"/>
              </w:rPr>
            </w:pPr>
          </w:p>
          <w:p w14:paraId="4B6B4B00">
            <w:pPr>
              <w:spacing w:line="295" w:lineRule="auto"/>
              <w:rPr>
                <w:rFonts w:ascii="Arial" w:hAnsi="Arial"/>
                <w:color w:val="auto"/>
                <w:highlight w:val="none"/>
              </w:rPr>
            </w:pPr>
          </w:p>
          <w:p w14:paraId="6E2891C0">
            <w:pPr>
              <w:pStyle w:val="95"/>
              <w:spacing w:before="68" w:line="228" w:lineRule="auto"/>
              <w:ind w:left="124" w:right="113"/>
              <w:rPr>
                <w:color w:val="auto"/>
                <w:highlight w:val="none"/>
              </w:rPr>
            </w:pPr>
            <w:r>
              <w:rPr>
                <w:color w:val="auto"/>
                <w:spacing w:val="12"/>
                <w:highlight w:val="none"/>
              </w:rPr>
              <w:t>通用</w:t>
            </w:r>
            <w:r>
              <w:rPr>
                <w:color w:val="auto"/>
                <w:highlight w:val="none"/>
              </w:rPr>
              <w:t xml:space="preserve"> </w:t>
            </w:r>
            <w:r>
              <w:rPr>
                <w:color w:val="auto"/>
                <w:spacing w:val="-3"/>
                <w:highlight w:val="none"/>
              </w:rPr>
              <w:t>要求</w:t>
            </w:r>
          </w:p>
        </w:tc>
        <w:tc>
          <w:tcPr>
            <w:tcW w:w="1138" w:type="dxa"/>
            <w:tcBorders>
              <w:top w:val="single" w:color="000000" w:sz="4" w:space="0"/>
              <w:left w:val="single" w:color="000000" w:sz="4" w:space="0"/>
              <w:bottom w:val="single" w:color="000000" w:sz="4" w:space="0"/>
              <w:right w:val="single" w:color="000000" w:sz="4" w:space="0"/>
            </w:tcBorders>
            <w:noWrap w:val="0"/>
            <w:vAlign w:val="top"/>
          </w:tcPr>
          <w:p w14:paraId="2600DD1E">
            <w:pPr>
              <w:pStyle w:val="95"/>
              <w:spacing w:before="100" w:line="220" w:lineRule="auto"/>
              <w:ind w:left="140"/>
              <w:rPr>
                <w:color w:val="auto"/>
                <w:highlight w:val="none"/>
              </w:rPr>
            </w:pPr>
            <w:r>
              <w:rPr>
                <w:color w:val="auto"/>
                <w:spacing w:val="-2"/>
                <w:highlight w:val="none"/>
              </w:rPr>
              <w:t>记录要求</w:t>
            </w:r>
          </w:p>
        </w:tc>
        <w:tc>
          <w:tcPr>
            <w:tcW w:w="6803" w:type="dxa"/>
            <w:tcBorders>
              <w:top w:val="single" w:color="000000" w:sz="4" w:space="0"/>
              <w:left w:val="single" w:color="000000" w:sz="4" w:space="0"/>
              <w:bottom w:val="single" w:color="000000" w:sz="4" w:space="0"/>
              <w:right w:val="single" w:color="000000" w:sz="4" w:space="0"/>
            </w:tcBorders>
            <w:noWrap w:val="0"/>
            <w:vAlign w:val="top"/>
          </w:tcPr>
          <w:p w14:paraId="59F72ACA">
            <w:pPr>
              <w:pStyle w:val="95"/>
              <w:spacing w:before="99" w:line="218" w:lineRule="auto"/>
              <w:jc w:val="right"/>
              <w:rPr>
                <w:color w:val="auto"/>
                <w:highlight w:val="none"/>
              </w:rPr>
            </w:pPr>
            <w:r>
              <w:rPr>
                <w:color w:val="auto"/>
                <w:spacing w:val="-7"/>
                <w:highlight w:val="none"/>
              </w:rPr>
              <w:t>各种记录保存完好，字迹清楚明了，无丢失、无赃</w:t>
            </w:r>
            <w:r>
              <w:rPr>
                <w:color w:val="auto"/>
                <w:spacing w:val="-8"/>
                <w:highlight w:val="none"/>
              </w:rPr>
              <w:t>污等，并及时上交存档。</w:t>
            </w:r>
          </w:p>
        </w:tc>
        <w:tc>
          <w:tcPr>
            <w:tcW w:w="1094" w:type="dxa"/>
            <w:tcBorders>
              <w:top w:val="single" w:color="000000" w:sz="4" w:space="0"/>
              <w:left w:val="single" w:color="000000" w:sz="4" w:space="0"/>
              <w:bottom w:val="single" w:color="000000" w:sz="4" w:space="0"/>
              <w:right w:val="single" w:color="000000" w:sz="4" w:space="0"/>
            </w:tcBorders>
            <w:noWrap w:val="0"/>
            <w:vAlign w:val="top"/>
          </w:tcPr>
          <w:p w14:paraId="370009EB">
            <w:pPr>
              <w:pStyle w:val="95"/>
              <w:spacing w:before="100" w:line="218" w:lineRule="auto"/>
              <w:ind w:left="379"/>
              <w:rPr>
                <w:color w:val="auto"/>
                <w:highlight w:val="none"/>
              </w:rPr>
            </w:pPr>
            <w:r>
              <w:rPr>
                <w:color w:val="auto"/>
                <w:spacing w:val="7"/>
                <w:highlight w:val="none"/>
              </w:rPr>
              <w:t>1分</w:t>
            </w:r>
          </w:p>
        </w:tc>
      </w:tr>
      <w:tr w14:paraId="675C2BE5">
        <w:tblPrEx>
          <w:tblCellMar>
            <w:top w:w="0" w:type="dxa"/>
            <w:left w:w="0" w:type="dxa"/>
            <w:bottom w:w="0" w:type="dxa"/>
            <w:right w:w="0" w:type="dxa"/>
          </w:tblCellMar>
        </w:tblPrEx>
        <w:trPr>
          <w:trHeight w:val="529" w:hRule="atLeast"/>
        </w:trPr>
        <w:tc>
          <w:tcPr>
            <w:tcW w:w="694" w:type="dxa"/>
            <w:vMerge w:val="continue"/>
            <w:tcBorders>
              <w:top w:val="single" w:color="000000" w:sz="4" w:space="0"/>
              <w:left w:val="single" w:color="000000" w:sz="4" w:space="0"/>
              <w:right w:val="single" w:color="000000" w:sz="4" w:space="0"/>
            </w:tcBorders>
            <w:noWrap w:val="0"/>
            <w:vAlign w:val="top"/>
          </w:tcPr>
          <w:p w14:paraId="5971D95A">
            <w:pPr>
              <w:snapToGrid w:val="0"/>
              <w:rPr>
                <w:rFonts w:ascii="Arial" w:hAnsi="Arial"/>
                <w:color w:val="auto"/>
                <w:highlight w:val="none"/>
              </w:rPr>
            </w:pPr>
          </w:p>
        </w:tc>
        <w:tc>
          <w:tcPr>
            <w:tcW w:w="1138" w:type="dxa"/>
            <w:tcBorders>
              <w:top w:val="single" w:color="000000" w:sz="4" w:space="0"/>
              <w:left w:val="single" w:color="000000" w:sz="4" w:space="0"/>
              <w:bottom w:val="single" w:color="000000" w:sz="4" w:space="0"/>
              <w:right w:val="single" w:color="000000" w:sz="4" w:space="0"/>
            </w:tcBorders>
            <w:noWrap w:val="0"/>
            <w:vAlign w:val="top"/>
          </w:tcPr>
          <w:p w14:paraId="5664E8B4">
            <w:pPr>
              <w:pStyle w:val="95"/>
              <w:spacing w:before="159" w:line="218" w:lineRule="auto"/>
              <w:ind w:left="140"/>
              <w:rPr>
                <w:color w:val="auto"/>
                <w:highlight w:val="none"/>
              </w:rPr>
            </w:pPr>
            <w:r>
              <w:rPr>
                <w:color w:val="auto"/>
                <w:spacing w:val="-2"/>
                <w:highlight w:val="none"/>
              </w:rPr>
              <w:t>相关责任</w:t>
            </w:r>
          </w:p>
        </w:tc>
        <w:tc>
          <w:tcPr>
            <w:tcW w:w="6803" w:type="dxa"/>
            <w:tcBorders>
              <w:top w:val="single" w:color="000000" w:sz="4" w:space="0"/>
              <w:left w:val="single" w:color="000000" w:sz="4" w:space="0"/>
              <w:bottom w:val="single" w:color="000000" w:sz="4" w:space="0"/>
              <w:right w:val="single" w:color="000000" w:sz="4" w:space="0"/>
            </w:tcBorders>
            <w:noWrap w:val="0"/>
            <w:vAlign w:val="top"/>
          </w:tcPr>
          <w:p w14:paraId="1925FDE0">
            <w:pPr>
              <w:pStyle w:val="95"/>
              <w:spacing w:before="38" w:line="208" w:lineRule="auto"/>
              <w:ind w:left="102" w:hanging="10"/>
              <w:rPr>
                <w:color w:val="auto"/>
                <w:highlight w:val="none"/>
              </w:rPr>
            </w:pPr>
            <w:r>
              <w:rPr>
                <w:color w:val="auto"/>
                <w:spacing w:val="-1"/>
                <w:highlight w:val="none"/>
              </w:rPr>
              <w:t>各岗位安防员有责任对公共设备设施使用情况进行监督和检查，发现问题</w:t>
            </w:r>
            <w:r>
              <w:rPr>
                <w:color w:val="auto"/>
                <w:spacing w:val="11"/>
                <w:highlight w:val="none"/>
              </w:rPr>
              <w:t xml:space="preserve"> </w:t>
            </w:r>
            <w:r>
              <w:rPr>
                <w:color w:val="auto"/>
                <w:spacing w:val="-2"/>
                <w:highlight w:val="none"/>
              </w:rPr>
              <w:t>及时报修。</w:t>
            </w:r>
          </w:p>
        </w:tc>
        <w:tc>
          <w:tcPr>
            <w:tcW w:w="1094" w:type="dxa"/>
            <w:tcBorders>
              <w:top w:val="single" w:color="000000" w:sz="4" w:space="0"/>
              <w:left w:val="single" w:color="000000" w:sz="4" w:space="0"/>
              <w:bottom w:val="single" w:color="000000" w:sz="4" w:space="0"/>
              <w:right w:val="single" w:color="000000" w:sz="4" w:space="0"/>
            </w:tcBorders>
            <w:noWrap w:val="0"/>
            <w:vAlign w:val="top"/>
          </w:tcPr>
          <w:p w14:paraId="5BDFF815">
            <w:pPr>
              <w:pStyle w:val="95"/>
              <w:spacing w:before="160" w:line="218" w:lineRule="auto"/>
              <w:ind w:left="379"/>
              <w:rPr>
                <w:color w:val="auto"/>
                <w:highlight w:val="none"/>
              </w:rPr>
            </w:pPr>
            <w:r>
              <w:rPr>
                <w:color w:val="auto"/>
                <w:spacing w:val="7"/>
                <w:highlight w:val="none"/>
              </w:rPr>
              <w:t>1分</w:t>
            </w:r>
          </w:p>
        </w:tc>
      </w:tr>
      <w:tr w14:paraId="018E791D">
        <w:tblPrEx>
          <w:tblCellMar>
            <w:top w:w="0" w:type="dxa"/>
            <w:left w:w="0" w:type="dxa"/>
            <w:bottom w:w="0" w:type="dxa"/>
            <w:right w:w="0" w:type="dxa"/>
          </w:tblCellMar>
        </w:tblPrEx>
        <w:trPr>
          <w:trHeight w:val="410" w:hRule="atLeast"/>
        </w:trPr>
        <w:tc>
          <w:tcPr>
            <w:tcW w:w="694" w:type="dxa"/>
            <w:vMerge w:val="continue"/>
            <w:tcBorders>
              <w:top w:val="single" w:color="000000" w:sz="4" w:space="0"/>
              <w:left w:val="single" w:color="000000" w:sz="4" w:space="0"/>
              <w:right w:val="single" w:color="000000" w:sz="4" w:space="0"/>
            </w:tcBorders>
            <w:noWrap w:val="0"/>
            <w:vAlign w:val="top"/>
          </w:tcPr>
          <w:p w14:paraId="02BA8739">
            <w:pPr>
              <w:snapToGrid w:val="0"/>
              <w:rPr>
                <w:rFonts w:ascii="Arial" w:hAnsi="Arial"/>
                <w:color w:val="auto"/>
                <w:highlight w:val="none"/>
              </w:rPr>
            </w:pPr>
          </w:p>
        </w:tc>
        <w:tc>
          <w:tcPr>
            <w:tcW w:w="1138" w:type="dxa"/>
            <w:vMerge w:val="restart"/>
            <w:tcBorders>
              <w:top w:val="single" w:color="000000" w:sz="4" w:space="0"/>
              <w:left w:val="single" w:color="000000" w:sz="4" w:space="0"/>
              <w:right w:val="single" w:color="000000" w:sz="4" w:space="0"/>
            </w:tcBorders>
            <w:noWrap w:val="0"/>
            <w:vAlign w:val="top"/>
          </w:tcPr>
          <w:p w14:paraId="674E4E25">
            <w:pPr>
              <w:snapToGrid w:val="0"/>
              <w:spacing w:line="309" w:lineRule="auto"/>
              <w:rPr>
                <w:rFonts w:ascii="Arial" w:hAnsi="Arial"/>
                <w:color w:val="auto"/>
                <w:highlight w:val="none"/>
              </w:rPr>
            </w:pPr>
          </w:p>
          <w:p w14:paraId="0CC8DEA6">
            <w:pPr>
              <w:pStyle w:val="95"/>
              <w:spacing w:before="68" w:line="218" w:lineRule="auto"/>
              <w:ind w:left="140"/>
              <w:rPr>
                <w:color w:val="auto"/>
                <w:highlight w:val="none"/>
              </w:rPr>
            </w:pPr>
            <w:r>
              <w:rPr>
                <w:color w:val="auto"/>
                <w:spacing w:val="2"/>
                <w:highlight w:val="none"/>
              </w:rPr>
              <w:t>突发事件</w:t>
            </w:r>
          </w:p>
        </w:tc>
        <w:tc>
          <w:tcPr>
            <w:tcW w:w="6803" w:type="dxa"/>
            <w:tcBorders>
              <w:top w:val="single" w:color="000000" w:sz="4" w:space="0"/>
              <w:left w:val="single" w:color="000000" w:sz="4" w:space="0"/>
              <w:bottom w:val="single" w:color="000000" w:sz="4" w:space="0"/>
              <w:right w:val="single" w:color="000000" w:sz="4" w:space="0"/>
            </w:tcBorders>
            <w:noWrap w:val="0"/>
            <w:vAlign w:val="top"/>
          </w:tcPr>
          <w:p w14:paraId="18AD5DB6">
            <w:pPr>
              <w:pStyle w:val="95"/>
              <w:spacing w:before="100" w:line="218" w:lineRule="auto"/>
              <w:ind w:left="102"/>
              <w:rPr>
                <w:color w:val="auto"/>
                <w:highlight w:val="none"/>
              </w:rPr>
            </w:pPr>
            <w:r>
              <w:rPr>
                <w:color w:val="auto"/>
                <w:highlight w:val="none"/>
              </w:rPr>
              <w:t>1.所有安防人员，必须熟知各项应急预案，并能与</w:t>
            </w:r>
            <w:r>
              <w:rPr>
                <w:color w:val="auto"/>
                <w:spacing w:val="-1"/>
                <w:highlight w:val="none"/>
              </w:rPr>
              <w:t>实际相结合。</w:t>
            </w:r>
          </w:p>
        </w:tc>
        <w:tc>
          <w:tcPr>
            <w:tcW w:w="1094" w:type="dxa"/>
            <w:tcBorders>
              <w:top w:val="single" w:color="000000" w:sz="4" w:space="0"/>
              <w:left w:val="single" w:color="000000" w:sz="4" w:space="0"/>
              <w:bottom w:val="single" w:color="000000" w:sz="4" w:space="0"/>
              <w:right w:val="single" w:color="000000" w:sz="4" w:space="0"/>
            </w:tcBorders>
            <w:noWrap w:val="0"/>
            <w:vAlign w:val="top"/>
          </w:tcPr>
          <w:p w14:paraId="0FC87D99">
            <w:pPr>
              <w:pStyle w:val="95"/>
              <w:spacing w:before="101" w:line="218" w:lineRule="auto"/>
              <w:ind w:left="379"/>
              <w:rPr>
                <w:color w:val="auto"/>
                <w:highlight w:val="none"/>
              </w:rPr>
            </w:pPr>
            <w:r>
              <w:rPr>
                <w:color w:val="auto"/>
                <w:spacing w:val="7"/>
                <w:highlight w:val="none"/>
              </w:rPr>
              <w:t>2分</w:t>
            </w:r>
          </w:p>
        </w:tc>
      </w:tr>
      <w:tr w14:paraId="61F87494">
        <w:tblPrEx>
          <w:tblCellMar>
            <w:top w:w="0" w:type="dxa"/>
            <w:left w:w="0" w:type="dxa"/>
            <w:bottom w:w="0" w:type="dxa"/>
            <w:right w:w="0" w:type="dxa"/>
          </w:tblCellMar>
        </w:tblPrEx>
        <w:trPr>
          <w:trHeight w:val="549" w:hRule="atLeast"/>
        </w:trPr>
        <w:tc>
          <w:tcPr>
            <w:tcW w:w="694" w:type="dxa"/>
            <w:vMerge w:val="continue"/>
            <w:tcBorders>
              <w:top w:val="single" w:color="000000" w:sz="4" w:space="0"/>
              <w:left w:val="single" w:color="000000" w:sz="4" w:space="0"/>
              <w:right w:val="single" w:color="000000" w:sz="4" w:space="0"/>
            </w:tcBorders>
            <w:noWrap w:val="0"/>
            <w:vAlign w:val="top"/>
          </w:tcPr>
          <w:p w14:paraId="6369F6A7">
            <w:pPr>
              <w:snapToGrid w:val="0"/>
              <w:rPr>
                <w:rFonts w:ascii="Arial" w:hAnsi="Arial"/>
                <w:color w:val="auto"/>
                <w:highlight w:val="none"/>
              </w:rPr>
            </w:pPr>
          </w:p>
        </w:tc>
        <w:tc>
          <w:tcPr>
            <w:tcW w:w="1138" w:type="dxa"/>
            <w:vMerge w:val="continue"/>
            <w:tcBorders>
              <w:top w:val="single" w:color="000000" w:sz="4" w:space="0"/>
              <w:left w:val="single" w:color="000000" w:sz="4" w:space="0"/>
              <w:right w:val="single" w:color="000000" w:sz="4" w:space="0"/>
            </w:tcBorders>
            <w:noWrap w:val="0"/>
            <w:vAlign w:val="top"/>
          </w:tcPr>
          <w:p w14:paraId="643B9741">
            <w:pPr>
              <w:snapToGrid w:val="0"/>
              <w:rPr>
                <w:rFonts w:ascii="Arial" w:hAnsi="Arial"/>
                <w:color w:val="auto"/>
                <w:highlight w:val="none"/>
              </w:rPr>
            </w:pPr>
          </w:p>
        </w:tc>
        <w:tc>
          <w:tcPr>
            <w:tcW w:w="6803" w:type="dxa"/>
            <w:tcBorders>
              <w:top w:val="single" w:color="000000" w:sz="4" w:space="0"/>
              <w:left w:val="single" w:color="000000" w:sz="4" w:space="0"/>
              <w:bottom w:val="single" w:color="000000" w:sz="4" w:space="0"/>
              <w:right w:val="single" w:color="000000" w:sz="4" w:space="0"/>
            </w:tcBorders>
            <w:noWrap w:val="0"/>
            <w:vAlign w:val="top"/>
          </w:tcPr>
          <w:p w14:paraId="41D7B89E">
            <w:pPr>
              <w:pStyle w:val="95"/>
              <w:spacing w:before="11" w:line="230" w:lineRule="auto"/>
              <w:ind w:left="102" w:right="8" w:hanging="50"/>
              <w:rPr>
                <w:color w:val="auto"/>
                <w:highlight w:val="none"/>
              </w:rPr>
            </w:pPr>
            <w:r>
              <w:rPr>
                <w:color w:val="auto"/>
                <w:highlight w:val="none"/>
              </w:rPr>
              <w:t>2.保安公司要制订各项突发事件的应急预案，并定期组织演习，做到有详</w:t>
            </w:r>
            <w:r>
              <w:rPr>
                <w:color w:val="auto"/>
                <w:spacing w:val="10"/>
                <w:highlight w:val="none"/>
              </w:rPr>
              <w:t xml:space="preserve"> </w:t>
            </w:r>
            <w:r>
              <w:rPr>
                <w:color w:val="auto"/>
                <w:highlight w:val="none"/>
              </w:rPr>
              <w:t>细的年度演练计划和培训记录等。对甲方的紧急事件能</w:t>
            </w:r>
            <w:r>
              <w:rPr>
                <w:color w:val="auto"/>
                <w:spacing w:val="-1"/>
                <w:highlight w:val="none"/>
              </w:rPr>
              <w:t>给与积极响应。</w:t>
            </w:r>
          </w:p>
        </w:tc>
        <w:tc>
          <w:tcPr>
            <w:tcW w:w="1094" w:type="dxa"/>
            <w:tcBorders>
              <w:top w:val="single" w:color="000000" w:sz="4" w:space="0"/>
              <w:left w:val="single" w:color="000000" w:sz="4" w:space="0"/>
              <w:bottom w:val="single" w:color="000000" w:sz="4" w:space="0"/>
              <w:right w:val="single" w:color="000000" w:sz="4" w:space="0"/>
            </w:tcBorders>
            <w:noWrap w:val="0"/>
            <w:vAlign w:val="top"/>
          </w:tcPr>
          <w:p w14:paraId="30C322CA">
            <w:pPr>
              <w:pStyle w:val="95"/>
              <w:spacing w:before="101" w:line="218" w:lineRule="auto"/>
              <w:ind w:left="379"/>
              <w:rPr>
                <w:color w:val="auto"/>
                <w:highlight w:val="none"/>
              </w:rPr>
            </w:pPr>
            <w:r>
              <w:rPr>
                <w:color w:val="auto"/>
                <w:spacing w:val="7"/>
                <w:highlight w:val="none"/>
              </w:rPr>
              <w:t>2分</w:t>
            </w:r>
          </w:p>
        </w:tc>
      </w:tr>
      <w:tr w14:paraId="2EBCB5EF">
        <w:tblPrEx>
          <w:tblCellMar>
            <w:top w:w="0" w:type="dxa"/>
            <w:left w:w="0" w:type="dxa"/>
            <w:bottom w:w="0" w:type="dxa"/>
            <w:right w:w="0" w:type="dxa"/>
          </w:tblCellMar>
        </w:tblPrEx>
        <w:trPr>
          <w:trHeight w:val="530" w:hRule="atLeast"/>
        </w:trPr>
        <w:tc>
          <w:tcPr>
            <w:tcW w:w="694" w:type="dxa"/>
            <w:vMerge w:val="continue"/>
            <w:tcBorders>
              <w:top w:val="single" w:color="000000" w:sz="4" w:space="0"/>
              <w:left w:val="single" w:color="000000" w:sz="4" w:space="0"/>
              <w:right w:val="single" w:color="000000" w:sz="4" w:space="0"/>
            </w:tcBorders>
            <w:noWrap w:val="0"/>
            <w:vAlign w:val="top"/>
          </w:tcPr>
          <w:p w14:paraId="372C275E">
            <w:pPr>
              <w:snapToGrid w:val="0"/>
              <w:rPr>
                <w:rFonts w:ascii="Arial" w:hAnsi="Arial"/>
                <w:color w:val="auto"/>
                <w:highlight w:val="none"/>
              </w:rPr>
            </w:pPr>
          </w:p>
        </w:tc>
        <w:tc>
          <w:tcPr>
            <w:tcW w:w="1138" w:type="dxa"/>
            <w:tcBorders>
              <w:top w:val="single" w:color="000000" w:sz="4" w:space="0"/>
              <w:left w:val="single" w:color="000000" w:sz="4" w:space="0"/>
              <w:bottom w:val="single" w:color="000000" w:sz="4" w:space="0"/>
              <w:right w:val="single" w:color="000000" w:sz="4" w:space="0"/>
            </w:tcBorders>
            <w:noWrap w:val="0"/>
            <w:vAlign w:val="top"/>
          </w:tcPr>
          <w:p w14:paraId="7DFD9F71">
            <w:pPr>
              <w:pStyle w:val="95"/>
              <w:spacing w:before="162" w:line="220" w:lineRule="auto"/>
              <w:ind w:left="140"/>
              <w:rPr>
                <w:color w:val="auto"/>
                <w:highlight w:val="none"/>
              </w:rPr>
            </w:pPr>
            <w:r>
              <w:rPr>
                <w:color w:val="auto"/>
                <w:spacing w:val="-2"/>
                <w:highlight w:val="none"/>
              </w:rPr>
              <w:t>通讯设备</w:t>
            </w:r>
          </w:p>
        </w:tc>
        <w:tc>
          <w:tcPr>
            <w:tcW w:w="6803" w:type="dxa"/>
            <w:tcBorders>
              <w:top w:val="single" w:color="000000" w:sz="4" w:space="0"/>
              <w:left w:val="single" w:color="000000" w:sz="4" w:space="0"/>
              <w:bottom w:val="single" w:color="000000" w:sz="4" w:space="0"/>
              <w:right w:val="single" w:color="000000" w:sz="4" w:space="0"/>
            </w:tcBorders>
            <w:noWrap w:val="0"/>
            <w:vAlign w:val="top"/>
          </w:tcPr>
          <w:p w14:paraId="56B39C7F">
            <w:pPr>
              <w:pStyle w:val="95"/>
              <w:spacing w:before="10" w:line="223" w:lineRule="auto"/>
              <w:ind w:left="102"/>
              <w:rPr>
                <w:color w:val="auto"/>
                <w:highlight w:val="none"/>
              </w:rPr>
            </w:pPr>
            <w:r>
              <w:rPr>
                <w:color w:val="auto"/>
                <w:spacing w:val="-1"/>
                <w:highlight w:val="none"/>
              </w:rPr>
              <w:t>各岗位要保证通讯器材完好，发现问题及时维修，确保出现问题时能及时</w:t>
            </w:r>
            <w:r>
              <w:rPr>
                <w:color w:val="auto"/>
                <w:spacing w:val="1"/>
                <w:highlight w:val="none"/>
              </w:rPr>
              <w:t xml:space="preserve"> </w:t>
            </w:r>
            <w:r>
              <w:rPr>
                <w:color w:val="auto"/>
                <w:spacing w:val="-2"/>
                <w:highlight w:val="none"/>
              </w:rPr>
              <w:t>保持各岗位之间的联络</w:t>
            </w:r>
          </w:p>
        </w:tc>
        <w:tc>
          <w:tcPr>
            <w:tcW w:w="1094" w:type="dxa"/>
            <w:tcBorders>
              <w:top w:val="single" w:color="000000" w:sz="4" w:space="0"/>
              <w:left w:val="single" w:color="000000" w:sz="4" w:space="0"/>
              <w:bottom w:val="single" w:color="000000" w:sz="4" w:space="0"/>
              <w:right w:val="single" w:color="000000" w:sz="4" w:space="0"/>
            </w:tcBorders>
            <w:noWrap w:val="0"/>
            <w:vAlign w:val="top"/>
          </w:tcPr>
          <w:p w14:paraId="2A34FA41">
            <w:pPr>
              <w:pStyle w:val="95"/>
              <w:spacing w:before="162" w:line="218" w:lineRule="auto"/>
              <w:ind w:left="379"/>
              <w:rPr>
                <w:color w:val="auto"/>
                <w:highlight w:val="none"/>
              </w:rPr>
            </w:pPr>
            <w:r>
              <w:rPr>
                <w:color w:val="auto"/>
                <w:spacing w:val="7"/>
                <w:highlight w:val="none"/>
              </w:rPr>
              <w:t>1分</w:t>
            </w:r>
          </w:p>
        </w:tc>
      </w:tr>
      <w:tr w14:paraId="703E7D1D">
        <w:tblPrEx>
          <w:tblCellMar>
            <w:top w:w="0" w:type="dxa"/>
            <w:left w:w="0" w:type="dxa"/>
            <w:bottom w:w="0" w:type="dxa"/>
            <w:right w:w="0" w:type="dxa"/>
          </w:tblCellMar>
        </w:tblPrEx>
        <w:trPr>
          <w:trHeight w:val="549" w:hRule="atLeast"/>
        </w:trPr>
        <w:tc>
          <w:tcPr>
            <w:tcW w:w="694" w:type="dxa"/>
            <w:vMerge w:val="continue"/>
            <w:tcBorders>
              <w:top w:val="single" w:color="000000" w:sz="4" w:space="0"/>
              <w:left w:val="single" w:color="000000" w:sz="4" w:space="0"/>
              <w:right w:val="single" w:color="000000" w:sz="4" w:space="0"/>
            </w:tcBorders>
            <w:noWrap w:val="0"/>
            <w:vAlign w:val="top"/>
          </w:tcPr>
          <w:p w14:paraId="4F1CA3FC">
            <w:pPr>
              <w:snapToGrid w:val="0"/>
              <w:rPr>
                <w:rFonts w:ascii="Arial" w:hAnsi="Arial"/>
                <w:color w:val="auto"/>
                <w:highlight w:val="none"/>
              </w:rPr>
            </w:pPr>
          </w:p>
        </w:tc>
        <w:tc>
          <w:tcPr>
            <w:tcW w:w="1138" w:type="dxa"/>
            <w:tcBorders>
              <w:top w:val="single" w:color="000000" w:sz="4" w:space="0"/>
              <w:left w:val="single" w:color="000000" w:sz="4" w:space="0"/>
              <w:bottom w:val="single" w:color="000000" w:sz="4" w:space="0"/>
              <w:right w:val="single" w:color="000000" w:sz="4" w:space="0"/>
            </w:tcBorders>
            <w:noWrap w:val="0"/>
            <w:vAlign w:val="top"/>
          </w:tcPr>
          <w:p w14:paraId="19BFA50F">
            <w:pPr>
              <w:pStyle w:val="95"/>
              <w:spacing w:before="172" w:line="218" w:lineRule="auto"/>
              <w:ind w:left="140"/>
              <w:rPr>
                <w:color w:val="auto"/>
                <w:highlight w:val="none"/>
              </w:rPr>
            </w:pPr>
            <w:r>
              <w:rPr>
                <w:color w:val="auto"/>
                <w:spacing w:val="2"/>
                <w:highlight w:val="none"/>
              </w:rPr>
              <w:t>消防设备</w:t>
            </w:r>
          </w:p>
        </w:tc>
        <w:tc>
          <w:tcPr>
            <w:tcW w:w="6803" w:type="dxa"/>
            <w:tcBorders>
              <w:top w:val="single" w:color="000000" w:sz="4" w:space="0"/>
              <w:left w:val="single" w:color="000000" w:sz="4" w:space="0"/>
              <w:bottom w:val="single" w:color="000000" w:sz="4" w:space="0"/>
              <w:right w:val="single" w:color="000000" w:sz="4" w:space="0"/>
            </w:tcBorders>
            <w:noWrap w:val="0"/>
            <w:vAlign w:val="top"/>
          </w:tcPr>
          <w:p w14:paraId="6A823524">
            <w:pPr>
              <w:pStyle w:val="95"/>
              <w:spacing w:before="40" w:line="218" w:lineRule="auto"/>
              <w:ind w:left="102" w:hanging="19"/>
              <w:rPr>
                <w:color w:val="auto"/>
                <w:highlight w:val="none"/>
              </w:rPr>
            </w:pPr>
            <w:r>
              <w:rPr>
                <w:color w:val="auto"/>
                <w:highlight w:val="none"/>
              </w:rPr>
              <w:t>熟知消防知识、项目内消防设备、设施摆放位置</w:t>
            </w:r>
            <w:r>
              <w:rPr>
                <w:color w:val="auto"/>
                <w:spacing w:val="-1"/>
                <w:highlight w:val="none"/>
              </w:rPr>
              <w:t>，会正确使用各种消防设</w:t>
            </w:r>
            <w:r>
              <w:rPr>
                <w:color w:val="auto"/>
                <w:highlight w:val="none"/>
              </w:rPr>
              <w:t xml:space="preserve"> </w:t>
            </w:r>
            <w:r>
              <w:rPr>
                <w:color w:val="auto"/>
                <w:spacing w:val="-1"/>
                <w:highlight w:val="none"/>
              </w:rPr>
              <w:t>备设施，消防知识无盲点。</w:t>
            </w:r>
          </w:p>
        </w:tc>
        <w:tc>
          <w:tcPr>
            <w:tcW w:w="1094" w:type="dxa"/>
            <w:tcBorders>
              <w:top w:val="single" w:color="000000" w:sz="4" w:space="0"/>
              <w:left w:val="single" w:color="000000" w:sz="4" w:space="0"/>
              <w:bottom w:val="single" w:color="000000" w:sz="4" w:space="0"/>
              <w:right w:val="single" w:color="000000" w:sz="4" w:space="0"/>
            </w:tcBorders>
            <w:noWrap w:val="0"/>
            <w:vAlign w:val="top"/>
          </w:tcPr>
          <w:p w14:paraId="45DC1A4A">
            <w:pPr>
              <w:pStyle w:val="95"/>
              <w:spacing w:before="122" w:line="218" w:lineRule="auto"/>
              <w:ind w:left="379"/>
              <w:rPr>
                <w:color w:val="auto"/>
                <w:highlight w:val="none"/>
              </w:rPr>
            </w:pPr>
            <w:r>
              <w:rPr>
                <w:color w:val="auto"/>
                <w:spacing w:val="7"/>
                <w:highlight w:val="none"/>
              </w:rPr>
              <w:t>1分</w:t>
            </w:r>
          </w:p>
        </w:tc>
      </w:tr>
      <w:tr w14:paraId="2E69F7B3">
        <w:tblPrEx>
          <w:tblCellMar>
            <w:top w:w="0" w:type="dxa"/>
            <w:left w:w="0" w:type="dxa"/>
            <w:bottom w:w="0" w:type="dxa"/>
            <w:right w:w="0" w:type="dxa"/>
          </w:tblCellMar>
        </w:tblPrEx>
        <w:trPr>
          <w:trHeight w:val="399" w:hRule="atLeast"/>
        </w:trPr>
        <w:tc>
          <w:tcPr>
            <w:tcW w:w="694" w:type="dxa"/>
            <w:vMerge w:val="restart"/>
            <w:tcBorders>
              <w:top w:val="single" w:color="000000" w:sz="4" w:space="0"/>
              <w:left w:val="single" w:color="000000" w:sz="4" w:space="0"/>
              <w:right w:val="single" w:color="000000" w:sz="4" w:space="0"/>
            </w:tcBorders>
            <w:noWrap w:val="0"/>
            <w:vAlign w:val="top"/>
          </w:tcPr>
          <w:p w14:paraId="398BD160">
            <w:pPr>
              <w:snapToGrid w:val="0"/>
              <w:spacing w:line="283" w:lineRule="auto"/>
              <w:rPr>
                <w:rFonts w:ascii="Arial" w:hAnsi="Arial"/>
                <w:color w:val="auto"/>
                <w:highlight w:val="none"/>
              </w:rPr>
            </w:pPr>
          </w:p>
          <w:p w14:paraId="137EB3B2">
            <w:pPr>
              <w:spacing w:line="283" w:lineRule="auto"/>
              <w:rPr>
                <w:rFonts w:ascii="Arial" w:hAnsi="Arial"/>
                <w:color w:val="auto"/>
                <w:highlight w:val="none"/>
              </w:rPr>
            </w:pPr>
          </w:p>
          <w:p w14:paraId="0E7C14F6">
            <w:pPr>
              <w:spacing w:line="283" w:lineRule="auto"/>
              <w:rPr>
                <w:rFonts w:ascii="Arial" w:hAnsi="Arial"/>
                <w:color w:val="auto"/>
                <w:highlight w:val="none"/>
              </w:rPr>
            </w:pPr>
          </w:p>
          <w:p w14:paraId="5AC1EB89">
            <w:pPr>
              <w:spacing w:line="283" w:lineRule="auto"/>
              <w:rPr>
                <w:rFonts w:ascii="Arial" w:hAnsi="Arial"/>
                <w:color w:val="auto"/>
                <w:highlight w:val="none"/>
              </w:rPr>
            </w:pPr>
          </w:p>
          <w:p w14:paraId="22DAA5FE">
            <w:pPr>
              <w:pStyle w:val="95"/>
              <w:spacing w:before="69" w:line="230" w:lineRule="auto"/>
              <w:ind w:left="124" w:right="114"/>
              <w:rPr>
                <w:color w:val="auto"/>
                <w:highlight w:val="none"/>
              </w:rPr>
            </w:pPr>
            <w:r>
              <w:rPr>
                <w:color w:val="auto"/>
                <w:spacing w:val="12"/>
                <w:highlight w:val="none"/>
              </w:rPr>
              <w:t>门岗</w:t>
            </w:r>
            <w:r>
              <w:rPr>
                <w:color w:val="auto"/>
                <w:highlight w:val="none"/>
              </w:rPr>
              <w:t xml:space="preserve"> </w:t>
            </w:r>
            <w:r>
              <w:rPr>
                <w:color w:val="auto"/>
                <w:spacing w:val="-3"/>
                <w:highlight w:val="none"/>
              </w:rPr>
              <w:t>服务</w:t>
            </w:r>
          </w:p>
        </w:tc>
        <w:tc>
          <w:tcPr>
            <w:tcW w:w="1138" w:type="dxa"/>
            <w:tcBorders>
              <w:top w:val="single" w:color="000000" w:sz="4" w:space="0"/>
              <w:left w:val="single" w:color="000000" w:sz="4" w:space="0"/>
              <w:bottom w:val="single" w:color="000000" w:sz="4" w:space="0"/>
              <w:right w:val="single" w:color="000000" w:sz="4" w:space="0"/>
            </w:tcBorders>
            <w:noWrap w:val="0"/>
            <w:vAlign w:val="top"/>
          </w:tcPr>
          <w:p w14:paraId="6DE8041C">
            <w:pPr>
              <w:pStyle w:val="95"/>
              <w:spacing w:before="102" w:line="218" w:lineRule="auto"/>
              <w:ind w:left="240"/>
              <w:rPr>
                <w:color w:val="auto"/>
                <w:highlight w:val="none"/>
              </w:rPr>
            </w:pPr>
            <w:r>
              <w:rPr>
                <w:color w:val="auto"/>
                <w:spacing w:val="-3"/>
                <w:highlight w:val="none"/>
              </w:rPr>
              <w:t>反光服</w:t>
            </w:r>
          </w:p>
        </w:tc>
        <w:tc>
          <w:tcPr>
            <w:tcW w:w="6803" w:type="dxa"/>
            <w:tcBorders>
              <w:top w:val="single" w:color="000000" w:sz="4" w:space="0"/>
              <w:left w:val="single" w:color="000000" w:sz="4" w:space="0"/>
              <w:bottom w:val="single" w:color="000000" w:sz="4" w:space="0"/>
              <w:right w:val="single" w:color="000000" w:sz="4" w:space="0"/>
            </w:tcBorders>
            <w:noWrap w:val="0"/>
            <w:vAlign w:val="top"/>
          </w:tcPr>
          <w:p w14:paraId="4EA1A5ED">
            <w:pPr>
              <w:pStyle w:val="95"/>
              <w:spacing w:before="101" w:line="218" w:lineRule="auto"/>
              <w:ind w:left="102"/>
              <w:rPr>
                <w:color w:val="auto"/>
                <w:highlight w:val="none"/>
              </w:rPr>
            </w:pPr>
            <w:r>
              <w:rPr>
                <w:color w:val="auto"/>
                <w:spacing w:val="-1"/>
                <w:highlight w:val="none"/>
              </w:rPr>
              <w:t>上班期间门岗执勤必须穿反光服。</w:t>
            </w:r>
          </w:p>
        </w:tc>
        <w:tc>
          <w:tcPr>
            <w:tcW w:w="1094" w:type="dxa"/>
            <w:tcBorders>
              <w:top w:val="single" w:color="000000" w:sz="4" w:space="0"/>
              <w:left w:val="single" w:color="000000" w:sz="4" w:space="0"/>
              <w:bottom w:val="single" w:color="000000" w:sz="4" w:space="0"/>
              <w:right w:val="single" w:color="000000" w:sz="4" w:space="0"/>
            </w:tcBorders>
            <w:noWrap w:val="0"/>
            <w:vAlign w:val="top"/>
          </w:tcPr>
          <w:p w14:paraId="7D2F7245">
            <w:pPr>
              <w:pStyle w:val="95"/>
              <w:spacing w:before="103" w:line="218" w:lineRule="auto"/>
              <w:ind w:left="379"/>
              <w:rPr>
                <w:color w:val="auto"/>
                <w:highlight w:val="none"/>
              </w:rPr>
            </w:pPr>
            <w:r>
              <w:rPr>
                <w:color w:val="auto"/>
                <w:spacing w:val="7"/>
                <w:highlight w:val="none"/>
              </w:rPr>
              <w:t>1分</w:t>
            </w:r>
          </w:p>
        </w:tc>
      </w:tr>
      <w:tr w14:paraId="4772A446">
        <w:tblPrEx>
          <w:tblCellMar>
            <w:top w:w="0" w:type="dxa"/>
            <w:left w:w="0" w:type="dxa"/>
            <w:bottom w:w="0" w:type="dxa"/>
            <w:right w:w="0" w:type="dxa"/>
          </w:tblCellMar>
        </w:tblPrEx>
        <w:trPr>
          <w:trHeight w:val="559" w:hRule="atLeast"/>
        </w:trPr>
        <w:tc>
          <w:tcPr>
            <w:tcW w:w="694" w:type="dxa"/>
            <w:vMerge w:val="continue"/>
            <w:tcBorders>
              <w:top w:val="single" w:color="000000" w:sz="4" w:space="0"/>
              <w:left w:val="single" w:color="000000" w:sz="4" w:space="0"/>
              <w:right w:val="single" w:color="000000" w:sz="4" w:space="0"/>
            </w:tcBorders>
            <w:noWrap w:val="0"/>
            <w:vAlign w:val="top"/>
          </w:tcPr>
          <w:p w14:paraId="06DFAE0E">
            <w:pPr>
              <w:snapToGrid w:val="0"/>
              <w:rPr>
                <w:rFonts w:ascii="Arial" w:hAnsi="Arial"/>
                <w:color w:val="auto"/>
                <w:highlight w:val="none"/>
              </w:rPr>
            </w:pPr>
          </w:p>
        </w:tc>
        <w:tc>
          <w:tcPr>
            <w:tcW w:w="1138" w:type="dxa"/>
            <w:tcBorders>
              <w:top w:val="single" w:color="000000" w:sz="4" w:space="0"/>
              <w:left w:val="single" w:color="000000" w:sz="4" w:space="0"/>
              <w:bottom w:val="single" w:color="000000" w:sz="4" w:space="0"/>
              <w:right w:val="single" w:color="000000" w:sz="4" w:space="0"/>
            </w:tcBorders>
            <w:noWrap w:val="0"/>
            <w:vAlign w:val="top"/>
          </w:tcPr>
          <w:p w14:paraId="730B0CA9">
            <w:pPr>
              <w:pStyle w:val="95"/>
              <w:spacing w:before="183" w:line="218" w:lineRule="auto"/>
              <w:ind w:left="140"/>
              <w:rPr>
                <w:color w:val="auto"/>
                <w:highlight w:val="none"/>
              </w:rPr>
            </w:pPr>
            <w:r>
              <w:rPr>
                <w:color w:val="auto"/>
                <w:spacing w:val="-2"/>
                <w:highlight w:val="none"/>
              </w:rPr>
              <w:t>车辆进入</w:t>
            </w:r>
          </w:p>
        </w:tc>
        <w:tc>
          <w:tcPr>
            <w:tcW w:w="6803" w:type="dxa"/>
            <w:tcBorders>
              <w:top w:val="single" w:color="000000" w:sz="4" w:space="0"/>
              <w:left w:val="single" w:color="000000" w:sz="4" w:space="0"/>
              <w:bottom w:val="single" w:color="000000" w:sz="4" w:space="0"/>
              <w:right w:val="single" w:color="000000" w:sz="4" w:space="0"/>
            </w:tcBorders>
            <w:noWrap w:val="0"/>
            <w:vAlign w:val="top"/>
          </w:tcPr>
          <w:p w14:paraId="1B54127E">
            <w:pPr>
              <w:pStyle w:val="95"/>
              <w:spacing w:before="32" w:line="225" w:lineRule="auto"/>
              <w:ind w:left="102" w:hanging="10"/>
              <w:rPr>
                <w:color w:val="auto"/>
                <w:highlight w:val="none"/>
              </w:rPr>
            </w:pPr>
            <w:r>
              <w:rPr>
                <w:color w:val="auto"/>
                <w:spacing w:val="-1"/>
                <w:highlight w:val="none"/>
              </w:rPr>
              <w:t>严格实行车辆登记制度，陌生车辆进入时要严格盘查，要求出示相关有效</w:t>
            </w:r>
            <w:r>
              <w:rPr>
                <w:color w:val="auto"/>
                <w:spacing w:val="11"/>
                <w:highlight w:val="none"/>
              </w:rPr>
              <w:t xml:space="preserve"> </w:t>
            </w:r>
            <w:r>
              <w:rPr>
                <w:color w:val="auto"/>
                <w:spacing w:val="-1"/>
                <w:highlight w:val="none"/>
              </w:rPr>
              <w:t>证件，并做好相关记录。</w:t>
            </w:r>
          </w:p>
        </w:tc>
        <w:tc>
          <w:tcPr>
            <w:tcW w:w="1094" w:type="dxa"/>
            <w:tcBorders>
              <w:top w:val="single" w:color="000000" w:sz="4" w:space="0"/>
              <w:left w:val="single" w:color="000000" w:sz="4" w:space="0"/>
              <w:bottom w:val="single" w:color="000000" w:sz="4" w:space="0"/>
              <w:right w:val="single" w:color="000000" w:sz="4" w:space="0"/>
            </w:tcBorders>
            <w:noWrap w:val="0"/>
            <w:vAlign w:val="top"/>
          </w:tcPr>
          <w:p w14:paraId="2308ACB5">
            <w:pPr>
              <w:pStyle w:val="95"/>
              <w:spacing w:before="104" w:line="218" w:lineRule="auto"/>
              <w:ind w:left="379"/>
              <w:rPr>
                <w:color w:val="auto"/>
                <w:highlight w:val="none"/>
              </w:rPr>
            </w:pPr>
            <w:r>
              <w:rPr>
                <w:color w:val="auto"/>
                <w:spacing w:val="7"/>
                <w:highlight w:val="none"/>
              </w:rPr>
              <w:t>1分</w:t>
            </w:r>
          </w:p>
        </w:tc>
      </w:tr>
      <w:tr w14:paraId="48AE0D22">
        <w:tblPrEx>
          <w:tblCellMar>
            <w:top w:w="0" w:type="dxa"/>
            <w:left w:w="0" w:type="dxa"/>
            <w:bottom w:w="0" w:type="dxa"/>
            <w:right w:w="0" w:type="dxa"/>
          </w:tblCellMar>
        </w:tblPrEx>
        <w:trPr>
          <w:trHeight w:val="399" w:hRule="atLeast"/>
        </w:trPr>
        <w:tc>
          <w:tcPr>
            <w:tcW w:w="694" w:type="dxa"/>
            <w:vMerge w:val="continue"/>
            <w:tcBorders>
              <w:top w:val="single" w:color="000000" w:sz="4" w:space="0"/>
              <w:left w:val="single" w:color="000000" w:sz="4" w:space="0"/>
              <w:right w:val="single" w:color="000000" w:sz="4" w:space="0"/>
            </w:tcBorders>
            <w:noWrap w:val="0"/>
            <w:vAlign w:val="top"/>
          </w:tcPr>
          <w:p w14:paraId="32C7A7FD">
            <w:pPr>
              <w:snapToGrid w:val="0"/>
              <w:rPr>
                <w:rFonts w:ascii="Arial" w:hAnsi="Arial"/>
                <w:color w:val="auto"/>
                <w:highlight w:val="none"/>
              </w:rPr>
            </w:pPr>
          </w:p>
        </w:tc>
        <w:tc>
          <w:tcPr>
            <w:tcW w:w="1138" w:type="dxa"/>
            <w:tcBorders>
              <w:top w:val="single" w:color="000000" w:sz="4" w:space="0"/>
              <w:left w:val="single" w:color="000000" w:sz="4" w:space="0"/>
              <w:bottom w:val="single" w:color="000000" w:sz="4" w:space="0"/>
              <w:right w:val="single" w:color="000000" w:sz="4" w:space="0"/>
            </w:tcBorders>
            <w:noWrap w:val="0"/>
            <w:vAlign w:val="top"/>
          </w:tcPr>
          <w:p w14:paraId="36B9EE4B">
            <w:pPr>
              <w:pStyle w:val="95"/>
              <w:spacing w:before="104" w:line="218" w:lineRule="auto"/>
              <w:ind w:left="350"/>
              <w:rPr>
                <w:color w:val="auto"/>
                <w:highlight w:val="none"/>
              </w:rPr>
            </w:pPr>
            <w:r>
              <w:rPr>
                <w:color w:val="auto"/>
                <w:spacing w:val="6"/>
                <w:highlight w:val="none"/>
              </w:rPr>
              <w:t>收费</w:t>
            </w:r>
          </w:p>
        </w:tc>
        <w:tc>
          <w:tcPr>
            <w:tcW w:w="6803" w:type="dxa"/>
            <w:tcBorders>
              <w:top w:val="single" w:color="000000" w:sz="4" w:space="0"/>
              <w:left w:val="single" w:color="000000" w:sz="4" w:space="0"/>
              <w:bottom w:val="single" w:color="000000" w:sz="4" w:space="0"/>
              <w:right w:val="single" w:color="000000" w:sz="4" w:space="0"/>
            </w:tcBorders>
            <w:noWrap w:val="0"/>
            <w:vAlign w:val="top"/>
          </w:tcPr>
          <w:p w14:paraId="2731D410">
            <w:pPr>
              <w:pStyle w:val="95"/>
              <w:spacing w:before="103" w:line="218" w:lineRule="auto"/>
              <w:ind w:left="102"/>
              <w:rPr>
                <w:color w:val="auto"/>
                <w:highlight w:val="none"/>
              </w:rPr>
            </w:pPr>
            <w:r>
              <w:rPr>
                <w:color w:val="auto"/>
                <w:highlight w:val="none"/>
              </w:rPr>
              <w:t>按规定标准收费并及时足额上缴费用，无弄虚作假或</w:t>
            </w:r>
            <w:r>
              <w:rPr>
                <w:color w:val="auto"/>
                <w:spacing w:val="-1"/>
                <w:highlight w:val="none"/>
              </w:rPr>
              <w:t>贪污等现象。</w:t>
            </w:r>
          </w:p>
        </w:tc>
        <w:tc>
          <w:tcPr>
            <w:tcW w:w="1094" w:type="dxa"/>
            <w:tcBorders>
              <w:top w:val="single" w:color="000000" w:sz="4" w:space="0"/>
              <w:left w:val="single" w:color="000000" w:sz="4" w:space="0"/>
              <w:bottom w:val="single" w:color="000000" w:sz="4" w:space="0"/>
              <w:right w:val="single" w:color="000000" w:sz="4" w:space="0"/>
            </w:tcBorders>
            <w:noWrap w:val="0"/>
            <w:vAlign w:val="top"/>
          </w:tcPr>
          <w:p w14:paraId="2C479D97">
            <w:pPr>
              <w:pStyle w:val="95"/>
              <w:spacing w:before="105" w:line="218" w:lineRule="auto"/>
              <w:ind w:left="379"/>
              <w:rPr>
                <w:color w:val="auto"/>
                <w:highlight w:val="none"/>
              </w:rPr>
            </w:pPr>
            <w:r>
              <w:rPr>
                <w:color w:val="auto"/>
                <w:spacing w:val="7"/>
                <w:highlight w:val="none"/>
              </w:rPr>
              <w:t>5分</w:t>
            </w:r>
          </w:p>
        </w:tc>
      </w:tr>
      <w:tr w14:paraId="65AC49A1">
        <w:tblPrEx>
          <w:tblCellMar>
            <w:top w:w="0" w:type="dxa"/>
            <w:left w:w="0" w:type="dxa"/>
            <w:bottom w:w="0" w:type="dxa"/>
            <w:right w:w="0" w:type="dxa"/>
          </w:tblCellMar>
        </w:tblPrEx>
        <w:trPr>
          <w:trHeight w:val="539" w:hRule="atLeast"/>
        </w:trPr>
        <w:tc>
          <w:tcPr>
            <w:tcW w:w="694" w:type="dxa"/>
            <w:vMerge w:val="continue"/>
            <w:tcBorders>
              <w:top w:val="single" w:color="000000" w:sz="4" w:space="0"/>
              <w:left w:val="single" w:color="000000" w:sz="4" w:space="0"/>
              <w:right w:val="single" w:color="000000" w:sz="4" w:space="0"/>
            </w:tcBorders>
            <w:noWrap w:val="0"/>
            <w:vAlign w:val="top"/>
          </w:tcPr>
          <w:p w14:paraId="6D010ED8">
            <w:pPr>
              <w:snapToGrid w:val="0"/>
              <w:rPr>
                <w:rFonts w:ascii="Arial" w:hAnsi="Arial"/>
                <w:color w:val="auto"/>
                <w:highlight w:val="none"/>
              </w:rPr>
            </w:pPr>
          </w:p>
        </w:tc>
        <w:tc>
          <w:tcPr>
            <w:tcW w:w="1138" w:type="dxa"/>
            <w:tcBorders>
              <w:top w:val="single" w:color="000000" w:sz="4" w:space="0"/>
              <w:left w:val="single" w:color="000000" w:sz="4" w:space="0"/>
              <w:bottom w:val="single" w:color="000000" w:sz="4" w:space="0"/>
              <w:right w:val="single" w:color="000000" w:sz="4" w:space="0"/>
            </w:tcBorders>
            <w:noWrap w:val="0"/>
            <w:vAlign w:val="top"/>
          </w:tcPr>
          <w:p w14:paraId="1F281908">
            <w:pPr>
              <w:pStyle w:val="95"/>
              <w:spacing w:before="176" w:line="220" w:lineRule="auto"/>
              <w:ind w:left="140"/>
              <w:rPr>
                <w:color w:val="auto"/>
                <w:highlight w:val="none"/>
              </w:rPr>
            </w:pPr>
            <w:r>
              <w:rPr>
                <w:color w:val="auto"/>
                <w:spacing w:val="5"/>
                <w:highlight w:val="none"/>
              </w:rPr>
              <w:t>携物出门</w:t>
            </w:r>
          </w:p>
        </w:tc>
        <w:tc>
          <w:tcPr>
            <w:tcW w:w="6803" w:type="dxa"/>
            <w:tcBorders>
              <w:top w:val="single" w:color="000000" w:sz="4" w:space="0"/>
              <w:left w:val="single" w:color="000000" w:sz="4" w:space="0"/>
              <w:bottom w:val="single" w:color="000000" w:sz="4" w:space="0"/>
              <w:right w:val="single" w:color="000000" w:sz="4" w:space="0"/>
            </w:tcBorders>
            <w:noWrap w:val="0"/>
            <w:vAlign w:val="top"/>
          </w:tcPr>
          <w:p w14:paraId="35508095">
            <w:pPr>
              <w:pStyle w:val="95"/>
              <w:spacing w:before="44" w:line="211" w:lineRule="auto"/>
              <w:ind w:left="102" w:right="198" w:hanging="10"/>
              <w:rPr>
                <w:color w:val="auto"/>
                <w:highlight w:val="none"/>
              </w:rPr>
            </w:pPr>
            <w:r>
              <w:rPr>
                <w:color w:val="auto"/>
                <w:highlight w:val="none"/>
              </w:rPr>
              <w:t>携物出门的大件物品需凭物业管理公司签发的出</w:t>
            </w:r>
            <w:r>
              <w:rPr>
                <w:color w:val="auto"/>
                <w:spacing w:val="-1"/>
                <w:highlight w:val="none"/>
              </w:rPr>
              <w:t>门条或向物业公司核实</w:t>
            </w:r>
            <w:r>
              <w:rPr>
                <w:color w:val="auto"/>
                <w:highlight w:val="none"/>
              </w:rPr>
              <w:t xml:space="preserve"> </w:t>
            </w:r>
            <w:r>
              <w:rPr>
                <w:color w:val="auto"/>
                <w:spacing w:val="-1"/>
                <w:highlight w:val="none"/>
              </w:rPr>
              <w:t>情况得到通知后方可放行。</w:t>
            </w:r>
          </w:p>
        </w:tc>
        <w:tc>
          <w:tcPr>
            <w:tcW w:w="1094" w:type="dxa"/>
            <w:tcBorders>
              <w:top w:val="single" w:color="000000" w:sz="4" w:space="0"/>
              <w:left w:val="single" w:color="000000" w:sz="4" w:space="0"/>
              <w:bottom w:val="single" w:color="000000" w:sz="4" w:space="0"/>
              <w:right w:val="single" w:color="000000" w:sz="4" w:space="0"/>
            </w:tcBorders>
            <w:noWrap w:val="0"/>
            <w:vAlign w:val="top"/>
          </w:tcPr>
          <w:p w14:paraId="0E1A2371">
            <w:pPr>
              <w:pStyle w:val="95"/>
              <w:spacing w:before="176" w:line="218" w:lineRule="auto"/>
              <w:ind w:left="379"/>
              <w:rPr>
                <w:color w:val="auto"/>
                <w:highlight w:val="none"/>
              </w:rPr>
            </w:pPr>
            <w:r>
              <w:rPr>
                <w:color w:val="auto"/>
                <w:spacing w:val="7"/>
                <w:highlight w:val="none"/>
              </w:rPr>
              <w:t>1分</w:t>
            </w:r>
          </w:p>
        </w:tc>
      </w:tr>
      <w:tr w14:paraId="7AD7AB37">
        <w:tblPrEx>
          <w:tblCellMar>
            <w:top w:w="0" w:type="dxa"/>
            <w:left w:w="0" w:type="dxa"/>
            <w:bottom w:w="0" w:type="dxa"/>
            <w:right w:w="0" w:type="dxa"/>
          </w:tblCellMar>
        </w:tblPrEx>
        <w:trPr>
          <w:trHeight w:val="410" w:hRule="atLeast"/>
        </w:trPr>
        <w:tc>
          <w:tcPr>
            <w:tcW w:w="694" w:type="dxa"/>
            <w:vMerge w:val="continue"/>
            <w:tcBorders>
              <w:top w:val="single" w:color="000000" w:sz="4" w:space="0"/>
              <w:left w:val="single" w:color="000000" w:sz="4" w:space="0"/>
              <w:right w:val="single" w:color="000000" w:sz="4" w:space="0"/>
            </w:tcBorders>
            <w:noWrap w:val="0"/>
            <w:vAlign w:val="top"/>
          </w:tcPr>
          <w:p w14:paraId="58A81ED1">
            <w:pPr>
              <w:snapToGrid w:val="0"/>
              <w:rPr>
                <w:rFonts w:ascii="Arial" w:hAnsi="Arial"/>
                <w:color w:val="auto"/>
                <w:highlight w:val="none"/>
              </w:rPr>
            </w:pPr>
          </w:p>
        </w:tc>
        <w:tc>
          <w:tcPr>
            <w:tcW w:w="1138" w:type="dxa"/>
            <w:tcBorders>
              <w:top w:val="single" w:color="000000" w:sz="4" w:space="0"/>
              <w:left w:val="single" w:color="000000" w:sz="4" w:space="0"/>
              <w:bottom w:val="single" w:color="000000" w:sz="4" w:space="0"/>
              <w:right w:val="single" w:color="000000" w:sz="4" w:space="0"/>
            </w:tcBorders>
            <w:noWrap w:val="0"/>
            <w:vAlign w:val="top"/>
          </w:tcPr>
          <w:p w14:paraId="2E945EAD">
            <w:pPr>
              <w:pStyle w:val="95"/>
              <w:spacing w:before="106" w:line="218" w:lineRule="auto"/>
              <w:ind w:left="140"/>
              <w:rPr>
                <w:color w:val="auto"/>
                <w:highlight w:val="none"/>
              </w:rPr>
            </w:pPr>
            <w:r>
              <w:rPr>
                <w:color w:val="auto"/>
                <w:spacing w:val="-2"/>
                <w:highlight w:val="none"/>
              </w:rPr>
              <w:t>人员管理</w:t>
            </w:r>
          </w:p>
        </w:tc>
        <w:tc>
          <w:tcPr>
            <w:tcW w:w="6803" w:type="dxa"/>
            <w:tcBorders>
              <w:top w:val="single" w:color="000000" w:sz="4" w:space="0"/>
              <w:left w:val="single" w:color="000000" w:sz="4" w:space="0"/>
              <w:bottom w:val="single" w:color="000000" w:sz="4" w:space="0"/>
              <w:right w:val="single" w:color="000000" w:sz="4" w:space="0"/>
            </w:tcBorders>
            <w:noWrap w:val="0"/>
            <w:vAlign w:val="top"/>
          </w:tcPr>
          <w:p w14:paraId="4C96FA8C">
            <w:pPr>
              <w:pStyle w:val="95"/>
              <w:spacing w:before="104" w:line="216" w:lineRule="auto"/>
              <w:ind w:left="102"/>
              <w:rPr>
                <w:color w:val="auto"/>
                <w:highlight w:val="none"/>
              </w:rPr>
            </w:pPr>
            <w:r>
              <w:rPr>
                <w:color w:val="auto"/>
                <w:highlight w:val="none"/>
              </w:rPr>
              <w:t>管理区域内无拾荒、摊贩、推销人员、散发广</w:t>
            </w:r>
            <w:r>
              <w:rPr>
                <w:color w:val="auto"/>
                <w:spacing w:val="-1"/>
                <w:highlight w:val="none"/>
              </w:rPr>
              <w:t>告人员等进入。</w:t>
            </w:r>
          </w:p>
        </w:tc>
        <w:tc>
          <w:tcPr>
            <w:tcW w:w="1094" w:type="dxa"/>
            <w:tcBorders>
              <w:top w:val="single" w:color="000000" w:sz="4" w:space="0"/>
              <w:left w:val="single" w:color="000000" w:sz="4" w:space="0"/>
              <w:bottom w:val="single" w:color="000000" w:sz="4" w:space="0"/>
              <w:right w:val="single" w:color="000000" w:sz="4" w:space="0"/>
            </w:tcBorders>
            <w:noWrap w:val="0"/>
            <w:vAlign w:val="top"/>
          </w:tcPr>
          <w:p w14:paraId="105F3835">
            <w:pPr>
              <w:pStyle w:val="95"/>
              <w:spacing w:before="107" w:line="218" w:lineRule="auto"/>
              <w:ind w:left="379"/>
              <w:rPr>
                <w:color w:val="auto"/>
                <w:highlight w:val="none"/>
              </w:rPr>
            </w:pPr>
            <w:r>
              <w:rPr>
                <w:color w:val="auto"/>
                <w:spacing w:val="7"/>
                <w:highlight w:val="none"/>
              </w:rPr>
              <w:t>1分</w:t>
            </w:r>
          </w:p>
        </w:tc>
      </w:tr>
      <w:tr w14:paraId="3EDB16AB">
        <w:tblPrEx>
          <w:tblCellMar>
            <w:top w:w="0" w:type="dxa"/>
            <w:left w:w="0" w:type="dxa"/>
            <w:bottom w:w="0" w:type="dxa"/>
            <w:right w:w="0" w:type="dxa"/>
          </w:tblCellMar>
        </w:tblPrEx>
        <w:trPr>
          <w:trHeight w:val="540" w:hRule="atLeast"/>
        </w:trPr>
        <w:tc>
          <w:tcPr>
            <w:tcW w:w="694" w:type="dxa"/>
            <w:vMerge w:val="continue"/>
            <w:tcBorders>
              <w:top w:val="single" w:color="000000" w:sz="4" w:space="0"/>
              <w:left w:val="single" w:color="000000" w:sz="4" w:space="0"/>
              <w:right w:val="single" w:color="000000" w:sz="4" w:space="0"/>
            </w:tcBorders>
            <w:noWrap w:val="0"/>
            <w:vAlign w:val="top"/>
          </w:tcPr>
          <w:p w14:paraId="210D6D97">
            <w:pPr>
              <w:snapToGrid w:val="0"/>
              <w:rPr>
                <w:rFonts w:ascii="Arial" w:hAnsi="Arial"/>
                <w:color w:val="auto"/>
                <w:highlight w:val="none"/>
              </w:rPr>
            </w:pPr>
          </w:p>
        </w:tc>
        <w:tc>
          <w:tcPr>
            <w:tcW w:w="1138" w:type="dxa"/>
            <w:tcBorders>
              <w:top w:val="single" w:color="000000" w:sz="4" w:space="0"/>
              <w:left w:val="single" w:color="000000" w:sz="4" w:space="0"/>
              <w:bottom w:val="single" w:color="000000" w:sz="4" w:space="0"/>
              <w:right w:val="single" w:color="000000" w:sz="4" w:space="0"/>
            </w:tcBorders>
            <w:noWrap w:val="0"/>
            <w:vAlign w:val="top"/>
          </w:tcPr>
          <w:p w14:paraId="6AE6C477">
            <w:pPr>
              <w:pStyle w:val="95"/>
              <w:spacing w:before="177" w:line="218" w:lineRule="auto"/>
              <w:ind w:left="240"/>
              <w:rPr>
                <w:color w:val="auto"/>
                <w:highlight w:val="none"/>
              </w:rPr>
            </w:pPr>
            <w:r>
              <w:rPr>
                <w:color w:val="auto"/>
                <w:spacing w:val="6"/>
                <w:highlight w:val="none"/>
              </w:rPr>
              <w:t>门岗亭</w:t>
            </w:r>
          </w:p>
        </w:tc>
        <w:tc>
          <w:tcPr>
            <w:tcW w:w="6803" w:type="dxa"/>
            <w:tcBorders>
              <w:top w:val="single" w:color="000000" w:sz="4" w:space="0"/>
              <w:left w:val="single" w:color="000000" w:sz="4" w:space="0"/>
              <w:bottom w:val="single" w:color="000000" w:sz="4" w:space="0"/>
              <w:right w:val="single" w:color="000000" w:sz="4" w:space="0"/>
            </w:tcBorders>
            <w:noWrap w:val="0"/>
            <w:vAlign w:val="top"/>
          </w:tcPr>
          <w:p w14:paraId="13E6C305">
            <w:pPr>
              <w:pStyle w:val="95"/>
              <w:spacing w:before="24" w:line="220" w:lineRule="auto"/>
              <w:ind w:left="101" w:hanging="19"/>
              <w:rPr>
                <w:color w:val="auto"/>
                <w:highlight w:val="none"/>
              </w:rPr>
            </w:pPr>
            <w:r>
              <w:rPr>
                <w:color w:val="auto"/>
                <w:highlight w:val="none"/>
              </w:rPr>
              <w:t>地面干净无垃圾、无杂物、办公桌面干净无尘土</w:t>
            </w:r>
            <w:r>
              <w:rPr>
                <w:color w:val="auto"/>
                <w:spacing w:val="-1"/>
                <w:highlight w:val="none"/>
              </w:rPr>
              <w:t>、玻璃透亮无尘土、无手</w:t>
            </w:r>
            <w:r>
              <w:rPr>
                <w:color w:val="auto"/>
                <w:highlight w:val="none"/>
              </w:rPr>
              <w:t xml:space="preserve"> 印，室内无异味，物品摆放整齐，无个人物</w:t>
            </w:r>
            <w:r>
              <w:rPr>
                <w:color w:val="auto"/>
                <w:spacing w:val="-1"/>
                <w:highlight w:val="none"/>
              </w:rPr>
              <w:t>品、无乱摆乱放。</w:t>
            </w:r>
          </w:p>
        </w:tc>
        <w:tc>
          <w:tcPr>
            <w:tcW w:w="1094" w:type="dxa"/>
            <w:tcBorders>
              <w:top w:val="single" w:color="000000" w:sz="4" w:space="0"/>
              <w:left w:val="single" w:color="000000" w:sz="4" w:space="0"/>
              <w:bottom w:val="single" w:color="000000" w:sz="4" w:space="0"/>
              <w:right w:val="single" w:color="000000" w:sz="4" w:space="0"/>
            </w:tcBorders>
            <w:noWrap w:val="0"/>
            <w:vAlign w:val="top"/>
          </w:tcPr>
          <w:p w14:paraId="07870472">
            <w:pPr>
              <w:pStyle w:val="95"/>
              <w:spacing w:before="97" w:line="218" w:lineRule="auto"/>
              <w:ind w:left="379"/>
              <w:rPr>
                <w:color w:val="auto"/>
                <w:highlight w:val="none"/>
              </w:rPr>
            </w:pPr>
            <w:r>
              <w:rPr>
                <w:color w:val="auto"/>
                <w:spacing w:val="7"/>
                <w:highlight w:val="none"/>
              </w:rPr>
              <w:t>1分</w:t>
            </w:r>
          </w:p>
        </w:tc>
      </w:tr>
      <w:tr w14:paraId="1BC9645D">
        <w:tblPrEx>
          <w:tblCellMar>
            <w:top w:w="0" w:type="dxa"/>
            <w:left w:w="0" w:type="dxa"/>
            <w:bottom w:w="0" w:type="dxa"/>
            <w:right w:w="0" w:type="dxa"/>
          </w:tblCellMar>
        </w:tblPrEx>
        <w:trPr>
          <w:trHeight w:val="529" w:hRule="atLeast"/>
        </w:trPr>
        <w:tc>
          <w:tcPr>
            <w:tcW w:w="694" w:type="dxa"/>
            <w:vMerge w:val="restart"/>
            <w:tcBorders>
              <w:top w:val="single" w:color="000000" w:sz="4" w:space="0"/>
              <w:left w:val="single" w:color="000000" w:sz="4" w:space="0"/>
              <w:right w:val="single" w:color="000000" w:sz="4" w:space="0"/>
            </w:tcBorders>
            <w:noWrap w:val="0"/>
            <w:vAlign w:val="top"/>
          </w:tcPr>
          <w:p w14:paraId="36912B79">
            <w:pPr>
              <w:snapToGrid w:val="0"/>
              <w:spacing w:line="324" w:lineRule="auto"/>
              <w:rPr>
                <w:rFonts w:ascii="Arial" w:hAnsi="Arial"/>
                <w:color w:val="auto"/>
                <w:highlight w:val="none"/>
              </w:rPr>
            </w:pPr>
          </w:p>
          <w:p w14:paraId="3BD5AE87">
            <w:pPr>
              <w:spacing w:line="324" w:lineRule="auto"/>
              <w:rPr>
                <w:rFonts w:ascii="Arial" w:hAnsi="Arial"/>
                <w:color w:val="auto"/>
                <w:highlight w:val="none"/>
              </w:rPr>
            </w:pPr>
          </w:p>
          <w:p w14:paraId="3F6F5E13">
            <w:pPr>
              <w:pStyle w:val="95"/>
              <w:spacing w:before="69" w:line="220" w:lineRule="auto"/>
              <w:ind w:left="124" w:right="147"/>
              <w:rPr>
                <w:color w:val="auto"/>
                <w:highlight w:val="none"/>
              </w:rPr>
            </w:pPr>
            <w:r>
              <w:rPr>
                <w:color w:val="auto"/>
                <w:spacing w:val="-5"/>
                <w:highlight w:val="none"/>
              </w:rPr>
              <w:t>巡逻</w:t>
            </w:r>
            <w:r>
              <w:rPr>
                <w:color w:val="auto"/>
                <w:highlight w:val="none"/>
              </w:rPr>
              <w:t xml:space="preserve"> </w:t>
            </w:r>
            <w:r>
              <w:rPr>
                <w:color w:val="auto"/>
                <w:spacing w:val="-5"/>
                <w:highlight w:val="none"/>
              </w:rPr>
              <w:t>服务</w:t>
            </w:r>
          </w:p>
        </w:tc>
        <w:tc>
          <w:tcPr>
            <w:tcW w:w="1138" w:type="dxa"/>
            <w:tcBorders>
              <w:top w:val="single" w:color="000000" w:sz="4" w:space="0"/>
              <w:left w:val="single" w:color="000000" w:sz="4" w:space="0"/>
              <w:bottom w:val="single" w:color="000000" w:sz="4" w:space="0"/>
              <w:right w:val="single" w:color="000000" w:sz="4" w:space="0"/>
            </w:tcBorders>
            <w:noWrap w:val="0"/>
            <w:vAlign w:val="top"/>
          </w:tcPr>
          <w:p w14:paraId="6479FBF6">
            <w:pPr>
              <w:pStyle w:val="95"/>
              <w:spacing w:before="172" w:line="223" w:lineRule="auto"/>
              <w:ind w:left="350"/>
              <w:rPr>
                <w:color w:val="auto"/>
                <w:highlight w:val="none"/>
              </w:rPr>
            </w:pPr>
            <w:r>
              <w:rPr>
                <w:color w:val="auto"/>
                <w:spacing w:val="-3"/>
                <w:highlight w:val="none"/>
              </w:rPr>
              <w:t>巡逻</w:t>
            </w:r>
          </w:p>
        </w:tc>
        <w:tc>
          <w:tcPr>
            <w:tcW w:w="6803" w:type="dxa"/>
            <w:tcBorders>
              <w:top w:val="single" w:color="000000" w:sz="4" w:space="0"/>
              <w:left w:val="single" w:color="000000" w:sz="4" w:space="0"/>
              <w:bottom w:val="single" w:color="000000" w:sz="4" w:space="0"/>
              <w:right w:val="single" w:color="000000" w:sz="4" w:space="0"/>
            </w:tcBorders>
            <w:noWrap w:val="0"/>
            <w:vAlign w:val="top"/>
          </w:tcPr>
          <w:p w14:paraId="3F634AF1">
            <w:pPr>
              <w:pStyle w:val="95"/>
              <w:spacing w:before="36" w:line="211" w:lineRule="auto"/>
              <w:ind w:left="101" w:right="185" w:hanging="19"/>
              <w:rPr>
                <w:color w:val="auto"/>
                <w:highlight w:val="none"/>
              </w:rPr>
            </w:pPr>
            <w:r>
              <w:rPr>
                <w:color w:val="auto"/>
                <w:spacing w:val="-1"/>
                <w:highlight w:val="none"/>
              </w:rPr>
              <w:t>管理区域内实行365天24小时全天候安防巡逻服务，无脱岗现象。要保</w:t>
            </w:r>
            <w:r>
              <w:rPr>
                <w:color w:val="auto"/>
                <w:spacing w:val="9"/>
                <w:highlight w:val="none"/>
              </w:rPr>
              <w:t xml:space="preserve">  </w:t>
            </w:r>
            <w:r>
              <w:rPr>
                <w:color w:val="auto"/>
                <w:highlight w:val="none"/>
              </w:rPr>
              <w:t>持良好的精神状态，特别是夜间巡逻要重点观察服务区</w:t>
            </w:r>
            <w:r>
              <w:rPr>
                <w:color w:val="auto"/>
                <w:spacing w:val="-1"/>
                <w:highlight w:val="none"/>
              </w:rPr>
              <w:t>内的可疑情况。</w:t>
            </w:r>
          </w:p>
        </w:tc>
        <w:tc>
          <w:tcPr>
            <w:tcW w:w="1094" w:type="dxa"/>
            <w:tcBorders>
              <w:top w:val="single" w:color="000000" w:sz="4" w:space="0"/>
              <w:left w:val="single" w:color="000000" w:sz="4" w:space="0"/>
              <w:bottom w:val="single" w:color="000000" w:sz="4" w:space="0"/>
              <w:right w:val="single" w:color="000000" w:sz="4" w:space="0"/>
            </w:tcBorders>
            <w:noWrap w:val="0"/>
            <w:vAlign w:val="top"/>
          </w:tcPr>
          <w:p w14:paraId="3B53114D">
            <w:pPr>
              <w:pStyle w:val="95"/>
              <w:spacing w:before="167" w:line="218" w:lineRule="auto"/>
              <w:ind w:left="379"/>
              <w:rPr>
                <w:color w:val="auto"/>
                <w:highlight w:val="none"/>
              </w:rPr>
            </w:pPr>
            <w:r>
              <w:rPr>
                <w:color w:val="auto"/>
                <w:spacing w:val="7"/>
                <w:highlight w:val="none"/>
              </w:rPr>
              <w:t>2分</w:t>
            </w:r>
          </w:p>
        </w:tc>
      </w:tr>
      <w:tr w14:paraId="2E9B3623">
        <w:tblPrEx>
          <w:tblCellMar>
            <w:top w:w="0" w:type="dxa"/>
            <w:left w:w="0" w:type="dxa"/>
            <w:bottom w:w="0" w:type="dxa"/>
            <w:right w:w="0" w:type="dxa"/>
          </w:tblCellMar>
        </w:tblPrEx>
        <w:trPr>
          <w:trHeight w:val="410" w:hRule="atLeast"/>
        </w:trPr>
        <w:tc>
          <w:tcPr>
            <w:tcW w:w="694" w:type="dxa"/>
            <w:vMerge w:val="continue"/>
            <w:tcBorders>
              <w:top w:val="single" w:color="000000" w:sz="4" w:space="0"/>
              <w:left w:val="single" w:color="000000" w:sz="4" w:space="0"/>
              <w:right w:val="single" w:color="000000" w:sz="4" w:space="0"/>
            </w:tcBorders>
            <w:noWrap w:val="0"/>
            <w:vAlign w:val="top"/>
          </w:tcPr>
          <w:p w14:paraId="189D619B">
            <w:pPr>
              <w:snapToGrid w:val="0"/>
              <w:rPr>
                <w:rFonts w:ascii="Arial" w:hAnsi="Arial"/>
                <w:color w:val="auto"/>
                <w:highlight w:val="none"/>
              </w:rPr>
            </w:pPr>
          </w:p>
        </w:tc>
        <w:tc>
          <w:tcPr>
            <w:tcW w:w="1138" w:type="dxa"/>
            <w:tcBorders>
              <w:top w:val="single" w:color="000000" w:sz="4" w:space="0"/>
              <w:left w:val="single" w:color="000000" w:sz="4" w:space="0"/>
              <w:bottom w:val="single" w:color="000000" w:sz="4" w:space="0"/>
              <w:right w:val="single" w:color="000000" w:sz="4" w:space="0"/>
            </w:tcBorders>
            <w:noWrap w:val="0"/>
            <w:vAlign w:val="top"/>
          </w:tcPr>
          <w:p w14:paraId="6C507D18">
            <w:pPr>
              <w:pStyle w:val="95"/>
              <w:spacing w:before="107" w:line="218" w:lineRule="auto"/>
              <w:ind w:left="140"/>
              <w:rPr>
                <w:color w:val="auto"/>
                <w:highlight w:val="none"/>
              </w:rPr>
            </w:pPr>
            <w:r>
              <w:rPr>
                <w:color w:val="auto"/>
                <w:spacing w:val="-2"/>
                <w:highlight w:val="none"/>
              </w:rPr>
              <w:t>装修管理</w:t>
            </w:r>
          </w:p>
        </w:tc>
        <w:tc>
          <w:tcPr>
            <w:tcW w:w="6803" w:type="dxa"/>
            <w:tcBorders>
              <w:top w:val="single" w:color="000000" w:sz="4" w:space="0"/>
              <w:left w:val="single" w:color="000000" w:sz="4" w:space="0"/>
              <w:bottom w:val="single" w:color="000000" w:sz="4" w:space="0"/>
              <w:right w:val="single" w:color="000000" w:sz="4" w:space="0"/>
            </w:tcBorders>
            <w:noWrap w:val="0"/>
            <w:vAlign w:val="top"/>
          </w:tcPr>
          <w:p w14:paraId="762F1BBA">
            <w:pPr>
              <w:pStyle w:val="95"/>
              <w:spacing w:before="107" w:line="218" w:lineRule="auto"/>
              <w:ind w:left="102"/>
              <w:rPr>
                <w:color w:val="auto"/>
                <w:highlight w:val="none"/>
              </w:rPr>
            </w:pPr>
            <w:r>
              <w:rPr>
                <w:color w:val="auto"/>
                <w:highlight w:val="none"/>
              </w:rPr>
              <w:t>确保在装修规定时间外，无影响他人休息情况，区域内</w:t>
            </w:r>
            <w:r>
              <w:rPr>
                <w:color w:val="auto"/>
                <w:spacing w:val="-1"/>
                <w:highlight w:val="none"/>
              </w:rPr>
              <w:t>无乱放垃圾。</w:t>
            </w:r>
          </w:p>
        </w:tc>
        <w:tc>
          <w:tcPr>
            <w:tcW w:w="1094" w:type="dxa"/>
            <w:tcBorders>
              <w:top w:val="single" w:color="000000" w:sz="4" w:space="0"/>
              <w:left w:val="single" w:color="000000" w:sz="4" w:space="0"/>
              <w:bottom w:val="single" w:color="000000" w:sz="4" w:space="0"/>
              <w:right w:val="single" w:color="000000" w:sz="4" w:space="0"/>
            </w:tcBorders>
            <w:noWrap w:val="0"/>
            <w:vAlign w:val="top"/>
          </w:tcPr>
          <w:p w14:paraId="464D85D8">
            <w:pPr>
              <w:pStyle w:val="95"/>
              <w:spacing w:before="108" w:line="218" w:lineRule="auto"/>
              <w:ind w:left="379"/>
              <w:rPr>
                <w:color w:val="auto"/>
                <w:highlight w:val="none"/>
              </w:rPr>
            </w:pPr>
            <w:r>
              <w:rPr>
                <w:color w:val="auto"/>
                <w:spacing w:val="7"/>
                <w:highlight w:val="none"/>
              </w:rPr>
              <w:t>1分</w:t>
            </w:r>
          </w:p>
        </w:tc>
      </w:tr>
      <w:tr w14:paraId="10369329">
        <w:tblPrEx>
          <w:tblCellMar>
            <w:top w:w="0" w:type="dxa"/>
            <w:left w:w="0" w:type="dxa"/>
            <w:bottom w:w="0" w:type="dxa"/>
            <w:right w:w="0" w:type="dxa"/>
          </w:tblCellMar>
        </w:tblPrEx>
        <w:trPr>
          <w:trHeight w:val="540" w:hRule="atLeast"/>
        </w:trPr>
        <w:tc>
          <w:tcPr>
            <w:tcW w:w="694" w:type="dxa"/>
            <w:vMerge w:val="continue"/>
            <w:tcBorders>
              <w:top w:val="single" w:color="000000" w:sz="4" w:space="0"/>
              <w:left w:val="single" w:color="000000" w:sz="4" w:space="0"/>
              <w:right w:val="single" w:color="000000" w:sz="4" w:space="0"/>
            </w:tcBorders>
            <w:noWrap w:val="0"/>
            <w:vAlign w:val="top"/>
          </w:tcPr>
          <w:p w14:paraId="27FBC14C">
            <w:pPr>
              <w:snapToGrid w:val="0"/>
              <w:rPr>
                <w:rFonts w:ascii="Arial" w:hAnsi="Arial"/>
                <w:color w:val="auto"/>
                <w:highlight w:val="none"/>
              </w:rPr>
            </w:pPr>
          </w:p>
        </w:tc>
        <w:tc>
          <w:tcPr>
            <w:tcW w:w="1138" w:type="dxa"/>
            <w:vMerge w:val="restart"/>
            <w:tcBorders>
              <w:top w:val="single" w:color="000000" w:sz="4" w:space="0"/>
              <w:left w:val="single" w:color="000000" w:sz="4" w:space="0"/>
              <w:right w:val="single" w:color="000000" w:sz="4" w:space="0"/>
            </w:tcBorders>
            <w:noWrap w:val="0"/>
            <w:vAlign w:val="top"/>
          </w:tcPr>
          <w:p w14:paraId="47CF579C">
            <w:pPr>
              <w:snapToGrid w:val="0"/>
              <w:spacing w:line="316" w:lineRule="auto"/>
              <w:rPr>
                <w:rFonts w:ascii="Arial" w:hAnsi="Arial"/>
                <w:color w:val="auto"/>
                <w:highlight w:val="none"/>
              </w:rPr>
            </w:pPr>
          </w:p>
          <w:p w14:paraId="454DEFB5">
            <w:pPr>
              <w:pStyle w:val="95"/>
              <w:spacing w:before="68" w:line="218" w:lineRule="auto"/>
              <w:ind w:left="350"/>
              <w:rPr>
                <w:color w:val="auto"/>
                <w:highlight w:val="none"/>
              </w:rPr>
            </w:pPr>
            <w:r>
              <w:rPr>
                <w:color w:val="auto"/>
                <w:spacing w:val="-3"/>
                <w:highlight w:val="none"/>
              </w:rPr>
              <w:t>其他</w:t>
            </w:r>
          </w:p>
        </w:tc>
        <w:tc>
          <w:tcPr>
            <w:tcW w:w="6803" w:type="dxa"/>
            <w:tcBorders>
              <w:top w:val="single" w:color="000000" w:sz="4" w:space="0"/>
              <w:left w:val="single" w:color="000000" w:sz="4" w:space="0"/>
              <w:bottom w:val="single" w:color="000000" w:sz="4" w:space="0"/>
              <w:right w:val="single" w:color="000000" w:sz="4" w:space="0"/>
            </w:tcBorders>
            <w:noWrap w:val="0"/>
            <w:vAlign w:val="top"/>
          </w:tcPr>
          <w:p w14:paraId="4AFD931D">
            <w:pPr>
              <w:pStyle w:val="95"/>
              <w:spacing w:before="36" w:line="216" w:lineRule="auto"/>
              <w:ind w:left="102" w:right="188" w:hanging="19"/>
              <w:rPr>
                <w:color w:val="auto"/>
                <w:highlight w:val="none"/>
              </w:rPr>
            </w:pPr>
            <w:r>
              <w:rPr>
                <w:color w:val="auto"/>
                <w:highlight w:val="none"/>
              </w:rPr>
              <w:t>1.及时制止乱贴小广告现象，发现可疑人员在区域内做危害设备设施及</w:t>
            </w:r>
            <w:r>
              <w:rPr>
                <w:color w:val="auto"/>
                <w:spacing w:val="10"/>
                <w:highlight w:val="none"/>
              </w:rPr>
              <w:t xml:space="preserve"> </w:t>
            </w:r>
            <w:r>
              <w:rPr>
                <w:color w:val="auto"/>
                <w:spacing w:val="-1"/>
                <w:highlight w:val="none"/>
              </w:rPr>
              <w:t>业主的行为要及时处理和上报。</w:t>
            </w:r>
          </w:p>
        </w:tc>
        <w:tc>
          <w:tcPr>
            <w:tcW w:w="1094" w:type="dxa"/>
            <w:tcBorders>
              <w:top w:val="single" w:color="000000" w:sz="4" w:space="0"/>
              <w:left w:val="single" w:color="000000" w:sz="4" w:space="0"/>
              <w:bottom w:val="single" w:color="000000" w:sz="4" w:space="0"/>
              <w:right w:val="single" w:color="000000" w:sz="4" w:space="0"/>
            </w:tcBorders>
            <w:noWrap w:val="0"/>
            <w:vAlign w:val="top"/>
          </w:tcPr>
          <w:p w14:paraId="78C0289E">
            <w:pPr>
              <w:pStyle w:val="95"/>
              <w:spacing w:before="118" w:line="218" w:lineRule="auto"/>
              <w:ind w:left="379"/>
              <w:rPr>
                <w:color w:val="auto"/>
                <w:highlight w:val="none"/>
              </w:rPr>
            </w:pPr>
            <w:r>
              <w:rPr>
                <w:color w:val="auto"/>
                <w:spacing w:val="7"/>
                <w:highlight w:val="none"/>
              </w:rPr>
              <w:t>1分</w:t>
            </w:r>
          </w:p>
        </w:tc>
      </w:tr>
      <w:tr w14:paraId="78D61B83">
        <w:tblPrEx>
          <w:tblCellMar>
            <w:top w:w="0" w:type="dxa"/>
            <w:left w:w="0" w:type="dxa"/>
            <w:bottom w:w="0" w:type="dxa"/>
            <w:right w:w="0" w:type="dxa"/>
          </w:tblCellMar>
        </w:tblPrEx>
        <w:trPr>
          <w:trHeight w:val="410" w:hRule="atLeast"/>
        </w:trPr>
        <w:tc>
          <w:tcPr>
            <w:tcW w:w="694" w:type="dxa"/>
            <w:vMerge w:val="continue"/>
            <w:tcBorders>
              <w:top w:val="single" w:color="000000" w:sz="4" w:space="0"/>
              <w:left w:val="single" w:color="000000" w:sz="4" w:space="0"/>
              <w:right w:val="single" w:color="000000" w:sz="4" w:space="0"/>
            </w:tcBorders>
            <w:noWrap w:val="0"/>
            <w:vAlign w:val="top"/>
          </w:tcPr>
          <w:p w14:paraId="6C0A9F97">
            <w:pPr>
              <w:snapToGrid w:val="0"/>
              <w:rPr>
                <w:rFonts w:ascii="Arial" w:hAnsi="Arial"/>
                <w:color w:val="auto"/>
                <w:highlight w:val="none"/>
              </w:rPr>
            </w:pPr>
          </w:p>
        </w:tc>
        <w:tc>
          <w:tcPr>
            <w:tcW w:w="1138" w:type="dxa"/>
            <w:vMerge w:val="continue"/>
            <w:tcBorders>
              <w:top w:val="single" w:color="000000" w:sz="4" w:space="0"/>
              <w:left w:val="single" w:color="000000" w:sz="4" w:space="0"/>
              <w:right w:val="single" w:color="000000" w:sz="4" w:space="0"/>
            </w:tcBorders>
            <w:noWrap w:val="0"/>
            <w:vAlign w:val="top"/>
          </w:tcPr>
          <w:p w14:paraId="3319A307">
            <w:pPr>
              <w:snapToGrid w:val="0"/>
              <w:rPr>
                <w:rFonts w:ascii="Arial" w:hAnsi="Arial"/>
                <w:color w:val="auto"/>
                <w:highlight w:val="none"/>
              </w:rPr>
            </w:pPr>
          </w:p>
        </w:tc>
        <w:tc>
          <w:tcPr>
            <w:tcW w:w="6803" w:type="dxa"/>
            <w:tcBorders>
              <w:top w:val="single" w:color="000000" w:sz="4" w:space="0"/>
              <w:left w:val="single" w:color="000000" w:sz="4" w:space="0"/>
              <w:bottom w:val="single" w:color="000000" w:sz="4" w:space="0"/>
              <w:right w:val="single" w:color="000000" w:sz="4" w:space="0"/>
            </w:tcBorders>
            <w:noWrap w:val="0"/>
            <w:vAlign w:val="top"/>
          </w:tcPr>
          <w:p w14:paraId="31466540">
            <w:pPr>
              <w:pStyle w:val="95"/>
              <w:spacing w:before="107" w:line="218" w:lineRule="auto"/>
              <w:ind w:left="102"/>
              <w:rPr>
                <w:color w:val="auto"/>
                <w:highlight w:val="none"/>
              </w:rPr>
            </w:pPr>
            <w:r>
              <w:rPr>
                <w:color w:val="auto"/>
                <w:highlight w:val="none"/>
              </w:rPr>
              <w:t>2.在巡逻期间要检查车辆完好性，发现问题及时上报</w:t>
            </w:r>
          </w:p>
        </w:tc>
        <w:tc>
          <w:tcPr>
            <w:tcW w:w="1094" w:type="dxa"/>
            <w:tcBorders>
              <w:top w:val="single" w:color="000000" w:sz="4" w:space="0"/>
              <w:left w:val="single" w:color="000000" w:sz="4" w:space="0"/>
              <w:bottom w:val="single" w:color="000000" w:sz="4" w:space="0"/>
              <w:right w:val="single" w:color="000000" w:sz="4" w:space="0"/>
            </w:tcBorders>
            <w:noWrap w:val="0"/>
            <w:vAlign w:val="top"/>
          </w:tcPr>
          <w:p w14:paraId="174D7E52">
            <w:pPr>
              <w:pStyle w:val="95"/>
              <w:spacing w:before="108" w:line="218" w:lineRule="auto"/>
              <w:ind w:left="379"/>
              <w:rPr>
                <w:color w:val="auto"/>
                <w:highlight w:val="none"/>
              </w:rPr>
            </w:pPr>
            <w:r>
              <w:rPr>
                <w:color w:val="auto"/>
                <w:spacing w:val="7"/>
                <w:highlight w:val="none"/>
              </w:rPr>
              <w:t>1分</w:t>
            </w:r>
          </w:p>
        </w:tc>
      </w:tr>
      <w:tr w14:paraId="375AD2DD">
        <w:tblPrEx>
          <w:tblCellMar>
            <w:top w:w="0" w:type="dxa"/>
            <w:left w:w="0" w:type="dxa"/>
            <w:bottom w:w="0" w:type="dxa"/>
            <w:right w:w="0" w:type="dxa"/>
          </w:tblCellMar>
        </w:tblPrEx>
        <w:trPr>
          <w:trHeight w:val="549" w:hRule="atLeast"/>
        </w:trPr>
        <w:tc>
          <w:tcPr>
            <w:tcW w:w="694" w:type="dxa"/>
            <w:vMerge w:val="restart"/>
            <w:tcBorders>
              <w:top w:val="single" w:color="000000" w:sz="4" w:space="0"/>
              <w:left w:val="single" w:color="000000" w:sz="4" w:space="0"/>
              <w:right w:val="single" w:color="000000" w:sz="4" w:space="0"/>
            </w:tcBorders>
            <w:noWrap w:val="0"/>
            <w:vAlign w:val="top"/>
          </w:tcPr>
          <w:p w14:paraId="0F2C7123">
            <w:pPr>
              <w:snapToGrid w:val="0"/>
              <w:spacing w:line="244" w:lineRule="auto"/>
              <w:rPr>
                <w:rFonts w:ascii="Arial" w:hAnsi="Arial"/>
                <w:color w:val="auto"/>
                <w:highlight w:val="none"/>
              </w:rPr>
            </w:pPr>
          </w:p>
          <w:p w14:paraId="7FF4B18C">
            <w:pPr>
              <w:spacing w:line="244" w:lineRule="auto"/>
              <w:rPr>
                <w:rFonts w:ascii="Arial" w:hAnsi="Arial"/>
                <w:color w:val="auto"/>
                <w:highlight w:val="none"/>
              </w:rPr>
            </w:pPr>
          </w:p>
          <w:p w14:paraId="7A68B590">
            <w:pPr>
              <w:spacing w:line="244" w:lineRule="auto"/>
              <w:rPr>
                <w:rFonts w:ascii="Arial" w:hAnsi="Arial"/>
                <w:color w:val="auto"/>
                <w:highlight w:val="none"/>
              </w:rPr>
            </w:pPr>
          </w:p>
          <w:p w14:paraId="6CA73862">
            <w:pPr>
              <w:spacing w:line="244" w:lineRule="auto"/>
              <w:rPr>
                <w:rFonts w:ascii="Arial" w:hAnsi="Arial"/>
                <w:color w:val="auto"/>
                <w:highlight w:val="none"/>
              </w:rPr>
            </w:pPr>
          </w:p>
          <w:p w14:paraId="3D07F582">
            <w:pPr>
              <w:spacing w:line="244" w:lineRule="auto"/>
              <w:rPr>
                <w:rFonts w:ascii="Arial" w:hAnsi="Arial"/>
                <w:color w:val="auto"/>
                <w:highlight w:val="none"/>
              </w:rPr>
            </w:pPr>
          </w:p>
          <w:p w14:paraId="163E8BDC">
            <w:pPr>
              <w:pStyle w:val="95"/>
              <w:spacing w:before="68" w:line="218" w:lineRule="auto"/>
              <w:ind w:left="124" w:right="129"/>
              <w:rPr>
                <w:color w:val="auto"/>
                <w:highlight w:val="none"/>
              </w:rPr>
            </w:pPr>
            <w:r>
              <w:rPr>
                <w:color w:val="auto"/>
                <w:spacing w:val="-5"/>
                <w:highlight w:val="none"/>
              </w:rPr>
              <w:t>车辆</w:t>
            </w:r>
            <w:r>
              <w:rPr>
                <w:color w:val="auto"/>
                <w:highlight w:val="none"/>
              </w:rPr>
              <w:t xml:space="preserve"> </w:t>
            </w:r>
            <w:r>
              <w:rPr>
                <w:color w:val="auto"/>
                <w:spacing w:val="4"/>
                <w:highlight w:val="none"/>
              </w:rPr>
              <w:t>指挥</w:t>
            </w:r>
          </w:p>
        </w:tc>
        <w:tc>
          <w:tcPr>
            <w:tcW w:w="1138" w:type="dxa"/>
            <w:tcBorders>
              <w:top w:val="single" w:color="000000" w:sz="4" w:space="0"/>
              <w:left w:val="single" w:color="000000" w:sz="4" w:space="0"/>
              <w:bottom w:val="single" w:color="000000" w:sz="4" w:space="0"/>
              <w:right w:val="single" w:color="000000" w:sz="4" w:space="0"/>
            </w:tcBorders>
            <w:noWrap w:val="0"/>
            <w:vAlign w:val="top"/>
          </w:tcPr>
          <w:p w14:paraId="39F4A65B">
            <w:pPr>
              <w:pStyle w:val="95"/>
              <w:spacing w:before="177" w:line="218" w:lineRule="auto"/>
              <w:ind w:left="240"/>
              <w:rPr>
                <w:color w:val="auto"/>
                <w:highlight w:val="none"/>
              </w:rPr>
            </w:pPr>
            <w:r>
              <w:rPr>
                <w:color w:val="auto"/>
                <w:spacing w:val="4"/>
                <w:highlight w:val="none"/>
              </w:rPr>
              <w:t>停车场</w:t>
            </w:r>
          </w:p>
        </w:tc>
        <w:tc>
          <w:tcPr>
            <w:tcW w:w="6803" w:type="dxa"/>
            <w:tcBorders>
              <w:top w:val="single" w:color="000000" w:sz="4" w:space="0"/>
              <w:left w:val="single" w:color="000000" w:sz="4" w:space="0"/>
              <w:bottom w:val="single" w:color="000000" w:sz="4" w:space="0"/>
              <w:right w:val="single" w:color="000000" w:sz="4" w:space="0"/>
            </w:tcBorders>
            <w:noWrap w:val="0"/>
            <w:vAlign w:val="top"/>
          </w:tcPr>
          <w:p w14:paraId="5D628A90">
            <w:pPr>
              <w:pStyle w:val="95"/>
              <w:spacing w:before="36" w:line="220" w:lineRule="auto"/>
              <w:ind w:left="102" w:hanging="19"/>
              <w:rPr>
                <w:color w:val="auto"/>
                <w:highlight w:val="none"/>
              </w:rPr>
            </w:pPr>
            <w:r>
              <w:rPr>
                <w:color w:val="auto"/>
                <w:highlight w:val="none"/>
              </w:rPr>
              <w:t>停车场内的标线、指示标牌，做到无损坏、无丢</w:t>
            </w:r>
            <w:r>
              <w:rPr>
                <w:color w:val="auto"/>
                <w:spacing w:val="-1"/>
                <w:highlight w:val="none"/>
              </w:rPr>
              <w:t>失，标识醒目，车场内管</w:t>
            </w:r>
            <w:r>
              <w:rPr>
                <w:color w:val="auto"/>
                <w:highlight w:val="none"/>
              </w:rPr>
              <w:t xml:space="preserve"> </w:t>
            </w:r>
            <w:r>
              <w:rPr>
                <w:color w:val="auto"/>
                <w:spacing w:val="-2"/>
                <w:highlight w:val="none"/>
              </w:rPr>
              <w:t>理无盲点。</w:t>
            </w:r>
          </w:p>
        </w:tc>
        <w:tc>
          <w:tcPr>
            <w:tcW w:w="1094" w:type="dxa"/>
            <w:tcBorders>
              <w:top w:val="single" w:color="000000" w:sz="4" w:space="0"/>
              <w:left w:val="single" w:color="000000" w:sz="4" w:space="0"/>
              <w:bottom w:val="single" w:color="000000" w:sz="4" w:space="0"/>
              <w:right w:val="single" w:color="000000" w:sz="4" w:space="0"/>
            </w:tcBorders>
            <w:noWrap w:val="0"/>
            <w:vAlign w:val="top"/>
          </w:tcPr>
          <w:p w14:paraId="766B34E7">
            <w:pPr>
              <w:pStyle w:val="95"/>
              <w:spacing w:before="128" w:line="218" w:lineRule="auto"/>
              <w:ind w:left="379"/>
              <w:rPr>
                <w:color w:val="auto"/>
                <w:highlight w:val="none"/>
              </w:rPr>
            </w:pPr>
            <w:r>
              <w:rPr>
                <w:color w:val="auto"/>
                <w:spacing w:val="7"/>
                <w:highlight w:val="none"/>
              </w:rPr>
              <w:t>1分</w:t>
            </w:r>
          </w:p>
        </w:tc>
      </w:tr>
      <w:tr w14:paraId="2F53FBD1">
        <w:tblPrEx>
          <w:tblCellMar>
            <w:top w:w="0" w:type="dxa"/>
            <w:left w:w="0" w:type="dxa"/>
            <w:bottom w:w="0" w:type="dxa"/>
            <w:right w:w="0" w:type="dxa"/>
          </w:tblCellMar>
        </w:tblPrEx>
        <w:trPr>
          <w:trHeight w:val="389" w:hRule="atLeast"/>
        </w:trPr>
        <w:tc>
          <w:tcPr>
            <w:tcW w:w="694" w:type="dxa"/>
            <w:vMerge w:val="continue"/>
            <w:tcBorders>
              <w:top w:val="single" w:color="000000" w:sz="4" w:space="0"/>
              <w:left w:val="single" w:color="000000" w:sz="4" w:space="0"/>
              <w:right w:val="single" w:color="000000" w:sz="4" w:space="0"/>
            </w:tcBorders>
            <w:noWrap w:val="0"/>
            <w:vAlign w:val="top"/>
          </w:tcPr>
          <w:p w14:paraId="5D0C54D4">
            <w:pPr>
              <w:snapToGrid w:val="0"/>
              <w:rPr>
                <w:rFonts w:ascii="Arial" w:hAnsi="Arial"/>
                <w:color w:val="auto"/>
                <w:highlight w:val="none"/>
              </w:rPr>
            </w:pPr>
          </w:p>
        </w:tc>
        <w:tc>
          <w:tcPr>
            <w:tcW w:w="1138" w:type="dxa"/>
            <w:tcBorders>
              <w:top w:val="single" w:color="000000" w:sz="4" w:space="0"/>
              <w:left w:val="single" w:color="000000" w:sz="4" w:space="0"/>
              <w:bottom w:val="single" w:color="000000" w:sz="4" w:space="0"/>
              <w:right w:val="single" w:color="000000" w:sz="4" w:space="0"/>
            </w:tcBorders>
            <w:noWrap w:val="0"/>
            <w:vAlign w:val="top"/>
          </w:tcPr>
          <w:p w14:paraId="48B8E369">
            <w:pPr>
              <w:pStyle w:val="95"/>
              <w:spacing w:before="97" w:line="218" w:lineRule="auto"/>
              <w:ind w:left="140"/>
              <w:rPr>
                <w:color w:val="auto"/>
                <w:highlight w:val="none"/>
              </w:rPr>
            </w:pPr>
            <w:r>
              <w:rPr>
                <w:color w:val="auto"/>
                <w:spacing w:val="2"/>
                <w:highlight w:val="none"/>
              </w:rPr>
              <w:t>非机动车</w:t>
            </w:r>
          </w:p>
        </w:tc>
        <w:tc>
          <w:tcPr>
            <w:tcW w:w="6803" w:type="dxa"/>
            <w:tcBorders>
              <w:top w:val="single" w:color="000000" w:sz="4" w:space="0"/>
              <w:left w:val="single" w:color="000000" w:sz="4" w:space="0"/>
              <w:bottom w:val="single" w:color="000000" w:sz="4" w:space="0"/>
              <w:right w:val="single" w:color="000000" w:sz="4" w:space="0"/>
            </w:tcBorders>
            <w:noWrap w:val="0"/>
            <w:vAlign w:val="top"/>
          </w:tcPr>
          <w:p w14:paraId="12A6827D">
            <w:pPr>
              <w:pStyle w:val="95"/>
              <w:spacing w:before="97" w:line="218" w:lineRule="auto"/>
              <w:ind w:left="102"/>
              <w:rPr>
                <w:color w:val="auto"/>
                <w:highlight w:val="none"/>
              </w:rPr>
            </w:pPr>
            <w:r>
              <w:rPr>
                <w:color w:val="auto"/>
                <w:spacing w:val="-1"/>
                <w:highlight w:val="none"/>
              </w:rPr>
              <w:t>非机动车集中停放整齐。</w:t>
            </w:r>
          </w:p>
        </w:tc>
        <w:tc>
          <w:tcPr>
            <w:tcW w:w="1094" w:type="dxa"/>
            <w:tcBorders>
              <w:top w:val="single" w:color="000000" w:sz="4" w:space="0"/>
              <w:left w:val="single" w:color="000000" w:sz="4" w:space="0"/>
              <w:bottom w:val="single" w:color="000000" w:sz="4" w:space="0"/>
              <w:right w:val="single" w:color="000000" w:sz="4" w:space="0"/>
            </w:tcBorders>
            <w:noWrap w:val="0"/>
            <w:vAlign w:val="top"/>
          </w:tcPr>
          <w:p w14:paraId="7C227A4A">
            <w:pPr>
              <w:pStyle w:val="95"/>
              <w:spacing w:before="99" w:line="218" w:lineRule="auto"/>
              <w:ind w:left="379"/>
              <w:rPr>
                <w:color w:val="auto"/>
                <w:highlight w:val="none"/>
              </w:rPr>
            </w:pPr>
            <w:r>
              <w:rPr>
                <w:color w:val="auto"/>
                <w:spacing w:val="7"/>
                <w:highlight w:val="none"/>
              </w:rPr>
              <w:t>1分</w:t>
            </w:r>
          </w:p>
        </w:tc>
      </w:tr>
      <w:tr w14:paraId="3636445A">
        <w:tblPrEx>
          <w:tblCellMar>
            <w:top w:w="0" w:type="dxa"/>
            <w:left w:w="0" w:type="dxa"/>
            <w:bottom w:w="0" w:type="dxa"/>
            <w:right w:w="0" w:type="dxa"/>
          </w:tblCellMar>
        </w:tblPrEx>
        <w:trPr>
          <w:trHeight w:val="410" w:hRule="atLeast"/>
        </w:trPr>
        <w:tc>
          <w:tcPr>
            <w:tcW w:w="694" w:type="dxa"/>
            <w:vMerge w:val="continue"/>
            <w:tcBorders>
              <w:top w:val="single" w:color="000000" w:sz="4" w:space="0"/>
              <w:left w:val="single" w:color="000000" w:sz="4" w:space="0"/>
              <w:right w:val="single" w:color="000000" w:sz="4" w:space="0"/>
            </w:tcBorders>
            <w:noWrap w:val="0"/>
            <w:vAlign w:val="top"/>
          </w:tcPr>
          <w:p w14:paraId="5D7ACC0B">
            <w:pPr>
              <w:snapToGrid w:val="0"/>
              <w:rPr>
                <w:rFonts w:ascii="Arial" w:hAnsi="Arial"/>
                <w:color w:val="auto"/>
                <w:highlight w:val="none"/>
              </w:rPr>
            </w:pPr>
          </w:p>
        </w:tc>
        <w:tc>
          <w:tcPr>
            <w:tcW w:w="1138" w:type="dxa"/>
            <w:tcBorders>
              <w:top w:val="single" w:color="000000" w:sz="4" w:space="0"/>
              <w:left w:val="single" w:color="000000" w:sz="4" w:space="0"/>
              <w:bottom w:val="single" w:color="000000" w:sz="4" w:space="0"/>
              <w:right w:val="single" w:color="000000" w:sz="4" w:space="0"/>
            </w:tcBorders>
            <w:noWrap w:val="0"/>
            <w:vAlign w:val="top"/>
          </w:tcPr>
          <w:p w14:paraId="666C3E2E">
            <w:pPr>
              <w:pStyle w:val="95"/>
              <w:spacing w:before="110" w:line="220" w:lineRule="auto"/>
              <w:ind w:left="350"/>
              <w:rPr>
                <w:color w:val="auto"/>
                <w:highlight w:val="none"/>
              </w:rPr>
            </w:pPr>
            <w:r>
              <w:rPr>
                <w:color w:val="auto"/>
                <w:spacing w:val="6"/>
                <w:highlight w:val="none"/>
              </w:rPr>
              <w:t>引导</w:t>
            </w:r>
          </w:p>
        </w:tc>
        <w:tc>
          <w:tcPr>
            <w:tcW w:w="6803" w:type="dxa"/>
            <w:tcBorders>
              <w:top w:val="single" w:color="000000" w:sz="4" w:space="0"/>
              <w:left w:val="single" w:color="000000" w:sz="4" w:space="0"/>
              <w:bottom w:val="single" w:color="000000" w:sz="4" w:space="0"/>
              <w:right w:val="single" w:color="000000" w:sz="4" w:space="0"/>
            </w:tcBorders>
            <w:noWrap w:val="0"/>
            <w:vAlign w:val="top"/>
          </w:tcPr>
          <w:p w14:paraId="0514268E">
            <w:pPr>
              <w:pStyle w:val="95"/>
              <w:spacing w:before="109" w:line="218" w:lineRule="auto"/>
              <w:ind w:left="102"/>
              <w:rPr>
                <w:color w:val="auto"/>
                <w:highlight w:val="none"/>
              </w:rPr>
            </w:pPr>
            <w:r>
              <w:rPr>
                <w:color w:val="auto"/>
                <w:spacing w:val="-1"/>
                <w:highlight w:val="none"/>
              </w:rPr>
              <w:t>引导安全停车，保证进出车道畅通、无堵塞交通情况。</w:t>
            </w:r>
          </w:p>
        </w:tc>
        <w:tc>
          <w:tcPr>
            <w:tcW w:w="1094" w:type="dxa"/>
            <w:tcBorders>
              <w:top w:val="single" w:color="000000" w:sz="4" w:space="0"/>
              <w:left w:val="single" w:color="000000" w:sz="4" w:space="0"/>
              <w:bottom w:val="single" w:color="000000" w:sz="4" w:space="0"/>
              <w:right w:val="single" w:color="000000" w:sz="4" w:space="0"/>
            </w:tcBorders>
            <w:noWrap w:val="0"/>
            <w:vAlign w:val="top"/>
          </w:tcPr>
          <w:p w14:paraId="31D9FFE7">
            <w:pPr>
              <w:pStyle w:val="95"/>
              <w:spacing w:before="110" w:line="218" w:lineRule="auto"/>
              <w:ind w:left="379"/>
              <w:rPr>
                <w:color w:val="auto"/>
                <w:highlight w:val="none"/>
              </w:rPr>
            </w:pPr>
            <w:r>
              <w:rPr>
                <w:color w:val="auto"/>
                <w:spacing w:val="7"/>
                <w:highlight w:val="none"/>
              </w:rPr>
              <w:t>1分</w:t>
            </w:r>
          </w:p>
        </w:tc>
      </w:tr>
      <w:tr w14:paraId="7B2C49A0">
        <w:tblPrEx>
          <w:tblCellMar>
            <w:top w:w="0" w:type="dxa"/>
            <w:left w:w="0" w:type="dxa"/>
            <w:bottom w:w="0" w:type="dxa"/>
            <w:right w:w="0" w:type="dxa"/>
          </w:tblCellMar>
        </w:tblPrEx>
        <w:trPr>
          <w:trHeight w:val="410" w:hRule="atLeast"/>
        </w:trPr>
        <w:tc>
          <w:tcPr>
            <w:tcW w:w="694" w:type="dxa"/>
            <w:vMerge w:val="continue"/>
            <w:tcBorders>
              <w:top w:val="single" w:color="000000" w:sz="4" w:space="0"/>
              <w:left w:val="single" w:color="000000" w:sz="4" w:space="0"/>
              <w:right w:val="single" w:color="000000" w:sz="4" w:space="0"/>
            </w:tcBorders>
            <w:noWrap w:val="0"/>
            <w:vAlign w:val="top"/>
          </w:tcPr>
          <w:p w14:paraId="36631BFC">
            <w:pPr>
              <w:snapToGrid w:val="0"/>
              <w:rPr>
                <w:rFonts w:ascii="Arial" w:hAnsi="Arial"/>
                <w:color w:val="auto"/>
                <w:highlight w:val="none"/>
              </w:rPr>
            </w:pPr>
          </w:p>
        </w:tc>
        <w:tc>
          <w:tcPr>
            <w:tcW w:w="1138" w:type="dxa"/>
            <w:tcBorders>
              <w:top w:val="single" w:color="000000" w:sz="4" w:space="0"/>
              <w:left w:val="single" w:color="000000" w:sz="4" w:space="0"/>
              <w:bottom w:val="single" w:color="000000" w:sz="4" w:space="0"/>
              <w:right w:val="single" w:color="000000" w:sz="4" w:space="0"/>
            </w:tcBorders>
            <w:noWrap w:val="0"/>
            <w:vAlign w:val="top"/>
          </w:tcPr>
          <w:p w14:paraId="14DAE1BE">
            <w:pPr>
              <w:pStyle w:val="95"/>
              <w:spacing w:before="110" w:line="218" w:lineRule="auto"/>
              <w:ind w:left="350"/>
              <w:rPr>
                <w:color w:val="auto"/>
                <w:highlight w:val="none"/>
              </w:rPr>
            </w:pPr>
            <w:r>
              <w:rPr>
                <w:color w:val="auto"/>
                <w:spacing w:val="-3"/>
                <w:highlight w:val="none"/>
              </w:rPr>
              <w:t>停放</w:t>
            </w:r>
          </w:p>
        </w:tc>
        <w:tc>
          <w:tcPr>
            <w:tcW w:w="6803" w:type="dxa"/>
            <w:tcBorders>
              <w:top w:val="single" w:color="000000" w:sz="4" w:space="0"/>
              <w:left w:val="single" w:color="000000" w:sz="4" w:space="0"/>
              <w:bottom w:val="single" w:color="000000" w:sz="4" w:space="0"/>
              <w:right w:val="single" w:color="000000" w:sz="4" w:space="0"/>
            </w:tcBorders>
            <w:noWrap w:val="0"/>
            <w:vAlign w:val="top"/>
          </w:tcPr>
          <w:p w14:paraId="3625BDDC">
            <w:pPr>
              <w:pStyle w:val="95"/>
              <w:spacing w:before="109" w:line="218" w:lineRule="auto"/>
              <w:jc w:val="right"/>
              <w:rPr>
                <w:color w:val="auto"/>
                <w:highlight w:val="none"/>
              </w:rPr>
            </w:pPr>
            <w:r>
              <w:rPr>
                <w:color w:val="auto"/>
                <w:spacing w:val="-1"/>
                <w:highlight w:val="none"/>
              </w:rPr>
              <w:t>管理区域内车辆停放有序，有车位号的车辆按号停放，无乱停乱放现象。</w:t>
            </w:r>
          </w:p>
        </w:tc>
        <w:tc>
          <w:tcPr>
            <w:tcW w:w="1094" w:type="dxa"/>
            <w:tcBorders>
              <w:top w:val="single" w:color="000000" w:sz="4" w:space="0"/>
              <w:left w:val="single" w:color="000000" w:sz="4" w:space="0"/>
              <w:bottom w:val="single" w:color="000000" w:sz="4" w:space="0"/>
              <w:right w:val="single" w:color="000000" w:sz="4" w:space="0"/>
            </w:tcBorders>
            <w:noWrap w:val="0"/>
            <w:vAlign w:val="top"/>
          </w:tcPr>
          <w:p w14:paraId="503DA5F0">
            <w:pPr>
              <w:pStyle w:val="95"/>
              <w:spacing w:before="110" w:line="218" w:lineRule="auto"/>
              <w:ind w:left="379"/>
              <w:rPr>
                <w:color w:val="auto"/>
                <w:highlight w:val="none"/>
              </w:rPr>
            </w:pPr>
            <w:r>
              <w:rPr>
                <w:color w:val="auto"/>
                <w:spacing w:val="7"/>
                <w:highlight w:val="none"/>
              </w:rPr>
              <w:t>1分</w:t>
            </w:r>
          </w:p>
        </w:tc>
      </w:tr>
      <w:tr w14:paraId="2E9EB77B">
        <w:tblPrEx>
          <w:tblCellMar>
            <w:top w:w="0" w:type="dxa"/>
            <w:left w:w="0" w:type="dxa"/>
            <w:bottom w:w="0" w:type="dxa"/>
            <w:right w:w="0" w:type="dxa"/>
          </w:tblCellMar>
        </w:tblPrEx>
        <w:trPr>
          <w:trHeight w:val="410" w:hRule="atLeast"/>
        </w:trPr>
        <w:tc>
          <w:tcPr>
            <w:tcW w:w="694" w:type="dxa"/>
            <w:vMerge w:val="continue"/>
            <w:tcBorders>
              <w:top w:val="single" w:color="000000" w:sz="4" w:space="0"/>
              <w:left w:val="single" w:color="000000" w:sz="4" w:space="0"/>
              <w:right w:val="single" w:color="000000" w:sz="4" w:space="0"/>
            </w:tcBorders>
            <w:noWrap w:val="0"/>
            <w:vAlign w:val="top"/>
          </w:tcPr>
          <w:p w14:paraId="116B2EB1">
            <w:pPr>
              <w:snapToGrid w:val="0"/>
              <w:rPr>
                <w:rFonts w:ascii="Arial" w:hAnsi="Arial"/>
                <w:color w:val="auto"/>
                <w:highlight w:val="none"/>
              </w:rPr>
            </w:pPr>
          </w:p>
        </w:tc>
        <w:tc>
          <w:tcPr>
            <w:tcW w:w="1138" w:type="dxa"/>
            <w:tcBorders>
              <w:top w:val="single" w:color="000000" w:sz="4" w:space="0"/>
              <w:left w:val="single" w:color="000000" w:sz="4" w:space="0"/>
              <w:bottom w:val="single" w:color="000000" w:sz="4" w:space="0"/>
              <w:right w:val="single" w:color="000000" w:sz="4" w:space="0"/>
            </w:tcBorders>
            <w:noWrap w:val="0"/>
            <w:vAlign w:val="top"/>
          </w:tcPr>
          <w:p w14:paraId="3E3FAFB0">
            <w:pPr>
              <w:pStyle w:val="95"/>
              <w:spacing w:before="109" w:line="218" w:lineRule="auto"/>
              <w:ind w:left="350"/>
              <w:rPr>
                <w:color w:val="auto"/>
                <w:highlight w:val="none"/>
              </w:rPr>
            </w:pPr>
            <w:r>
              <w:rPr>
                <w:color w:val="auto"/>
                <w:spacing w:val="-3"/>
                <w:highlight w:val="none"/>
              </w:rPr>
              <w:t>车辆</w:t>
            </w:r>
          </w:p>
        </w:tc>
        <w:tc>
          <w:tcPr>
            <w:tcW w:w="6803" w:type="dxa"/>
            <w:tcBorders>
              <w:top w:val="single" w:color="000000" w:sz="4" w:space="0"/>
              <w:left w:val="single" w:color="000000" w:sz="4" w:space="0"/>
              <w:bottom w:val="single" w:color="000000" w:sz="4" w:space="0"/>
              <w:right w:val="single" w:color="000000" w:sz="4" w:space="0"/>
            </w:tcBorders>
            <w:noWrap w:val="0"/>
            <w:vAlign w:val="top"/>
          </w:tcPr>
          <w:p w14:paraId="592FE8F6">
            <w:pPr>
              <w:pStyle w:val="95"/>
              <w:spacing w:before="109" w:line="218" w:lineRule="auto"/>
              <w:ind w:left="102"/>
              <w:rPr>
                <w:color w:val="auto"/>
                <w:highlight w:val="none"/>
              </w:rPr>
            </w:pPr>
            <w:r>
              <w:rPr>
                <w:color w:val="auto"/>
                <w:highlight w:val="none"/>
              </w:rPr>
              <w:t>出现车辆故障等要及时上报和疏导，无责任丢</w:t>
            </w:r>
            <w:r>
              <w:rPr>
                <w:color w:val="auto"/>
                <w:spacing w:val="-1"/>
                <w:highlight w:val="none"/>
              </w:rPr>
              <w:t>失车辆现象。</w:t>
            </w:r>
          </w:p>
        </w:tc>
        <w:tc>
          <w:tcPr>
            <w:tcW w:w="1094" w:type="dxa"/>
            <w:tcBorders>
              <w:top w:val="single" w:color="000000" w:sz="4" w:space="0"/>
              <w:left w:val="single" w:color="000000" w:sz="4" w:space="0"/>
              <w:bottom w:val="single" w:color="000000" w:sz="4" w:space="0"/>
              <w:right w:val="single" w:color="000000" w:sz="4" w:space="0"/>
            </w:tcBorders>
            <w:noWrap w:val="0"/>
            <w:vAlign w:val="top"/>
          </w:tcPr>
          <w:p w14:paraId="7E0F81FF">
            <w:pPr>
              <w:pStyle w:val="95"/>
              <w:spacing w:before="110" w:line="218" w:lineRule="auto"/>
              <w:ind w:left="379"/>
              <w:rPr>
                <w:color w:val="auto"/>
                <w:highlight w:val="none"/>
              </w:rPr>
            </w:pPr>
            <w:r>
              <w:rPr>
                <w:color w:val="auto"/>
                <w:spacing w:val="7"/>
                <w:highlight w:val="none"/>
              </w:rPr>
              <w:t>1分</w:t>
            </w:r>
          </w:p>
        </w:tc>
      </w:tr>
      <w:tr w14:paraId="195FF95B">
        <w:tblPrEx>
          <w:tblCellMar>
            <w:top w:w="0" w:type="dxa"/>
            <w:left w:w="0" w:type="dxa"/>
            <w:bottom w:w="0" w:type="dxa"/>
            <w:right w:w="0" w:type="dxa"/>
          </w:tblCellMar>
        </w:tblPrEx>
        <w:trPr>
          <w:trHeight w:val="410" w:hRule="atLeast"/>
        </w:trPr>
        <w:tc>
          <w:tcPr>
            <w:tcW w:w="694" w:type="dxa"/>
            <w:vMerge w:val="continue"/>
            <w:tcBorders>
              <w:top w:val="single" w:color="000000" w:sz="4" w:space="0"/>
              <w:left w:val="single" w:color="000000" w:sz="4" w:space="0"/>
              <w:right w:val="single" w:color="000000" w:sz="4" w:space="0"/>
            </w:tcBorders>
            <w:noWrap w:val="0"/>
            <w:vAlign w:val="top"/>
          </w:tcPr>
          <w:p w14:paraId="1AF7831C">
            <w:pPr>
              <w:snapToGrid w:val="0"/>
              <w:rPr>
                <w:rFonts w:ascii="Arial" w:hAnsi="Arial"/>
                <w:color w:val="auto"/>
                <w:highlight w:val="none"/>
              </w:rPr>
            </w:pPr>
          </w:p>
        </w:tc>
        <w:tc>
          <w:tcPr>
            <w:tcW w:w="1138" w:type="dxa"/>
            <w:tcBorders>
              <w:top w:val="single" w:color="000000" w:sz="4" w:space="0"/>
              <w:left w:val="single" w:color="000000" w:sz="4" w:space="0"/>
              <w:bottom w:val="single" w:color="000000" w:sz="4" w:space="0"/>
              <w:right w:val="single" w:color="000000" w:sz="4" w:space="0"/>
            </w:tcBorders>
            <w:noWrap w:val="0"/>
            <w:vAlign w:val="top"/>
          </w:tcPr>
          <w:p w14:paraId="1D233DDB">
            <w:pPr>
              <w:pStyle w:val="95"/>
              <w:spacing w:before="110" w:line="220" w:lineRule="auto"/>
              <w:ind w:left="140"/>
              <w:rPr>
                <w:color w:val="auto"/>
                <w:highlight w:val="none"/>
              </w:rPr>
            </w:pPr>
            <w:r>
              <w:rPr>
                <w:color w:val="auto"/>
                <w:spacing w:val="2"/>
                <w:highlight w:val="none"/>
              </w:rPr>
              <w:t>设施设备</w:t>
            </w:r>
          </w:p>
        </w:tc>
        <w:tc>
          <w:tcPr>
            <w:tcW w:w="6803" w:type="dxa"/>
            <w:tcBorders>
              <w:top w:val="single" w:color="000000" w:sz="4" w:space="0"/>
              <w:left w:val="single" w:color="000000" w:sz="4" w:space="0"/>
              <w:bottom w:val="single" w:color="000000" w:sz="4" w:space="0"/>
              <w:right w:val="single" w:color="000000" w:sz="4" w:space="0"/>
            </w:tcBorders>
            <w:noWrap w:val="0"/>
            <w:vAlign w:val="top"/>
          </w:tcPr>
          <w:p w14:paraId="0747048C">
            <w:pPr>
              <w:pStyle w:val="95"/>
              <w:spacing w:before="109" w:line="218" w:lineRule="auto"/>
              <w:ind w:left="102"/>
              <w:rPr>
                <w:color w:val="auto"/>
                <w:highlight w:val="none"/>
              </w:rPr>
            </w:pPr>
            <w:r>
              <w:rPr>
                <w:color w:val="auto"/>
                <w:spacing w:val="-1"/>
                <w:highlight w:val="none"/>
              </w:rPr>
              <w:t>停车场设备设施齐全、整洁，丢失和损坏能及时上报。</w:t>
            </w:r>
          </w:p>
        </w:tc>
        <w:tc>
          <w:tcPr>
            <w:tcW w:w="1094" w:type="dxa"/>
            <w:tcBorders>
              <w:top w:val="single" w:color="000000" w:sz="4" w:space="0"/>
              <w:left w:val="single" w:color="000000" w:sz="4" w:space="0"/>
              <w:bottom w:val="single" w:color="000000" w:sz="4" w:space="0"/>
              <w:right w:val="single" w:color="000000" w:sz="4" w:space="0"/>
            </w:tcBorders>
            <w:noWrap w:val="0"/>
            <w:vAlign w:val="top"/>
          </w:tcPr>
          <w:p w14:paraId="46A4406E">
            <w:pPr>
              <w:pStyle w:val="95"/>
              <w:spacing w:before="110" w:line="218" w:lineRule="auto"/>
              <w:ind w:left="379"/>
              <w:rPr>
                <w:color w:val="auto"/>
                <w:highlight w:val="none"/>
              </w:rPr>
            </w:pPr>
            <w:r>
              <w:rPr>
                <w:color w:val="auto"/>
                <w:spacing w:val="7"/>
                <w:highlight w:val="none"/>
              </w:rPr>
              <w:t>1分</w:t>
            </w:r>
          </w:p>
        </w:tc>
      </w:tr>
      <w:tr w14:paraId="4F9B4366">
        <w:tblPrEx>
          <w:tblCellMar>
            <w:top w:w="0" w:type="dxa"/>
            <w:left w:w="0" w:type="dxa"/>
            <w:bottom w:w="0" w:type="dxa"/>
            <w:right w:w="0" w:type="dxa"/>
          </w:tblCellMar>
        </w:tblPrEx>
        <w:trPr>
          <w:trHeight w:val="415" w:hRule="atLeast"/>
        </w:trPr>
        <w:tc>
          <w:tcPr>
            <w:tcW w:w="694" w:type="dxa"/>
            <w:vMerge w:val="continue"/>
            <w:tcBorders>
              <w:top w:val="single" w:color="000000" w:sz="4" w:space="0"/>
              <w:left w:val="single" w:color="000000" w:sz="4" w:space="0"/>
              <w:right w:val="single" w:color="000000" w:sz="4" w:space="0"/>
            </w:tcBorders>
            <w:noWrap w:val="0"/>
            <w:vAlign w:val="top"/>
          </w:tcPr>
          <w:p w14:paraId="55DE8E7E">
            <w:pPr>
              <w:snapToGrid w:val="0"/>
              <w:rPr>
                <w:rFonts w:ascii="Arial" w:hAnsi="Arial"/>
                <w:color w:val="auto"/>
                <w:highlight w:val="none"/>
              </w:rPr>
            </w:pPr>
          </w:p>
        </w:tc>
        <w:tc>
          <w:tcPr>
            <w:tcW w:w="1138" w:type="dxa"/>
            <w:tcBorders>
              <w:top w:val="single" w:color="000000" w:sz="4" w:space="0"/>
              <w:left w:val="single" w:color="000000" w:sz="4" w:space="0"/>
              <w:bottom w:val="single" w:color="000000" w:sz="4" w:space="0"/>
              <w:right w:val="single" w:color="000000" w:sz="4" w:space="0"/>
            </w:tcBorders>
            <w:noWrap w:val="0"/>
            <w:vAlign w:val="top"/>
          </w:tcPr>
          <w:p w14:paraId="25E0DC80">
            <w:pPr>
              <w:pStyle w:val="95"/>
              <w:spacing w:before="110" w:line="218" w:lineRule="auto"/>
              <w:ind w:left="350"/>
              <w:rPr>
                <w:color w:val="auto"/>
                <w:highlight w:val="none"/>
              </w:rPr>
            </w:pPr>
            <w:r>
              <w:rPr>
                <w:color w:val="auto"/>
                <w:spacing w:val="4"/>
                <w:highlight w:val="none"/>
              </w:rPr>
              <w:t>指挥</w:t>
            </w:r>
          </w:p>
        </w:tc>
        <w:tc>
          <w:tcPr>
            <w:tcW w:w="6803" w:type="dxa"/>
            <w:tcBorders>
              <w:top w:val="single" w:color="000000" w:sz="4" w:space="0"/>
              <w:left w:val="single" w:color="000000" w:sz="4" w:space="0"/>
              <w:bottom w:val="single" w:color="000000" w:sz="4" w:space="0"/>
              <w:right w:val="single" w:color="000000" w:sz="4" w:space="0"/>
            </w:tcBorders>
            <w:noWrap w:val="0"/>
            <w:vAlign w:val="top"/>
          </w:tcPr>
          <w:p w14:paraId="271152D8">
            <w:pPr>
              <w:pStyle w:val="95"/>
              <w:spacing w:before="108" w:line="218" w:lineRule="auto"/>
              <w:ind w:left="102"/>
              <w:rPr>
                <w:color w:val="auto"/>
                <w:highlight w:val="none"/>
              </w:rPr>
            </w:pPr>
            <w:r>
              <w:rPr>
                <w:color w:val="auto"/>
                <w:spacing w:val="-1"/>
                <w:highlight w:val="none"/>
              </w:rPr>
              <w:t>指挥动作标准，精神状态饱满。</w:t>
            </w:r>
          </w:p>
        </w:tc>
        <w:tc>
          <w:tcPr>
            <w:tcW w:w="1094" w:type="dxa"/>
            <w:tcBorders>
              <w:top w:val="single" w:color="000000" w:sz="4" w:space="0"/>
              <w:left w:val="single" w:color="000000" w:sz="4" w:space="0"/>
              <w:bottom w:val="single" w:color="000000" w:sz="4" w:space="0"/>
              <w:right w:val="single" w:color="000000" w:sz="4" w:space="0"/>
            </w:tcBorders>
            <w:noWrap w:val="0"/>
            <w:vAlign w:val="top"/>
          </w:tcPr>
          <w:p w14:paraId="589913EE">
            <w:pPr>
              <w:pStyle w:val="95"/>
              <w:spacing w:before="110" w:line="218" w:lineRule="auto"/>
              <w:ind w:left="379"/>
              <w:rPr>
                <w:color w:val="auto"/>
                <w:highlight w:val="none"/>
              </w:rPr>
            </w:pPr>
            <w:r>
              <w:rPr>
                <w:color w:val="auto"/>
                <w:spacing w:val="7"/>
                <w:highlight w:val="none"/>
              </w:rPr>
              <w:t>1分</w:t>
            </w:r>
          </w:p>
        </w:tc>
      </w:tr>
    </w:tbl>
    <w:p w14:paraId="00C97DE0">
      <w:pPr>
        <w:pStyle w:val="15"/>
        <w:rPr>
          <w:color w:val="auto"/>
          <w:highlight w:val="none"/>
        </w:rPr>
        <w:sectPr>
          <w:headerReference r:id="rId21" w:type="first"/>
          <w:footerReference r:id="rId24" w:type="first"/>
          <w:headerReference r:id="rId19" w:type="default"/>
          <w:footerReference r:id="rId22" w:type="default"/>
          <w:headerReference r:id="rId20" w:type="even"/>
          <w:footerReference r:id="rId23" w:type="even"/>
          <w:footnotePr>
            <w:pos w:val="beneathText"/>
          </w:footnotePr>
          <w:pgSz w:w="11560" w:h="16490"/>
          <w:pgMar w:top="460" w:right="465" w:bottom="782" w:left="1269" w:header="0" w:footer="544" w:gutter="0"/>
          <w:pgNumType w:fmt="decimal"/>
          <w:cols w:space="720" w:num="1"/>
          <w:docGrid w:linePitch="360" w:charSpace="0"/>
        </w:sectPr>
      </w:pPr>
    </w:p>
    <w:p w14:paraId="2DDD8FE6">
      <w:pPr>
        <w:spacing w:line="360" w:lineRule="auto"/>
        <w:rPr>
          <w:rFonts w:ascii="宋体" w:hAnsi="宋体" w:cs="宋体"/>
          <w:b/>
          <w:bCs/>
          <w:color w:val="auto"/>
          <w:sz w:val="24"/>
          <w:szCs w:val="24"/>
          <w:highlight w:val="none"/>
        </w:rPr>
      </w:pPr>
      <w:r>
        <w:rPr>
          <w:rFonts w:hint="eastAsia" w:ascii="宋体" w:hAnsi="宋体" w:cs="宋体"/>
          <w:b/>
          <w:bCs/>
          <w:color w:val="auto"/>
          <w:sz w:val="24"/>
          <w:highlight w:val="none"/>
        </w:rPr>
        <w:t xml:space="preserve">附件二：                                       </w:t>
      </w:r>
      <w:r>
        <w:rPr>
          <w:rFonts w:hint="eastAsia" w:ascii="宋体" w:hAnsi="宋体" w:cs="宋体"/>
          <w:b/>
          <w:bCs/>
          <w:color w:val="auto"/>
          <w:sz w:val="24"/>
          <w:szCs w:val="24"/>
          <w:highlight w:val="none"/>
        </w:rPr>
        <w:t xml:space="preserve"> </w:t>
      </w:r>
      <w:r>
        <w:rPr>
          <w:rFonts w:hint="eastAsia" w:ascii="黑体" w:hAnsi="宋体" w:eastAsia="黑体" w:cs="宋体"/>
          <w:b/>
          <w:bCs/>
          <w:color w:val="auto"/>
          <w:kern w:val="0"/>
          <w:sz w:val="24"/>
          <w:szCs w:val="24"/>
          <w:highlight w:val="none"/>
        </w:rPr>
        <w:t>月维序考核评分表</w:t>
      </w:r>
    </w:p>
    <w:p w14:paraId="438242A8">
      <w:pPr>
        <w:bidi w:val="0"/>
        <w:rPr>
          <w:color w:val="auto"/>
          <w:highlight w:val="none"/>
        </w:rPr>
      </w:pPr>
      <w:r>
        <w:rPr>
          <w:rFonts w:hint="eastAsia"/>
          <w:color w:val="auto"/>
          <w:highlight w:val="none"/>
        </w:rPr>
        <w:t>使用单位：</w:t>
      </w:r>
      <w:r>
        <w:rPr>
          <w:rFonts w:hint="eastAsia"/>
          <w:color w:val="auto"/>
          <w:highlight w:val="none"/>
          <w:lang w:val="en-US" w:eastAsia="zh-CN"/>
        </w:rPr>
        <w:t xml:space="preserve">                               </w:t>
      </w:r>
      <w:r>
        <w:rPr>
          <w:rFonts w:hint="eastAsia"/>
          <w:color w:val="auto"/>
          <w:highlight w:val="none"/>
        </w:rPr>
        <w:t xml:space="preserve">                                                          </w:t>
      </w:r>
      <w:r>
        <w:rPr>
          <w:rFonts w:hint="eastAsia"/>
          <w:color w:val="auto"/>
          <w:highlight w:val="none"/>
          <w:lang w:val="en-US" w:eastAsia="zh-CN"/>
        </w:rPr>
        <w:t xml:space="preserve">          </w:t>
      </w:r>
      <w:r>
        <w:rPr>
          <w:rFonts w:hint="eastAsia"/>
          <w:color w:val="auto"/>
          <w:highlight w:val="none"/>
        </w:rPr>
        <w:t xml:space="preserve"> </w:t>
      </w:r>
      <w:r>
        <w:rPr>
          <w:rFonts w:hint="eastAsia"/>
          <w:color w:val="auto"/>
          <w:highlight w:val="none"/>
          <w:lang w:val="en-US" w:eastAsia="zh-CN"/>
        </w:rPr>
        <w:t xml:space="preserve">   </w:t>
      </w:r>
      <w:r>
        <w:rPr>
          <w:rFonts w:hint="eastAsia"/>
          <w:color w:val="auto"/>
          <w:highlight w:val="none"/>
        </w:rPr>
        <w:t xml:space="preserve">  年 </w:t>
      </w:r>
      <w:r>
        <w:rPr>
          <w:rFonts w:hint="eastAsia"/>
          <w:color w:val="auto"/>
          <w:highlight w:val="none"/>
          <w:lang w:val="en-US" w:eastAsia="zh-CN"/>
        </w:rPr>
        <w:t xml:space="preserve">   </w:t>
      </w:r>
      <w:r>
        <w:rPr>
          <w:rFonts w:hint="eastAsia"/>
          <w:color w:val="auto"/>
          <w:highlight w:val="none"/>
        </w:rPr>
        <w:t xml:space="preserve">  月              NO：</w:t>
      </w:r>
    </w:p>
    <w:tbl>
      <w:tblPr>
        <w:tblStyle w:val="42"/>
        <w:tblW w:w="0" w:type="auto"/>
        <w:jc w:val="center"/>
        <w:tblLayout w:type="fixed"/>
        <w:tblCellMar>
          <w:top w:w="0" w:type="dxa"/>
          <w:left w:w="108" w:type="dxa"/>
          <w:bottom w:w="0" w:type="dxa"/>
          <w:right w:w="108" w:type="dxa"/>
        </w:tblCellMar>
      </w:tblPr>
      <w:tblGrid>
        <w:gridCol w:w="731"/>
        <w:gridCol w:w="4844"/>
        <w:gridCol w:w="4844"/>
        <w:gridCol w:w="4432"/>
        <w:gridCol w:w="1269"/>
      </w:tblGrid>
      <w:tr w14:paraId="4B5C30E2">
        <w:tblPrEx>
          <w:tblCellMar>
            <w:top w:w="0" w:type="dxa"/>
            <w:left w:w="108" w:type="dxa"/>
            <w:bottom w:w="0" w:type="dxa"/>
            <w:right w:w="108" w:type="dxa"/>
          </w:tblCellMar>
        </w:tblPrEx>
        <w:trPr>
          <w:trHeight w:val="581" w:hRule="atLeast"/>
          <w:jc w:val="center"/>
        </w:trPr>
        <w:tc>
          <w:tcPr>
            <w:tcW w:w="731" w:type="dxa"/>
            <w:tcBorders>
              <w:top w:val="single" w:color="auto" w:sz="4" w:space="0"/>
              <w:left w:val="single" w:color="auto" w:sz="4" w:space="0"/>
              <w:bottom w:val="single" w:color="auto" w:sz="4" w:space="0"/>
              <w:right w:val="single" w:color="auto" w:sz="4" w:space="0"/>
            </w:tcBorders>
            <w:noWrap w:val="0"/>
            <w:vAlign w:val="center"/>
          </w:tcPr>
          <w:p w14:paraId="63B248B4">
            <w:pPr>
              <w:widowControl/>
              <w:jc w:val="center"/>
              <w:rPr>
                <w:rFonts w:ascii="宋体" w:hAnsi="宋体" w:cs="宋体"/>
                <w:color w:val="auto"/>
                <w:kern w:val="0"/>
                <w:sz w:val="24"/>
                <w:szCs w:val="24"/>
                <w:highlight w:val="none"/>
              </w:rPr>
            </w:pPr>
            <w:r>
              <w:rPr>
                <w:rFonts w:hint="eastAsia" w:ascii="宋体" w:hAnsi="宋体" w:cs="宋体"/>
                <w:color w:val="auto"/>
                <w:kern w:val="0"/>
                <w:sz w:val="24"/>
                <w:szCs w:val="24"/>
                <w:highlight w:val="none"/>
              </w:rPr>
              <w:t>考核内容</w:t>
            </w:r>
          </w:p>
        </w:tc>
        <w:tc>
          <w:tcPr>
            <w:tcW w:w="4844" w:type="dxa"/>
            <w:tcBorders>
              <w:top w:val="single" w:color="auto" w:sz="4" w:space="0"/>
              <w:left w:val="single" w:color="auto" w:sz="4" w:space="0"/>
              <w:bottom w:val="single" w:color="auto" w:sz="4" w:space="0"/>
              <w:right w:val="single" w:color="auto" w:sz="4" w:space="0"/>
            </w:tcBorders>
            <w:noWrap w:val="0"/>
            <w:vAlign w:val="center"/>
          </w:tcPr>
          <w:p w14:paraId="74CD23AE">
            <w:pPr>
              <w:widowControl/>
              <w:jc w:val="center"/>
              <w:rPr>
                <w:rFonts w:ascii="宋体" w:hAnsi="宋体" w:cs="宋体"/>
                <w:color w:val="auto"/>
                <w:kern w:val="0"/>
                <w:sz w:val="24"/>
                <w:szCs w:val="24"/>
                <w:highlight w:val="none"/>
              </w:rPr>
            </w:pPr>
            <w:r>
              <w:rPr>
                <w:rFonts w:hint="eastAsia" w:ascii="宋体" w:hAnsi="宋体" w:cs="宋体"/>
                <w:color w:val="auto"/>
                <w:kern w:val="0"/>
                <w:sz w:val="24"/>
                <w:szCs w:val="24"/>
                <w:highlight w:val="none"/>
              </w:rPr>
              <w:t>基本要求</w:t>
            </w:r>
          </w:p>
        </w:tc>
        <w:tc>
          <w:tcPr>
            <w:tcW w:w="4844" w:type="dxa"/>
            <w:tcBorders>
              <w:top w:val="single" w:color="auto" w:sz="4" w:space="0"/>
              <w:left w:val="single" w:color="auto" w:sz="4" w:space="0"/>
              <w:bottom w:val="single" w:color="auto" w:sz="4" w:space="0"/>
              <w:right w:val="single" w:color="auto" w:sz="4" w:space="0"/>
            </w:tcBorders>
            <w:noWrap w:val="0"/>
            <w:vAlign w:val="center"/>
          </w:tcPr>
          <w:p w14:paraId="5F381EF0">
            <w:pPr>
              <w:widowControl/>
              <w:jc w:val="center"/>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素质要求</w:t>
            </w:r>
          </w:p>
        </w:tc>
        <w:tc>
          <w:tcPr>
            <w:tcW w:w="4432" w:type="dxa"/>
            <w:tcBorders>
              <w:top w:val="single" w:color="auto" w:sz="4" w:space="0"/>
              <w:left w:val="single" w:color="auto" w:sz="4" w:space="0"/>
              <w:bottom w:val="single" w:color="auto" w:sz="4" w:space="0"/>
              <w:right w:val="single" w:color="auto" w:sz="4" w:space="0"/>
            </w:tcBorders>
            <w:noWrap w:val="0"/>
            <w:vAlign w:val="center"/>
          </w:tcPr>
          <w:p w14:paraId="03E0AFCF">
            <w:pPr>
              <w:widowControl/>
              <w:jc w:val="center"/>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工作要求</w:t>
            </w:r>
          </w:p>
        </w:tc>
        <w:tc>
          <w:tcPr>
            <w:tcW w:w="1269" w:type="dxa"/>
            <w:tcBorders>
              <w:top w:val="single" w:color="auto" w:sz="4" w:space="0"/>
              <w:left w:val="nil"/>
              <w:bottom w:val="single" w:color="auto" w:sz="4" w:space="0"/>
              <w:right w:val="single" w:color="auto" w:sz="4" w:space="0"/>
            </w:tcBorders>
            <w:noWrap w:val="0"/>
            <w:vAlign w:val="center"/>
          </w:tcPr>
          <w:p w14:paraId="27AB6E4B">
            <w:pPr>
              <w:widowControl/>
              <w:jc w:val="center"/>
              <w:rPr>
                <w:rFonts w:ascii="宋体" w:hAnsi="宋体" w:cs="宋体"/>
                <w:color w:val="auto"/>
                <w:kern w:val="0"/>
                <w:sz w:val="24"/>
                <w:szCs w:val="24"/>
                <w:highlight w:val="none"/>
              </w:rPr>
            </w:pPr>
            <w:r>
              <w:rPr>
                <w:rFonts w:hint="eastAsia" w:ascii="宋体" w:hAnsi="宋体" w:cs="宋体"/>
                <w:color w:val="auto"/>
                <w:kern w:val="0"/>
                <w:sz w:val="24"/>
                <w:szCs w:val="24"/>
                <w:highlight w:val="none"/>
              </w:rPr>
              <w:t>合计</w:t>
            </w:r>
          </w:p>
        </w:tc>
      </w:tr>
      <w:tr w14:paraId="609169C9">
        <w:tblPrEx>
          <w:tblCellMar>
            <w:top w:w="0" w:type="dxa"/>
            <w:left w:w="108" w:type="dxa"/>
            <w:bottom w:w="0" w:type="dxa"/>
            <w:right w:w="108" w:type="dxa"/>
          </w:tblCellMar>
        </w:tblPrEx>
        <w:trPr>
          <w:trHeight w:val="573" w:hRule="atLeast"/>
          <w:jc w:val="center"/>
        </w:trPr>
        <w:tc>
          <w:tcPr>
            <w:tcW w:w="731" w:type="dxa"/>
            <w:tcBorders>
              <w:top w:val="nil"/>
              <w:left w:val="single" w:color="auto" w:sz="4" w:space="0"/>
              <w:bottom w:val="single" w:color="auto" w:sz="4" w:space="0"/>
              <w:right w:val="single" w:color="auto" w:sz="4" w:space="0"/>
            </w:tcBorders>
            <w:noWrap w:val="0"/>
            <w:vAlign w:val="center"/>
          </w:tcPr>
          <w:p w14:paraId="3702F734">
            <w:pPr>
              <w:widowControl/>
              <w:jc w:val="center"/>
              <w:rPr>
                <w:rFonts w:ascii="宋体" w:hAnsi="宋体" w:cs="宋体"/>
                <w:color w:val="auto"/>
                <w:kern w:val="0"/>
                <w:sz w:val="24"/>
                <w:szCs w:val="24"/>
                <w:highlight w:val="none"/>
              </w:rPr>
            </w:pPr>
            <w:r>
              <w:rPr>
                <w:rFonts w:hint="eastAsia" w:ascii="宋体" w:hAnsi="宋体" w:cs="宋体"/>
                <w:color w:val="auto"/>
                <w:kern w:val="0"/>
                <w:sz w:val="24"/>
                <w:szCs w:val="24"/>
                <w:highlight w:val="none"/>
              </w:rPr>
              <w:t>评分标准</w:t>
            </w:r>
          </w:p>
        </w:tc>
        <w:tc>
          <w:tcPr>
            <w:tcW w:w="4844" w:type="dxa"/>
            <w:tcBorders>
              <w:top w:val="single" w:color="auto" w:sz="4" w:space="0"/>
              <w:left w:val="single" w:color="auto" w:sz="4" w:space="0"/>
              <w:bottom w:val="single" w:color="auto" w:sz="4" w:space="0"/>
              <w:right w:val="single" w:color="auto" w:sz="4" w:space="0"/>
            </w:tcBorders>
            <w:noWrap w:val="0"/>
            <w:vAlign w:val="center"/>
          </w:tcPr>
          <w:p w14:paraId="1CA7893D">
            <w:pPr>
              <w:widowControl/>
              <w:jc w:val="center"/>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17</w:t>
            </w:r>
          </w:p>
        </w:tc>
        <w:tc>
          <w:tcPr>
            <w:tcW w:w="4844" w:type="dxa"/>
            <w:tcBorders>
              <w:top w:val="single" w:color="auto" w:sz="4" w:space="0"/>
              <w:left w:val="single" w:color="auto" w:sz="4" w:space="0"/>
              <w:bottom w:val="single" w:color="auto" w:sz="4" w:space="0"/>
              <w:right w:val="single" w:color="auto" w:sz="4" w:space="0"/>
            </w:tcBorders>
            <w:noWrap w:val="0"/>
            <w:vAlign w:val="center"/>
          </w:tcPr>
          <w:p w14:paraId="0A13603B">
            <w:pPr>
              <w:widowControl/>
              <w:jc w:val="center"/>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49</w:t>
            </w:r>
          </w:p>
        </w:tc>
        <w:tc>
          <w:tcPr>
            <w:tcW w:w="4432" w:type="dxa"/>
            <w:tcBorders>
              <w:top w:val="single" w:color="auto" w:sz="4" w:space="0"/>
              <w:left w:val="single" w:color="auto" w:sz="4" w:space="0"/>
              <w:bottom w:val="single" w:color="auto" w:sz="4" w:space="0"/>
              <w:right w:val="single" w:color="auto" w:sz="4" w:space="0"/>
            </w:tcBorders>
            <w:noWrap w:val="0"/>
            <w:vAlign w:val="center"/>
          </w:tcPr>
          <w:p w14:paraId="598F7128">
            <w:pPr>
              <w:widowControl/>
              <w:jc w:val="center"/>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34</w:t>
            </w:r>
          </w:p>
        </w:tc>
        <w:tc>
          <w:tcPr>
            <w:tcW w:w="1269" w:type="dxa"/>
            <w:tcBorders>
              <w:top w:val="nil"/>
              <w:left w:val="nil"/>
              <w:bottom w:val="single" w:color="auto" w:sz="4" w:space="0"/>
              <w:right w:val="single" w:color="auto" w:sz="4" w:space="0"/>
            </w:tcBorders>
            <w:noWrap w:val="0"/>
            <w:vAlign w:val="center"/>
          </w:tcPr>
          <w:p w14:paraId="534810C9">
            <w:pPr>
              <w:widowControl/>
              <w:jc w:val="center"/>
              <w:rPr>
                <w:rFonts w:ascii="宋体" w:hAnsi="宋体" w:cs="宋体"/>
                <w:color w:val="auto"/>
                <w:kern w:val="0"/>
                <w:sz w:val="24"/>
                <w:szCs w:val="24"/>
                <w:highlight w:val="none"/>
              </w:rPr>
            </w:pPr>
            <w:r>
              <w:rPr>
                <w:rFonts w:hint="eastAsia" w:ascii="宋体" w:hAnsi="宋体" w:cs="宋体"/>
                <w:color w:val="auto"/>
                <w:kern w:val="0"/>
                <w:sz w:val="24"/>
                <w:szCs w:val="24"/>
                <w:highlight w:val="none"/>
              </w:rPr>
              <w:t>100</w:t>
            </w:r>
          </w:p>
        </w:tc>
      </w:tr>
      <w:tr w14:paraId="2580D6BB">
        <w:tblPrEx>
          <w:tblCellMar>
            <w:top w:w="0" w:type="dxa"/>
            <w:left w:w="108" w:type="dxa"/>
            <w:bottom w:w="0" w:type="dxa"/>
            <w:right w:w="108" w:type="dxa"/>
          </w:tblCellMar>
        </w:tblPrEx>
        <w:trPr>
          <w:trHeight w:val="566" w:hRule="atLeast"/>
          <w:jc w:val="center"/>
        </w:trPr>
        <w:tc>
          <w:tcPr>
            <w:tcW w:w="731" w:type="dxa"/>
            <w:tcBorders>
              <w:top w:val="nil"/>
              <w:left w:val="single" w:color="auto" w:sz="4" w:space="0"/>
              <w:bottom w:val="single" w:color="auto" w:sz="4" w:space="0"/>
              <w:right w:val="single" w:color="auto" w:sz="4" w:space="0"/>
            </w:tcBorders>
            <w:noWrap w:val="0"/>
            <w:vAlign w:val="center"/>
          </w:tcPr>
          <w:p w14:paraId="05925757">
            <w:pPr>
              <w:widowControl/>
              <w:jc w:val="center"/>
              <w:rPr>
                <w:rFonts w:ascii="宋体" w:hAnsi="宋体" w:cs="宋体"/>
                <w:color w:val="auto"/>
                <w:kern w:val="0"/>
                <w:sz w:val="24"/>
                <w:szCs w:val="24"/>
                <w:highlight w:val="none"/>
              </w:rPr>
            </w:pPr>
            <w:r>
              <w:rPr>
                <w:rFonts w:hint="eastAsia" w:ascii="宋体" w:hAnsi="宋体" w:cs="宋体"/>
                <w:color w:val="auto"/>
                <w:kern w:val="0"/>
                <w:sz w:val="24"/>
                <w:szCs w:val="24"/>
                <w:highlight w:val="none"/>
              </w:rPr>
              <w:t>得分</w:t>
            </w:r>
          </w:p>
        </w:tc>
        <w:tc>
          <w:tcPr>
            <w:tcW w:w="4844" w:type="dxa"/>
            <w:tcBorders>
              <w:top w:val="single" w:color="auto" w:sz="4" w:space="0"/>
              <w:left w:val="single" w:color="auto" w:sz="4" w:space="0"/>
              <w:bottom w:val="single" w:color="auto" w:sz="4" w:space="0"/>
              <w:right w:val="single" w:color="auto" w:sz="4" w:space="0"/>
            </w:tcBorders>
            <w:noWrap w:val="0"/>
            <w:vAlign w:val="center"/>
          </w:tcPr>
          <w:p w14:paraId="27EEAF02">
            <w:pPr>
              <w:widowControl/>
              <w:jc w:val="center"/>
              <w:rPr>
                <w:rFonts w:hint="default" w:ascii="宋体" w:hAnsi="宋体" w:eastAsia="宋体" w:cs="宋体"/>
                <w:color w:val="auto"/>
                <w:kern w:val="0"/>
                <w:sz w:val="24"/>
                <w:szCs w:val="24"/>
                <w:highlight w:val="none"/>
                <w:lang w:val="en-US" w:eastAsia="zh-CN"/>
              </w:rPr>
            </w:pPr>
          </w:p>
        </w:tc>
        <w:tc>
          <w:tcPr>
            <w:tcW w:w="4844" w:type="dxa"/>
            <w:tcBorders>
              <w:top w:val="single" w:color="auto" w:sz="4" w:space="0"/>
              <w:left w:val="single" w:color="auto" w:sz="4" w:space="0"/>
              <w:bottom w:val="single" w:color="auto" w:sz="4" w:space="0"/>
              <w:right w:val="single" w:color="auto" w:sz="4" w:space="0"/>
            </w:tcBorders>
            <w:noWrap w:val="0"/>
            <w:vAlign w:val="center"/>
          </w:tcPr>
          <w:p w14:paraId="5C1142FA">
            <w:pPr>
              <w:widowControl/>
              <w:jc w:val="center"/>
              <w:rPr>
                <w:rFonts w:hint="default" w:ascii="宋体" w:hAnsi="宋体" w:eastAsia="宋体" w:cs="宋体"/>
                <w:color w:val="auto"/>
                <w:kern w:val="0"/>
                <w:sz w:val="24"/>
                <w:szCs w:val="24"/>
                <w:highlight w:val="none"/>
                <w:lang w:val="en-US" w:eastAsia="zh-CN"/>
              </w:rPr>
            </w:pPr>
          </w:p>
        </w:tc>
        <w:tc>
          <w:tcPr>
            <w:tcW w:w="4432" w:type="dxa"/>
            <w:tcBorders>
              <w:top w:val="single" w:color="auto" w:sz="4" w:space="0"/>
              <w:left w:val="single" w:color="auto" w:sz="4" w:space="0"/>
              <w:bottom w:val="single" w:color="auto" w:sz="4" w:space="0"/>
              <w:right w:val="single" w:color="auto" w:sz="4" w:space="0"/>
            </w:tcBorders>
            <w:noWrap w:val="0"/>
            <w:vAlign w:val="center"/>
          </w:tcPr>
          <w:p w14:paraId="53AEB85C">
            <w:pPr>
              <w:widowControl/>
              <w:jc w:val="center"/>
              <w:rPr>
                <w:rFonts w:hint="default" w:ascii="宋体" w:hAnsi="宋体" w:eastAsia="宋体" w:cs="宋体"/>
                <w:color w:val="auto"/>
                <w:kern w:val="0"/>
                <w:sz w:val="24"/>
                <w:szCs w:val="24"/>
                <w:highlight w:val="none"/>
                <w:lang w:val="en-US" w:eastAsia="zh-CN"/>
              </w:rPr>
            </w:pPr>
          </w:p>
        </w:tc>
        <w:tc>
          <w:tcPr>
            <w:tcW w:w="1269" w:type="dxa"/>
            <w:tcBorders>
              <w:top w:val="nil"/>
              <w:left w:val="nil"/>
              <w:bottom w:val="single" w:color="auto" w:sz="4" w:space="0"/>
              <w:right w:val="single" w:color="auto" w:sz="4" w:space="0"/>
            </w:tcBorders>
            <w:noWrap w:val="0"/>
            <w:vAlign w:val="center"/>
          </w:tcPr>
          <w:p w14:paraId="5675FECA">
            <w:pPr>
              <w:widowControl/>
              <w:jc w:val="center"/>
              <w:rPr>
                <w:rFonts w:hint="default" w:ascii="宋体" w:hAnsi="宋体" w:eastAsia="宋体" w:cs="宋体"/>
                <w:color w:val="auto"/>
                <w:kern w:val="0"/>
                <w:sz w:val="24"/>
                <w:szCs w:val="24"/>
                <w:highlight w:val="none"/>
                <w:lang w:val="en-US" w:eastAsia="zh-CN"/>
              </w:rPr>
            </w:pPr>
          </w:p>
        </w:tc>
      </w:tr>
      <w:tr w14:paraId="033FA25E">
        <w:tblPrEx>
          <w:tblCellMar>
            <w:top w:w="0" w:type="dxa"/>
            <w:left w:w="108" w:type="dxa"/>
            <w:bottom w:w="0" w:type="dxa"/>
            <w:right w:w="108" w:type="dxa"/>
          </w:tblCellMar>
        </w:tblPrEx>
        <w:trPr>
          <w:trHeight w:val="832" w:hRule="atLeast"/>
          <w:jc w:val="center"/>
        </w:trPr>
        <w:tc>
          <w:tcPr>
            <w:tcW w:w="731" w:type="dxa"/>
            <w:tcBorders>
              <w:top w:val="nil"/>
              <w:left w:val="single" w:color="auto" w:sz="4" w:space="0"/>
              <w:bottom w:val="single" w:color="auto" w:sz="4" w:space="0"/>
              <w:right w:val="single" w:color="auto" w:sz="4" w:space="0"/>
            </w:tcBorders>
            <w:noWrap w:val="0"/>
            <w:vAlign w:val="center"/>
          </w:tcPr>
          <w:p w14:paraId="75DB2717">
            <w:pPr>
              <w:widowControl/>
              <w:jc w:val="center"/>
              <w:rPr>
                <w:rFonts w:ascii="宋体" w:hAnsi="宋体" w:cs="宋体"/>
                <w:color w:val="auto"/>
                <w:kern w:val="0"/>
                <w:sz w:val="24"/>
                <w:szCs w:val="24"/>
                <w:highlight w:val="none"/>
              </w:rPr>
            </w:pPr>
            <w:r>
              <w:rPr>
                <w:rFonts w:hint="eastAsia" w:ascii="宋体" w:hAnsi="宋体" w:cs="宋体"/>
                <w:color w:val="auto"/>
                <w:kern w:val="0"/>
                <w:sz w:val="24"/>
                <w:szCs w:val="24"/>
                <w:highlight w:val="none"/>
              </w:rPr>
              <w:t>扣分说明</w:t>
            </w:r>
          </w:p>
        </w:tc>
        <w:tc>
          <w:tcPr>
            <w:tcW w:w="4844" w:type="dxa"/>
            <w:tcBorders>
              <w:top w:val="single" w:color="auto" w:sz="4" w:space="0"/>
              <w:left w:val="nil"/>
              <w:bottom w:val="single" w:color="auto" w:sz="4" w:space="0"/>
              <w:right w:val="single" w:color="auto" w:sz="4" w:space="0"/>
            </w:tcBorders>
            <w:noWrap w:val="0"/>
            <w:vAlign w:val="center"/>
          </w:tcPr>
          <w:p w14:paraId="06BF362A">
            <w:pPr>
              <w:widowControl/>
              <w:jc w:val="center"/>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根据《</w:t>
            </w:r>
            <w:r>
              <w:rPr>
                <w:rFonts w:hint="eastAsia" w:ascii="宋体" w:hAnsi="宋体" w:cs="宋体"/>
                <w:color w:val="auto"/>
                <w:kern w:val="0"/>
                <w:sz w:val="24"/>
                <w:szCs w:val="24"/>
                <w:highlight w:val="none"/>
                <w:lang w:eastAsia="zh-CN"/>
              </w:rPr>
              <w:t>服务检查细则</w:t>
            </w:r>
            <w:r>
              <w:rPr>
                <w:rFonts w:hint="eastAsia" w:ascii="宋体" w:hAnsi="宋体" w:cs="宋体"/>
                <w:color w:val="auto"/>
                <w:kern w:val="0"/>
                <w:sz w:val="24"/>
                <w:szCs w:val="24"/>
                <w:highlight w:val="none"/>
              </w:rPr>
              <w:t>》</w:t>
            </w:r>
          </w:p>
          <w:p w14:paraId="3CCF783D">
            <w:pPr>
              <w:widowControl/>
              <w:jc w:val="center"/>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填写扣分细项及分数</w:t>
            </w:r>
          </w:p>
        </w:tc>
        <w:tc>
          <w:tcPr>
            <w:tcW w:w="4844" w:type="dxa"/>
            <w:tcBorders>
              <w:top w:val="single" w:color="auto" w:sz="4" w:space="0"/>
              <w:left w:val="nil"/>
              <w:bottom w:val="single" w:color="auto" w:sz="4" w:space="0"/>
              <w:right w:val="single" w:color="auto" w:sz="4" w:space="0"/>
            </w:tcBorders>
            <w:noWrap w:val="0"/>
            <w:vAlign w:val="center"/>
          </w:tcPr>
          <w:p w14:paraId="152B83CC">
            <w:pPr>
              <w:widowControl/>
              <w:jc w:val="center"/>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根据《</w:t>
            </w:r>
            <w:r>
              <w:rPr>
                <w:rFonts w:hint="eastAsia" w:ascii="宋体" w:hAnsi="宋体" w:cs="宋体"/>
                <w:color w:val="auto"/>
                <w:kern w:val="0"/>
                <w:sz w:val="24"/>
                <w:szCs w:val="24"/>
                <w:highlight w:val="none"/>
                <w:lang w:eastAsia="zh-CN"/>
              </w:rPr>
              <w:t>服务检查细则</w:t>
            </w:r>
            <w:r>
              <w:rPr>
                <w:rFonts w:hint="eastAsia" w:ascii="宋体" w:hAnsi="宋体" w:cs="宋体"/>
                <w:color w:val="auto"/>
                <w:kern w:val="0"/>
                <w:sz w:val="24"/>
                <w:szCs w:val="24"/>
                <w:highlight w:val="none"/>
              </w:rPr>
              <w:t>》</w:t>
            </w:r>
          </w:p>
          <w:p w14:paraId="75C82E89">
            <w:pPr>
              <w:widowControl/>
              <w:jc w:val="center"/>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填写扣分细项及分数</w:t>
            </w:r>
          </w:p>
        </w:tc>
        <w:tc>
          <w:tcPr>
            <w:tcW w:w="4432" w:type="dxa"/>
            <w:tcBorders>
              <w:top w:val="single" w:color="auto" w:sz="4" w:space="0"/>
              <w:left w:val="nil"/>
              <w:bottom w:val="single" w:color="auto" w:sz="4" w:space="0"/>
              <w:right w:val="single" w:color="auto" w:sz="4" w:space="0"/>
            </w:tcBorders>
            <w:noWrap w:val="0"/>
            <w:vAlign w:val="center"/>
          </w:tcPr>
          <w:p w14:paraId="7624846E">
            <w:pPr>
              <w:widowControl/>
              <w:jc w:val="center"/>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根据《</w:t>
            </w:r>
            <w:r>
              <w:rPr>
                <w:rFonts w:hint="eastAsia" w:ascii="宋体" w:hAnsi="宋体" w:cs="宋体"/>
                <w:color w:val="auto"/>
                <w:kern w:val="0"/>
                <w:sz w:val="24"/>
                <w:szCs w:val="24"/>
                <w:highlight w:val="none"/>
                <w:lang w:eastAsia="zh-CN"/>
              </w:rPr>
              <w:t>服务检查细则</w:t>
            </w:r>
            <w:r>
              <w:rPr>
                <w:rFonts w:hint="eastAsia" w:ascii="宋体" w:hAnsi="宋体" w:cs="宋体"/>
                <w:color w:val="auto"/>
                <w:kern w:val="0"/>
                <w:sz w:val="24"/>
                <w:szCs w:val="24"/>
                <w:highlight w:val="none"/>
              </w:rPr>
              <w:t>》</w:t>
            </w:r>
          </w:p>
          <w:p w14:paraId="20EA1194">
            <w:pPr>
              <w:widowControl/>
              <w:jc w:val="center"/>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填写扣分细项及分数</w:t>
            </w:r>
          </w:p>
        </w:tc>
        <w:tc>
          <w:tcPr>
            <w:tcW w:w="1269" w:type="dxa"/>
            <w:tcBorders>
              <w:top w:val="nil"/>
              <w:left w:val="nil"/>
              <w:bottom w:val="single" w:color="auto" w:sz="4" w:space="0"/>
              <w:right w:val="single" w:color="auto" w:sz="4" w:space="0"/>
            </w:tcBorders>
            <w:noWrap w:val="0"/>
            <w:vAlign w:val="top"/>
          </w:tcPr>
          <w:p w14:paraId="7056917C">
            <w:pPr>
              <w:widowControl/>
              <w:rPr>
                <w:rFonts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r>
      <w:tr w14:paraId="77FAD751">
        <w:tblPrEx>
          <w:tblCellMar>
            <w:top w:w="0" w:type="dxa"/>
            <w:left w:w="108" w:type="dxa"/>
            <w:bottom w:w="0" w:type="dxa"/>
            <w:right w:w="108" w:type="dxa"/>
          </w:tblCellMar>
        </w:tblPrEx>
        <w:trPr>
          <w:trHeight w:val="1307" w:hRule="atLeast"/>
          <w:jc w:val="center"/>
        </w:trPr>
        <w:tc>
          <w:tcPr>
            <w:tcW w:w="731" w:type="dxa"/>
            <w:tcBorders>
              <w:top w:val="single" w:color="auto" w:sz="4" w:space="0"/>
              <w:left w:val="single" w:color="auto" w:sz="4" w:space="0"/>
              <w:bottom w:val="single" w:color="auto" w:sz="4" w:space="0"/>
              <w:right w:val="single" w:color="auto" w:sz="4" w:space="0"/>
            </w:tcBorders>
            <w:noWrap w:val="0"/>
            <w:vAlign w:val="center"/>
          </w:tcPr>
          <w:p w14:paraId="4CB2F141">
            <w:pPr>
              <w:widowControl/>
              <w:jc w:val="left"/>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备注</w:t>
            </w:r>
          </w:p>
        </w:tc>
        <w:tc>
          <w:tcPr>
            <w:tcW w:w="15389" w:type="dxa"/>
            <w:gridSpan w:val="4"/>
            <w:tcBorders>
              <w:top w:val="single" w:color="auto" w:sz="4" w:space="0"/>
              <w:left w:val="nil"/>
              <w:bottom w:val="single" w:color="auto" w:sz="4" w:space="0"/>
              <w:right w:val="single" w:color="auto" w:sz="4" w:space="0"/>
            </w:tcBorders>
            <w:noWrap w:val="0"/>
            <w:vAlign w:val="center"/>
          </w:tcPr>
          <w:p w14:paraId="67C8A88B">
            <w:pPr>
              <w:widowControl/>
              <w:jc w:val="left"/>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 xml:space="preserve">1、总分在95分以上（含95分），支付扣除合同约定扣款项（如有发生）后的款；                                                                                               </w:t>
            </w:r>
          </w:p>
          <w:p w14:paraId="5306B6FB">
            <w:pPr>
              <w:widowControl/>
              <w:jc w:val="left"/>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2、总分在95分以下75分以上（含75分），每降1分，扣除当月人员服务费1%；</w:t>
            </w:r>
          </w:p>
          <w:p w14:paraId="38BE831B">
            <w:pPr>
              <w:widowControl/>
              <w:jc w:val="left"/>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 xml:space="preserve">3、总分低于75分，直接扣除人员服务费用的50%；                                                                                                      </w:t>
            </w:r>
          </w:p>
          <w:p w14:paraId="6E6FE700">
            <w:pPr>
              <w:widowControl/>
              <w:jc w:val="left"/>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4、连续2个月总分低于75分的，甲方有权终止合同；</w:t>
            </w:r>
          </w:p>
        </w:tc>
      </w:tr>
      <w:tr w14:paraId="610422DF">
        <w:tblPrEx>
          <w:tblCellMar>
            <w:top w:w="0" w:type="dxa"/>
            <w:left w:w="108" w:type="dxa"/>
            <w:bottom w:w="0" w:type="dxa"/>
            <w:right w:w="108" w:type="dxa"/>
          </w:tblCellMar>
        </w:tblPrEx>
        <w:trPr>
          <w:trHeight w:val="592" w:hRule="atLeast"/>
          <w:jc w:val="center"/>
        </w:trPr>
        <w:tc>
          <w:tcPr>
            <w:tcW w:w="731" w:type="dxa"/>
            <w:tcBorders>
              <w:top w:val="single" w:color="auto" w:sz="4" w:space="0"/>
              <w:left w:val="single" w:color="auto" w:sz="4" w:space="0"/>
              <w:bottom w:val="single" w:color="auto" w:sz="4" w:space="0"/>
              <w:right w:val="single" w:color="auto" w:sz="4" w:space="0"/>
            </w:tcBorders>
            <w:noWrap w:val="0"/>
            <w:vAlign w:val="center"/>
          </w:tcPr>
          <w:p w14:paraId="66A71955">
            <w:pPr>
              <w:widowControl/>
              <w:jc w:val="center"/>
              <w:rPr>
                <w:rFonts w:ascii="宋体" w:hAnsi="宋体" w:cs="宋体"/>
                <w:color w:val="auto"/>
                <w:kern w:val="0"/>
                <w:sz w:val="24"/>
                <w:szCs w:val="24"/>
                <w:highlight w:val="none"/>
              </w:rPr>
            </w:pPr>
            <w:r>
              <w:rPr>
                <w:rFonts w:hint="eastAsia" w:ascii="宋体" w:hAnsi="宋体" w:cs="宋体"/>
                <w:color w:val="auto"/>
                <w:kern w:val="0"/>
                <w:sz w:val="24"/>
                <w:szCs w:val="24"/>
                <w:highlight w:val="none"/>
              </w:rPr>
              <w:t>其他说明</w:t>
            </w:r>
          </w:p>
        </w:tc>
        <w:tc>
          <w:tcPr>
            <w:tcW w:w="15389" w:type="dxa"/>
            <w:gridSpan w:val="4"/>
            <w:tcBorders>
              <w:top w:val="single" w:color="auto" w:sz="4" w:space="0"/>
              <w:left w:val="nil"/>
              <w:bottom w:val="single" w:color="auto" w:sz="4" w:space="0"/>
              <w:right w:val="single" w:color="000000" w:sz="4" w:space="0"/>
            </w:tcBorders>
            <w:noWrap w:val="0"/>
            <w:vAlign w:val="center"/>
          </w:tcPr>
          <w:p w14:paraId="5912276C">
            <w:pPr>
              <w:widowControl/>
              <w:jc w:val="left"/>
              <w:rPr>
                <w:rFonts w:hint="eastAsia" w:ascii="宋体" w:hAnsi="宋体" w:cs="宋体"/>
                <w:color w:val="auto"/>
                <w:kern w:val="0"/>
                <w:sz w:val="24"/>
                <w:szCs w:val="24"/>
                <w:highlight w:val="none"/>
              </w:rPr>
            </w:pPr>
          </w:p>
        </w:tc>
      </w:tr>
    </w:tbl>
    <w:p w14:paraId="0D1D270F">
      <w:pPr>
        <w:rPr>
          <w:color w:val="auto"/>
          <w:sz w:val="24"/>
          <w:szCs w:val="24"/>
          <w:highlight w:val="none"/>
        </w:rPr>
      </w:pPr>
    </w:p>
    <w:tbl>
      <w:tblPr>
        <w:tblStyle w:val="42"/>
        <w:tblW w:w="16120" w:type="dxa"/>
        <w:jc w:val="center"/>
        <w:tblLayout w:type="fixed"/>
        <w:tblCellMar>
          <w:top w:w="0" w:type="dxa"/>
          <w:left w:w="108" w:type="dxa"/>
          <w:bottom w:w="0" w:type="dxa"/>
          <w:right w:w="108" w:type="dxa"/>
        </w:tblCellMar>
      </w:tblPr>
      <w:tblGrid>
        <w:gridCol w:w="1362"/>
        <w:gridCol w:w="306"/>
        <w:gridCol w:w="1894"/>
        <w:gridCol w:w="1565"/>
        <w:gridCol w:w="88"/>
        <w:gridCol w:w="1681"/>
        <w:gridCol w:w="856"/>
        <w:gridCol w:w="544"/>
        <w:gridCol w:w="1572"/>
        <w:gridCol w:w="284"/>
        <w:gridCol w:w="1170"/>
        <w:gridCol w:w="1125"/>
        <w:gridCol w:w="421"/>
        <w:gridCol w:w="1774"/>
        <w:gridCol w:w="1478"/>
      </w:tblGrid>
      <w:tr w14:paraId="041BD96F">
        <w:tblPrEx>
          <w:tblCellMar>
            <w:top w:w="0" w:type="dxa"/>
            <w:left w:w="108" w:type="dxa"/>
            <w:bottom w:w="0" w:type="dxa"/>
            <w:right w:w="108" w:type="dxa"/>
          </w:tblCellMar>
        </w:tblPrEx>
        <w:trPr>
          <w:trHeight w:val="691" w:hRule="atLeast"/>
          <w:jc w:val="center"/>
        </w:trPr>
        <w:tc>
          <w:tcPr>
            <w:tcW w:w="1362" w:type="dxa"/>
            <w:tcBorders>
              <w:top w:val="single" w:color="auto" w:sz="4" w:space="0"/>
              <w:left w:val="single" w:color="auto" w:sz="4" w:space="0"/>
              <w:bottom w:val="single" w:color="auto" w:sz="4" w:space="0"/>
              <w:right w:val="single" w:color="auto" w:sz="4" w:space="0"/>
            </w:tcBorders>
            <w:noWrap w:val="0"/>
            <w:vAlign w:val="center"/>
          </w:tcPr>
          <w:p w14:paraId="0D200D63">
            <w:pPr>
              <w:jc w:val="center"/>
              <w:rPr>
                <w:rFonts w:hint="eastAsia" w:eastAsia="宋体" w:cs="Times New Roman"/>
                <w:color w:val="auto"/>
                <w:sz w:val="24"/>
                <w:szCs w:val="24"/>
                <w:highlight w:val="none"/>
              </w:rPr>
            </w:pPr>
            <w:r>
              <w:rPr>
                <w:rFonts w:hint="eastAsia" w:eastAsia="宋体" w:cs="Times New Roman"/>
                <w:color w:val="auto"/>
                <w:sz w:val="24"/>
                <w:szCs w:val="24"/>
                <w:highlight w:val="none"/>
              </w:rPr>
              <w:t>当月扣款</w:t>
            </w:r>
          </w:p>
        </w:tc>
        <w:tc>
          <w:tcPr>
            <w:tcW w:w="3765" w:type="dxa"/>
            <w:gridSpan w:val="3"/>
            <w:tcBorders>
              <w:top w:val="single" w:color="auto" w:sz="4" w:space="0"/>
              <w:left w:val="single" w:color="auto" w:sz="4" w:space="0"/>
              <w:bottom w:val="single" w:color="auto" w:sz="4" w:space="0"/>
              <w:right w:val="single" w:color="auto" w:sz="4" w:space="0"/>
            </w:tcBorders>
            <w:noWrap w:val="0"/>
            <w:vAlign w:val="center"/>
          </w:tcPr>
          <w:p w14:paraId="729EF125">
            <w:pPr>
              <w:jc w:val="center"/>
              <w:rPr>
                <w:rFonts w:hint="default" w:eastAsia="宋体" w:cs="Times New Roman"/>
                <w:color w:val="auto"/>
                <w:sz w:val="24"/>
                <w:szCs w:val="24"/>
                <w:highlight w:val="none"/>
                <w:lang w:val="en-US" w:eastAsia="zh-CN"/>
              </w:rPr>
            </w:pPr>
          </w:p>
        </w:tc>
        <w:tc>
          <w:tcPr>
            <w:tcW w:w="2625" w:type="dxa"/>
            <w:gridSpan w:val="3"/>
            <w:tcBorders>
              <w:top w:val="single" w:color="auto" w:sz="4" w:space="0"/>
              <w:left w:val="nil"/>
              <w:bottom w:val="single" w:color="auto" w:sz="4" w:space="0"/>
              <w:right w:val="single" w:color="auto" w:sz="4" w:space="0"/>
            </w:tcBorders>
            <w:noWrap w:val="0"/>
            <w:vAlign w:val="top"/>
          </w:tcPr>
          <w:p w14:paraId="7A5D5A06">
            <w:pPr>
              <w:widowControl/>
              <w:jc w:val="center"/>
              <w:rPr>
                <w:rFonts w:hint="eastAsia" w:ascii="宋体" w:hAnsi="宋体" w:eastAsia="宋体" w:cs="宋体"/>
                <w:color w:val="auto"/>
                <w:kern w:val="0"/>
                <w:sz w:val="24"/>
                <w:szCs w:val="24"/>
                <w:highlight w:val="none"/>
              </w:rPr>
            </w:pPr>
          </w:p>
          <w:p w14:paraId="5EC8C443">
            <w:pPr>
              <w:widowControl/>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当月奖励或加班</w:t>
            </w:r>
          </w:p>
        </w:tc>
        <w:tc>
          <w:tcPr>
            <w:tcW w:w="2400" w:type="dxa"/>
            <w:gridSpan w:val="3"/>
            <w:tcBorders>
              <w:top w:val="single" w:color="auto" w:sz="4" w:space="0"/>
              <w:left w:val="nil"/>
              <w:bottom w:val="single" w:color="auto" w:sz="4" w:space="0"/>
              <w:right w:val="single" w:color="auto" w:sz="4" w:space="0"/>
            </w:tcBorders>
            <w:noWrap w:val="0"/>
            <w:vAlign w:val="center"/>
          </w:tcPr>
          <w:p w14:paraId="5E2CB76B">
            <w:pPr>
              <w:jc w:val="center"/>
              <w:rPr>
                <w:rFonts w:hint="default" w:ascii="宋体" w:hAnsi="宋体" w:eastAsia="宋体" w:cs="宋体"/>
                <w:color w:val="auto"/>
                <w:kern w:val="0"/>
                <w:sz w:val="24"/>
                <w:szCs w:val="24"/>
                <w:highlight w:val="none"/>
                <w:lang w:val="en-US" w:eastAsia="zh-CN"/>
              </w:rPr>
            </w:pPr>
          </w:p>
        </w:tc>
        <w:tc>
          <w:tcPr>
            <w:tcW w:w="2295" w:type="dxa"/>
            <w:gridSpan w:val="2"/>
            <w:tcBorders>
              <w:top w:val="single" w:color="auto" w:sz="4" w:space="0"/>
              <w:left w:val="nil"/>
              <w:bottom w:val="single" w:color="auto" w:sz="4" w:space="0"/>
              <w:right w:val="single" w:color="auto" w:sz="4" w:space="0"/>
            </w:tcBorders>
            <w:noWrap w:val="0"/>
            <w:vAlign w:val="top"/>
          </w:tcPr>
          <w:p w14:paraId="1689B858">
            <w:pPr>
              <w:widowControl/>
              <w:jc w:val="center"/>
              <w:rPr>
                <w:rFonts w:hint="eastAsia" w:ascii="宋体" w:hAnsi="宋体" w:eastAsia="宋体" w:cs="宋体"/>
                <w:color w:val="auto"/>
                <w:kern w:val="0"/>
                <w:sz w:val="24"/>
                <w:szCs w:val="24"/>
                <w:highlight w:val="none"/>
              </w:rPr>
            </w:pPr>
          </w:p>
          <w:p w14:paraId="03920BE1">
            <w:pPr>
              <w:widowControl/>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当月应付款</w:t>
            </w:r>
          </w:p>
        </w:tc>
        <w:tc>
          <w:tcPr>
            <w:tcW w:w="3673" w:type="dxa"/>
            <w:gridSpan w:val="3"/>
            <w:tcBorders>
              <w:top w:val="single" w:color="auto" w:sz="4" w:space="0"/>
              <w:left w:val="nil"/>
              <w:bottom w:val="single" w:color="auto" w:sz="4" w:space="0"/>
              <w:right w:val="single" w:color="auto" w:sz="4" w:space="0"/>
            </w:tcBorders>
            <w:noWrap w:val="0"/>
            <w:vAlign w:val="center"/>
          </w:tcPr>
          <w:p w14:paraId="3340A5BD">
            <w:pPr>
              <w:widowControl/>
              <w:jc w:val="center"/>
              <w:rPr>
                <w:rFonts w:hint="default" w:ascii="宋体" w:hAnsi="宋体" w:eastAsia="宋体" w:cs="宋体"/>
                <w:color w:val="auto"/>
                <w:kern w:val="0"/>
                <w:sz w:val="24"/>
                <w:szCs w:val="24"/>
                <w:highlight w:val="none"/>
                <w:lang w:val="en-US" w:eastAsia="zh-CN"/>
              </w:rPr>
            </w:pPr>
          </w:p>
        </w:tc>
      </w:tr>
      <w:tr w14:paraId="514C3037">
        <w:tblPrEx>
          <w:tblCellMar>
            <w:top w:w="0" w:type="dxa"/>
            <w:left w:w="108" w:type="dxa"/>
            <w:bottom w:w="0" w:type="dxa"/>
            <w:right w:w="108" w:type="dxa"/>
          </w:tblCellMar>
        </w:tblPrEx>
        <w:trPr>
          <w:trHeight w:val="994" w:hRule="atLeast"/>
          <w:jc w:val="center"/>
        </w:trPr>
        <w:tc>
          <w:tcPr>
            <w:tcW w:w="1362" w:type="dxa"/>
            <w:tcBorders>
              <w:top w:val="single" w:color="auto" w:sz="4" w:space="0"/>
              <w:left w:val="single" w:color="auto" w:sz="4" w:space="0"/>
              <w:bottom w:val="single" w:color="auto" w:sz="4" w:space="0"/>
              <w:right w:val="single" w:color="auto" w:sz="4" w:space="0"/>
            </w:tcBorders>
            <w:noWrap w:val="0"/>
            <w:vAlign w:val="center"/>
          </w:tcPr>
          <w:p w14:paraId="53D02822">
            <w:pPr>
              <w:widowControl/>
              <w:jc w:val="center"/>
              <w:rPr>
                <w:rFonts w:ascii="宋体" w:hAnsi="宋体" w:cs="宋体"/>
                <w:color w:val="auto"/>
                <w:kern w:val="0"/>
                <w:sz w:val="24"/>
                <w:szCs w:val="24"/>
                <w:highlight w:val="none"/>
              </w:rPr>
            </w:pPr>
            <w:r>
              <w:rPr>
                <w:rFonts w:hint="eastAsia" w:ascii="宋体" w:hAnsi="宋体" w:cs="宋体"/>
                <w:color w:val="auto"/>
                <w:kern w:val="0"/>
                <w:sz w:val="24"/>
                <w:szCs w:val="24"/>
                <w:highlight w:val="none"/>
              </w:rPr>
              <w:t>服务处    点评</w:t>
            </w:r>
          </w:p>
        </w:tc>
        <w:tc>
          <w:tcPr>
            <w:tcW w:w="14758" w:type="dxa"/>
            <w:gridSpan w:val="14"/>
            <w:tcBorders>
              <w:top w:val="single" w:color="auto" w:sz="4" w:space="0"/>
              <w:left w:val="nil"/>
              <w:bottom w:val="single" w:color="auto" w:sz="4" w:space="0"/>
              <w:right w:val="single" w:color="auto" w:sz="4" w:space="0"/>
            </w:tcBorders>
            <w:noWrap w:val="0"/>
            <w:vAlign w:val="top"/>
          </w:tcPr>
          <w:p w14:paraId="540A33F7">
            <w:pPr>
              <w:widowControl/>
              <w:rPr>
                <w:rFonts w:ascii="宋体" w:hAnsi="宋体" w:cs="宋体"/>
                <w:color w:val="auto"/>
                <w:kern w:val="0"/>
                <w:sz w:val="24"/>
                <w:szCs w:val="24"/>
                <w:highlight w:val="none"/>
              </w:rPr>
            </w:pPr>
          </w:p>
          <w:p w14:paraId="122AAC33">
            <w:pPr>
              <w:widowControl/>
              <w:rPr>
                <w:rFonts w:hint="default" w:ascii="宋体" w:hAnsi="宋体" w:eastAsia="宋体" w:cs="宋体"/>
                <w:color w:val="auto"/>
                <w:kern w:val="0"/>
                <w:sz w:val="24"/>
                <w:szCs w:val="24"/>
                <w:highlight w:val="none"/>
                <w:lang w:val="en-US" w:eastAsia="zh-CN"/>
              </w:rPr>
            </w:pPr>
          </w:p>
        </w:tc>
      </w:tr>
      <w:tr w14:paraId="35EC6C95">
        <w:tblPrEx>
          <w:tblCellMar>
            <w:top w:w="0" w:type="dxa"/>
            <w:left w:w="108" w:type="dxa"/>
            <w:bottom w:w="0" w:type="dxa"/>
            <w:right w:w="108" w:type="dxa"/>
          </w:tblCellMar>
        </w:tblPrEx>
        <w:trPr>
          <w:trHeight w:val="737" w:hRule="atLeast"/>
          <w:jc w:val="center"/>
        </w:trPr>
        <w:tc>
          <w:tcPr>
            <w:tcW w:w="1668" w:type="dxa"/>
            <w:gridSpan w:val="2"/>
            <w:tcBorders>
              <w:top w:val="single" w:color="auto" w:sz="4" w:space="0"/>
              <w:left w:val="single" w:color="auto" w:sz="4" w:space="0"/>
              <w:bottom w:val="single" w:color="auto" w:sz="4" w:space="0"/>
              <w:right w:val="single" w:color="auto" w:sz="4" w:space="0"/>
            </w:tcBorders>
            <w:noWrap w:val="0"/>
            <w:vAlign w:val="center"/>
          </w:tcPr>
          <w:p w14:paraId="365FF60F">
            <w:pPr>
              <w:jc w:val="center"/>
              <w:rPr>
                <w:color w:val="auto"/>
                <w:sz w:val="24"/>
                <w:szCs w:val="24"/>
                <w:highlight w:val="none"/>
              </w:rPr>
            </w:pPr>
            <w:r>
              <w:rPr>
                <w:rFonts w:hint="eastAsia"/>
                <w:color w:val="auto"/>
                <w:sz w:val="24"/>
                <w:szCs w:val="24"/>
                <w:highlight w:val="none"/>
              </w:rPr>
              <w:t>公司领导审批</w:t>
            </w:r>
          </w:p>
        </w:tc>
        <w:tc>
          <w:tcPr>
            <w:tcW w:w="1894" w:type="dxa"/>
            <w:tcBorders>
              <w:top w:val="single" w:color="auto" w:sz="4" w:space="0"/>
              <w:left w:val="nil"/>
              <w:bottom w:val="single" w:color="auto" w:sz="4" w:space="0"/>
              <w:right w:val="single" w:color="auto" w:sz="4" w:space="0"/>
            </w:tcBorders>
            <w:noWrap w:val="0"/>
            <w:vAlign w:val="center"/>
          </w:tcPr>
          <w:p w14:paraId="7092A9F7">
            <w:pPr>
              <w:jc w:val="center"/>
              <w:rPr>
                <w:color w:val="auto"/>
                <w:sz w:val="24"/>
                <w:szCs w:val="24"/>
                <w:highlight w:val="none"/>
              </w:rPr>
            </w:pPr>
          </w:p>
        </w:tc>
        <w:tc>
          <w:tcPr>
            <w:tcW w:w="1653" w:type="dxa"/>
            <w:gridSpan w:val="2"/>
            <w:tcBorders>
              <w:top w:val="single" w:color="auto" w:sz="4" w:space="0"/>
              <w:left w:val="nil"/>
              <w:bottom w:val="single" w:color="auto" w:sz="4" w:space="0"/>
              <w:right w:val="single" w:color="auto" w:sz="4" w:space="0"/>
            </w:tcBorders>
            <w:noWrap w:val="0"/>
            <w:vAlign w:val="center"/>
          </w:tcPr>
          <w:p w14:paraId="59AECA4A">
            <w:pPr>
              <w:jc w:val="center"/>
              <w:rPr>
                <w:color w:val="auto"/>
                <w:sz w:val="24"/>
                <w:szCs w:val="24"/>
                <w:highlight w:val="none"/>
              </w:rPr>
            </w:pPr>
            <w:r>
              <w:rPr>
                <w:rFonts w:hint="eastAsia"/>
                <w:color w:val="auto"/>
                <w:sz w:val="24"/>
                <w:szCs w:val="24"/>
                <w:highlight w:val="none"/>
                <w:lang w:val="en-US" w:eastAsia="zh-CN"/>
              </w:rPr>
              <w:t>物管</w:t>
            </w:r>
            <w:r>
              <w:rPr>
                <w:rFonts w:hint="eastAsia"/>
                <w:color w:val="auto"/>
                <w:sz w:val="24"/>
                <w:szCs w:val="24"/>
                <w:highlight w:val="none"/>
              </w:rPr>
              <w:t>部确认</w:t>
            </w:r>
          </w:p>
        </w:tc>
        <w:tc>
          <w:tcPr>
            <w:tcW w:w="1681" w:type="dxa"/>
            <w:tcBorders>
              <w:top w:val="single" w:color="auto" w:sz="4" w:space="0"/>
              <w:left w:val="nil"/>
              <w:bottom w:val="single" w:color="auto" w:sz="4" w:space="0"/>
              <w:right w:val="single" w:color="auto" w:sz="4" w:space="0"/>
            </w:tcBorders>
            <w:noWrap w:val="0"/>
            <w:vAlign w:val="center"/>
          </w:tcPr>
          <w:p w14:paraId="3A6006DA">
            <w:pPr>
              <w:jc w:val="center"/>
              <w:rPr>
                <w:color w:val="auto"/>
                <w:sz w:val="24"/>
                <w:szCs w:val="24"/>
                <w:highlight w:val="none"/>
              </w:rPr>
            </w:pPr>
          </w:p>
        </w:tc>
        <w:tc>
          <w:tcPr>
            <w:tcW w:w="1400" w:type="dxa"/>
            <w:gridSpan w:val="2"/>
            <w:tcBorders>
              <w:top w:val="single" w:color="auto" w:sz="4" w:space="0"/>
              <w:left w:val="nil"/>
              <w:bottom w:val="single" w:color="auto" w:sz="4" w:space="0"/>
              <w:right w:val="single" w:color="auto" w:sz="4" w:space="0"/>
            </w:tcBorders>
            <w:noWrap w:val="0"/>
            <w:vAlign w:val="center"/>
          </w:tcPr>
          <w:p w14:paraId="528CCB25">
            <w:pPr>
              <w:jc w:val="center"/>
              <w:rPr>
                <w:rFonts w:hint="eastAsia"/>
                <w:color w:val="auto"/>
                <w:sz w:val="24"/>
                <w:szCs w:val="24"/>
                <w:highlight w:val="none"/>
              </w:rPr>
            </w:pPr>
            <w:r>
              <w:rPr>
                <w:rFonts w:hint="eastAsia"/>
                <w:color w:val="auto"/>
                <w:sz w:val="24"/>
                <w:szCs w:val="24"/>
                <w:highlight w:val="none"/>
                <w:lang w:val="en-US" w:eastAsia="zh-CN"/>
              </w:rPr>
              <w:t>片区</w:t>
            </w:r>
            <w:r>
              <w:rPr>
                <w:rFonts w:hint="eastAsia"/>
                <w:color w:val="auto"/>
                <w:sz w:val="24"/>
                <w:szCs w:val="24"/>
                <w:highlight w:val="none"/>
              </w:rPr>
              <w:t>确认</w:t>
            </w:r>
          </w:p>
        </w:tc>
        <w:tc>
          <w:tcPr>
            <w:tcW w:w="1572" w:type="dxa"/>
            <w:tcBorders>
              <w:top w:val="single" w:color="auto" w:sz="4" w:space="0"/>
              <w:left w:val="nil"/>
              <w:bottom w:val="single" w:color="auto" w:sz="4" w:space="0"/>
              <w:right w:val="single" w:color="auto" w:sz="4" w:space="0"/>
            </w:tcBorders>
            <w:noWrap w:val="0"/>
            <w:vAlign w:val="center"/>
          </w:tcPr>
          <w:p w14:paraId="1B8FD91E">
            <w:pPr>
              <w:jc w:val="center"/>
              <w:rPr>
                <w:color w:val="auto"/>
                <w:sz w:val="24"/>
                <w:szCs w:val="24"/>
                <w:highlight w:val="none"/>
              </w:rPr>
            </w:pPr>
          </w:p>
        </w:tc>
        <w:tc>
          <w:tcPr>
            <w:tcW w:w="1454" w:type="dxa"/>
            <w:gridSpan w:val="2"/>
            <w:tcBorders>
              <w:top w:val="single" w:color="auto" w:sz="4" w:space="0"/>
              <w:left w:val="nil"/>
              <w:bottom w:val="single" w:color="auto" w:sz="4" w:space="0"/>
              <w:right w:val="single" w:color="auto" w:sz="4" w:space="0"/>
            </w:tcBorders>
            <w:noWrap w:val="0"/>
            <w:vAlign w:val="center"/>
          </w:tcPr>
          <w:p w14:paraId="51429487">
            <w:pPr>
              <w:jc w:val="both"/>
              <w:rPr>
                <w:rFonts w:hint="default" w:eastAsia="宋体"/>
                <w:color w:val="auto"/>
                <w:sz w:val="24"/>
                <w:szCs w:val="24"/>
                <w:highlight w:val="none"/>
                <w:lang w:val="en-US" w:eastAsia="zh-CN"/>
              </w:rPr>
            </w:pPr>
            <w:r>
              <w:rPr>
                <w:rFonts w:hint="eastAsia"/>
                <w:color w:val="auto"/>
                <w:sz w:val="24"/>
                <w:szCs w:val="24"/>
                <w:highlight w:val="none"/>
                <w:lang w:val="en-US" w:eastAsia="zh-CN"/>
              </w:rPr>
              <w:t>服务处确认</w:t>
            </w:r>
          </w:p>
        </w:tc>
        <w:tc>
          <w:tcPr>
            <w:tcW w:w="1546" w:type="dxa"/>
            <w:gridSpan w:val="2"/>
            <w:tcBorders>
              <w:top w:val="single" w:color="auto" w:sz="4" w:space="0"/>
              <w:left w:val="nil"/>
              <w:bottom w:val="single" w:color="auto" w:sz="4" w:space="0"/>
              <w:right w:val="single" w:color="auto" w:sz="4" w:space="0"/>
            </w:tcBorders>
            <w:noWrap w:val="0"/>
            <w:vAlign w:val="center"/>
          </w:tcPr>
          <w:p w14:paraId="6359D4B9">
            <w:pPr>
              <w:jc w:val="center"/>
              <w:rPr>
                <w:color w:val="auto"/>
                <w:sz w:val="24"/>
                <w:szCs w:val="24"/>
                <w:highlight w:val="none"/>
              </w:rPr>
            </w:pPr>
          </w:p>
        </w:tc>
        <w:tc>
          <w:tcPr>
            <w:tcW w:w="1774" w:type="dxa"/>
            <w:tcBorders>
              <w:top w:val="single" w:color="auto" w:sz="4" w:space="0"/>
              <w:left w:val="nil"/>
              <w:bottom w:val="single" w:color="auto" w:sz="4" w:space="0"/>
              <w:right w:val="single" w:color="auto" w:sz="4" w:space="0"/>
            </w:tcBorders>
            <w:noWrap w:val="0"/>
            <w:vAlign w:val="center"/>
          </w:tcPr>
          <w:p w14:paraId="60735719">
            <w:pPr>
              <w:jc w:val="center"/>
              <w:rPr>
                <w:color w:val="auto"/>
                <w:sz w:val="24"/>
                <w:szCs w:val="24"/>
                <w:highlight w:val="none"/>
              </w:rPr>
            </w:pPr>
            <w:r>
              <w:rPr>
                <w:rFonts w:hint="eastAsia"/>
                <w:color w:val="auto"/>
                <w:sz w:val="24"/>
                <w:szCs w:val="24"/>
                <w:highlight w:val="none"/>
              </w:rPr>
              <w:t>外包单位确认</w:t>
            </w:r>
          </w:p>
        </w:tc>
        <w:tc>
          <w:tcPr>
            <w:tcW w:w="1478" w:type="dxa"/>
            <w:tcBorders>
              <w:top w:val="single" w:color="auto" w:sz="4" w:space="0"/>
              <w:left w:val="nil"/>
              <w:bottom w:val="single" w:color="auto" w:sz="4" w:space="0"/>
              <w:right w:val="single" w:color="auto" w:sz="4" w:space="0"/>
            </w:tcBorders>
            <w:noWrap w:val="0"/>
            <w:vAlign w:val="center"/>
          </w:tcPr>
          <w:p w14:paraId="7F23A4F3">
            <w:pPr>
              <w:jc w:val="center"/>
              <w:rPr>
                <w:color w:val="auto"/>
                <w:sz w:val="24"/>
                <w:szCs w:val="24"/>
                <w:highlight w:val="none"/>
              </w:rPr>
            </w:pPr>
          </w:p>
        </w:tc>
      </w:tr>
    </w:tbl>
    <w:p w14:paraId="521624FC">
      <w:pPr>
        <w:pStyle w:val="15"/>
        <w:rPr>
          <w:color w:val="auto"/>
          <w:highlight w:val="none"/>
        </w:rPr>
        <w:sectPr>
          <w:headerReference r:id="rId27" w:type="first"/>
          <w:footerReference r:id="rId30" w:type="first"/>
          <w:headerReference r:id="rId25" w:type="default"/>
          <w:footerReference r:id="rId28" w:type="default"/>
          <w:headerReference r:id="rId26" w:type="even"/>
          <w:footerReference r:id="rId29" w:type="even"/>
          <w:footnotePr>
            <w:pos w:val="beneathText"/>
          </w:footnotePr>
          <w:pgSz w:w="16490" w:h="11560"/>
          <w:pgMar w:top="479" w:right="374" w:bottom="631" w:left="25" w:header="0" w:footer="382" w:gutter="0"/>
          <w:pgNumType w:fmt="decimal"/>
          <w:cols w:space="720" w:num="1"/>
          <w:docGrid w:linePitch="360" w:charSpace="0"/>
        </w:sectPr>
      </w:pPr>
    </w:p>
    <w:p w14:paraId="63893553">
      <w:pPr>
        <w:spacing w:before="135" w:line="313" w:lineRule="exact"/>
        <w:ind w:firstLine="1574"/>
        <w:rPr>
          <w:color w:val="auto"/>
          <w:highlight w:val="none"/>
        </w:rPr>
      </w:pPr>
    </w:p>
    <w:p w14:paraId="7385C320">
      <w:pPr>
        <w:spacing w:before="135" w:line="218" w:lineRule="auto"/>
        <w:ind w:left="148"/>
        <w:rPr>
          <w:rFonts w:ascii="宋体" w:hAnsi="宋体" w:cs="宋体"/>
          <w:color w:val="auto"/>
          <w:sz w:val="25"/>
          <w:szCs w:val="25"/>
          <w:highlight w:val="none"/>
        </w:rPr>
      </w:pPr>
      <w:r>
        <w:rPr>
          <w:color w:val="auto"/>
          <w:highlight w:val="none"/>
        </w:rPr>
        <mc:AlternateContent>
          <mc:Choice Requires="wps">
            <w:drawing>
              <wp:anchor distT="0" distB="0" distL="114935" distR="114935" simplePos="0" relativeHeight="251659264" behindDoc="0" locked="0" layoutInCell="0" allowOverlap="1">
                <wp:simplePos x="0" y="0"/>
                <wp:positionH relativeFrom="column">
                  <wp:posOffset>5486400</wp:posOffset>
                </wp:positionH>
                <wp:positionV relativeFrom="paragraph">
                  <wp:posOffset>510540</wp:posOffset>
                </wp:positionV>
                <wp:extent cx="4222115" cy="5480050"/>
                <wp:effectExtent l="0" t="0" r="0" b="0"/>
                <wp:wrapNone/>
                <wp:docPr id="5" name="文本框 2"/>
                <wp:cNvGraphicFramePr/>
                <a:graphic xmlns:a="http://schemas.openxmlformats.org/drawingml/2006/main">
                  <a:graphicData uri="http://schemas.microsoft.com/office/word/2010/wordprocessingShape">
                    <wps:wsp>
                      <wps:cNvSpPr txBox="1"/>
                      <wps:spPr>
                        <a:xfrm>
                          <a:off x="0" y="0"/>
                          <a:ext cx="4222115" cy="5480050"/>
                        </a:xfrm>
                        <a:prstGeom prst="rect">
                          <a:avLst/>
                        </a:prstGeom>
                        <a:solidFill>
                          <a:srgbClr val="FFFFFF">
                            <a:alpha val="0"/>
                          </a:srgbClr>
                        </a:solidFill>
                        <a:ln>
                          <a:noFill/>
                        </a:ln>
                      </wps:spPr>
                      <wps:txbx>
                        <w:txbxContent>
                          <w:p w14:paraId="3A008C89">
                            <w:pPr>
                              <w:spacing w:line="20" w:lineRule="exact"/>
                            </w:pPr>
                          </w:p>
                          <w:tbl>
                            <w:tblPr>
                              <w:tblStyle w:val="42"/>
                              <w:tblW w:w="0" w:type="auto"/>
                              <w:tblInd w:w="25" w:type="dxa"/>
                              <w:tblLayout w:type="fixed"/>
                              <w:tblCellMar>
                                <w:top w:w="0" w:type="dxa"/>
                                <w:left w:w="0" w:type="dxa"/>
                                <w:bottom w:w="0" w:type="dxa"/>
                                <w:right w:w="0" w:type="dxa"/>
                              </w:tblCellMar>
                            </w:tblPr>
                            <w:tblGrid>
                              <w:gridCol w:w="1832"/>
                              <w:gridCol w:w="1617"/>
                              <w:gridCol w:w="1198"/>
                              <w:gridCol w:w="1952"/>
                            </w:tblGrid>
                            <w:tr w14:paraId="5D1AB0C5">
                              <w:tblPrEx>
                                <w:tblCellMar>
                                  <w:top w:w="0" w:type="dxa"/>
                                  <w:left w:w="0" w:type="dxa"/>
                                  <w:bottom w:w="0" w:type="dxa"/>
                                  <w:right w:w="0" w:type="dxa"/>
                                </w:tblCellMar>
                              </w:tblPrEx>
                              <w:trPr>
                                <w:trHeight w:val="854" w:hRule="atLeast"/>
                              </w:trPr>
                              <w:tc>
                                <w:tcPr>
                                  <w:tcW w:w="6599" w:type="dxa"/>
                                  <w:gridSpan w:val="4"/>
                                  <w:tcBorders>
                                    <w:top w:val="single" w:color="000000" w:sz="4" w:space="0"/>
                                    <w:left w:val="single" w:color="000000" w:sz="4" w:space="0"/>
                                    <w:bottom w:val="single" w:color="000000" w:sz="4" w:space="0"/>
                                    <w:right w:val="single" w:color="000000" w:sz="4" w:space="0"/>
                                  </w:tcBorders>
                                  <w:noWrap w:val="0"/>
                                  <w:vAlign w:val="top"/>
                                </w:tcPr>
                                <w:p w14:paraId="3E6E1C37">
                                  <w:pPr>
                                    <w:pStyle w:val="95"/>
                                    <w:tabs>
                                      <w:tab w:val="left" w:pos="1493"/>
                                    </w:tabs>
                                    <w:spacing w:before="306" w:line="211" w:lineRule="auto"/>
                                    <w:ind w:left="895"/>
                                  </w:pPr>
                                  <w:r>
                                    <w:rPr>
                                      <w:sz w:val="24"/>
                                      <w:szCs w:val="24"/>
                                      <w:u w:val="single"/>
                                    </w:rPr>
                                    <w:tab/>
                                  </w:r>
                                  <w:r>
                                    <w:rPr>
                                      <w:spacing w:val="-1"/>
                                      <w:sz w:val="24"/>
                                      <w:szCs w:val="24"/>
                                    </w:rPr>
                                    <w:t>项目</w:t>
                                  </w:r>
                                  <w:r>
                                    <w:rPr>
                                      <w:rFonts w:hint="eastAsia"/>
                                      <w:spacing w:val="-1"/>
                                      <w:sz w:val="24"/>
                                      <w:szCs w:val="24"/>
                                      <w:u w:val="single"/>
                                      <w:lang w:val="en-US" w:eastAsia="zh-CN"/>
                                    </w:rPr>
                                    <w:t xml:space="preserve">     </w:t>
                                  </w:r>
                                  <w:r>
                                    <w:rPr>
                                      <w:spacing w:val="-1"/>
                                      <w:sz w:val="24"/>
                                      <w:szCs w:val="24"/>
                                    </w:rPr>
                                    <w:t>年_</w:t>
                                  </w:r>
                                  <w:r>
                                    <w:rPr>
                                      <w:spacing w:val="-92"/>
                                      <w:sz w:val="24"/>
                                      <w:szCs w:val="24"/>
                                    </w:rPr>
                                    <w:t xml:space="preserve"> </w:t>
                                  </w:r>
                                  <w:r>
                                    <w:rPr>
                                      <w:sz w:val="24"/>
                                      <w:szCs w:val="24"/>
                                      <w:u w:val="single"/>
                                    </w:rPr>
                                    <w:t xml:space="preserve">    </w:t>
                                  </w:r>
                                  <w:r>
                                    <w:rPr>
                                      <w:spacing w:val="-120"/>
                                      <w:sz w:val="24"/>
                                      <w:szCs w:val="24"/>
                                    </w:rPr>
                                    <w:t xml:space="preserve"> </w:t>
                                  </w:r>
                                  <w:r>
                                    <w:rPr>
                                      <w:spacing w:val="-1"/>
                                      <w:sz w:val="24"/>
                                      <w:szCs w:val="24"/>
                                    </w:rPr>
                                    <w:t>月维序人员计划确认单</w:t>
                                  </w:r>
                                </w:p>
                              </w:tc>
                            </w:tr>
                            <w:tr w14:paraId="366F2639">
                              <w:tblPrEx>
                                <w:tblCellMar>
                                  <w:top w:w="0" w:type="dxa"/>
                                  <w:left w:w="0" w:type="dxa"/>
                                  <w:bottom w:w="0" w:type="dxa"/>
                                  <w:right w:w="0" w:type="dxa"/>
                                </w:tblCellMar>
                              </w:tblPrEx>
                              <w:trPr>
                                <w:trHeight w:val="609" w:hRule="atLeast"/>
                              </w:trPr>
                              <w:tc>
                                <w:tcPr>
                                  <w:tcW w:w="1832" w:type="dxa"/>
                                  <w:tcBorders>
                                    <w:top w:val="single" w:color="000000" w:sz="4" w:space="0"/>
                                    <w:left w:val="single" w:color="000000" w:sz="4" w:space="0"/>
                                    <w:bottom w:val="single" w:color="000000" w:sz="4" w:space="0"/>
                                    <w:right w:val="single" w:color="000000" w:sz="4" w:space="0"/>
                                  </w:tcBorders>
                                  <w:noWrap w:val="0"/>
                                  <w:vAlign w:val="top"/>
                                </w:tcPr>
                                <w:p w14:paraId="000542F0">
                                  <w:pPr>
                                    <w:pStyle w:val="95"/>
                                    <w:spacing w:before="189" w:line="218" w:lineRule="auto"/>
                                    <w:ind w:left="94"/>
                                  </w:pPr>
                                  <w:r>
                                    <w:rPr>
                                      <w:sz w:val="24"/>
                                      <w:szCs w:val="24"/>
                                    </w:rPr>
                                    <w:t>供方单位：</w:t>
                                  </w:r>
                                </w:p>
                              </w:tc>
                              <w:tc>
                                <w:tcPr>
                                  <w:tcW w:w="4767" w:type="dxa"/>
                                  <w:gridSpan w:val="3"/>
                                  <w:tcBorders>
                                    <w:top w:val="single" w:color="000000" w:sz="4" w:space="0"/>
                                    <w:left w:val="single" w:color="000000" w:sz="4" w:space="0"/>
                                    <w:bottom w:val="single" w:color="000000" w:sz="4" w:space="0"/>
                                    <w:right w:val="single" w:color="000000" w:sz="4" w:space="0"/>
                                  </w:tcBorders>
                                  <w:noWrap w:val="0"/>
                                  <w:vAlign w:val="top"/>
                                </w:tcPr>
                                <w:p w14:paraId="0E9EC68B">
                                  <w:pPr>
                                    <w:snapToGrid w:val="0"/>
                                    <w:rPr>
                                      <w:rFonts w:ascii="Arial" w:hAnsi="Arial"/>
                                      <w:sz w:val="24"/>
                                    </w:rPr>
                                  </w:pPr>
                                </w:p>
                              </w:tc>
                            </w:tr>
                            <w:tr w14:paraId="40106CDB">
                              <w:tblPrEx>
                                <w:tblCellMar>
                                  <w:top w:w="0" w:type="dxa"/>
                                  <w:left w:w="0" w:type="dxa"/>
                                  <w:bottom w:w="0" w:type="dxa"/>
                                  <w:right w:w="0" w:type="dxa"/>
                                </w:tblCellMar>
                              </w:tblPrEx>
                              <w:trPr>
                                <w:trHeight w:val="619" w:hRule="atLeast"/>
                              </w:trPr>
                              <w:tc>
                                <w:tcPr>
                                  <w:tcW w:w="1832" w:type="dxa"/>
                                  <w:tcBorders>
                                    <w:top w:val="single" w:color="000000" w:sz="4" w:space="0"/>
                                    <w:left w:val="single" w:color="000000" w:sz="4" w:space="0"/>
                                    <w:bottom w:val="single" w:color="000000" w:sz="4" w:space="0"/>
                                    <w:right w:val="single" w:color="000000" w:sz="4" w:space="0"/>
                                  </w:tcBorders>
                                  <w:noWrap w:val="0"/>
                                  <w:vAlign w:val="top"/>
                                </w:tcPr>
                                <w:p w14:paraId="3457CF1C">
                                  <w:pPr>
                                    <w:pStyle w:val="95"/>
                                    <w:spacing w:before="192" w:line="218" w:lineRule="auto"/>
                                    <w:ind w:left="94"/>
                                  </w:pPr>
                                  <w:r>
                                    <w:rPr>
                                      <w:spacing w:val="2"/>
                                      <w:sz w:val="24"/>
                                      <w:szCs w:val="24"/>
                                    </w:rPr>
                                    <w:t>人员需求类型</w:t>
                                  </w:r>
                                </w:p>
                              </w:tc>
                              <w:tc>
                                <w:tcPr>
                                  <w:tcW w:w="4767" w:type="dxa"/>
                                  <w:gridSpan w:val="3"/>
                                  <w:tcBorders>
                                    <w:top w:val="single" w:color="000000" w:sz="4" w:space="0"/>
                                    <w:left w:val="single" w:color="000000" w:sz="4" w:space="0"/>
                                    <w:bottom w:val="single" w:color="000000" w:sz="4" w:space="0"/>
                                    <w:right w:val="single" w:color="000000" w:sz="4" w:space="0"/>
                                  </w:tcBorders>
                                  <w:noWrap w:val="0"/>
                                  <w:vAlign w:val="top"/>
                                </w:tcPr>
                                <w:p w14:paraId="67F043A8">
                                  <w:pPr>
                                    <w:pStyle w:val="95"/>
                                    <w:spacing w:before="192" w:line="218" w:lineRule="auto"/>
                                    <w:ind w:left="1122"/>
                                  </w:pPr>
                                  <w:r>
                                    <w:rPr>
                                      <w:sz w:val="24"/>
                                      <w:szCs w:val="24"/>
                                    </w:rPr>
                                    <w:t>口普通岗位□特殊岗位</w:t>
                                  </w:r>
                                </w:p>
                              </w:tc>
                            </w:tr>
                            <w:tr w14:paraId="3514E76E">
                              <w:tblPrEx>
                                <w:tblCellMar>
                                  <w:top w:w="0" w:type="dxa"/>
                                  <w:left w:w="0" w:type="dxa"/>
                                  <w:bottom w:w="0" w:type="dxa"/>
                                  <w:right w:w="0" w:type="dxa"/>
                                </w:tblCellMar>
                              </w:tblPrEx>
                              <w:trPr>
                                <w:trHeight w:val="609" w:hRule="atLeast"/>
                              </w:trPr>
                              <w:tc>
                                <w:tcPr>
                                  <w:tcW w:w="1832" w:type="dxa"/>
                                  <w:tcBorders>
                                    <w:top w:val="single" w:color="000000" w:sz="4" w:space="0"/>
                                    <w:left w:val="single" w:color="000000" w:sz="4" w:space="0"/>
                                    <w:bottom w:val="single" w:color="000000" w:sz="4" w:space="0"/>
                                    <w:right w:val="single" w:color="000000" w:sz="4" w:space="0"/>
                                  </w:tcBorders>
                                  <w:noWrap w:val="0"/>
                                  <w:vAlign w:val="top"/>
                                </w:tcPr>
                                <w:p w14:paraId="15FB8F56">
                                  <w:pPr>
                                    <w:pStyle w:val="95"/>
                                    <w:spacing w:before="193" w:line="218" w:lineRule="auto"/>
                                    <w:ind w:left="94"/>
                                  </w:pPr>
                                  <w:r>
                                    <w:rPr>
                                      <w:spacing w:val="5"/>
                                      <w:sz w:val="24"/>
                                      <w:szCs w:val="24"/>
                                    </w:rPr>
                                    <w:t>到岗时间</w:t>
                                  </w:r>
                                </w:p>
                              </w:tc>
                              <w:tc>
                                <w:tcPr>
                                  <w:tcW w:w="4767" w:type="dxa"/>
                                  <w:gridSpan w:val="3"/>
                                  <w:tcBorders>
                                    <w:top w:val="single" w:color="000000" w:sz="4" w:space="0"/>
                                    <w:left w:val="single" w:color="000000" w:sz="4" w:space="0"/>
                                    <w:bottom w:val="single" w:color="000000" w:sz="4" w:space="0"/>
                                    <w:right w:val="single" w:color="000000" w:sz="4" w:space="0"/>
                                  </w:tcBorders>
                                  <w:noWrap w:val="0"/>
                                  <w:vAlign w:val="top"/>
                                </w:tcPr>
                                <w:p w14:paraId="60AAE4E1">
                                  <w:pPr>
                                    <w:snapToGrid w:val="0"/>
                                    <w:rPr>
                                      <w:rFonts w:ascii="Arial" w:hAnsi="Arial"/>
                                      <w:sz w:val="24"/>
                                    </w:rPr>
                                  </w:pPr>
                                </w:p>
                              </w:tc>
                            </w:tr>
                            <w:tr w14:paraId="08743F3A">
                              <w:tblPrEx>
                                <w:tblCellMar>
                                  <w:top w:w="0" w:type="dxa"/>
                                  <w:left w:w="0" w:type="dxa"/>
                                  <w:bottom w:w="0" w:type="dxa"/>
                                  <w:right w:w="0" w:type="dxa"/>
                                </w:tblCellMar>
                              </w:tblPrEx>
                              <w:trPr>
                                <w:trHeight w:val="2697" w:hRule="atLeast"/>
                              </w:trPr>
                              <w:tc>
                                <w:tcPr>
                                  <w:tcW w:w="1832" w:type="dxa"/>
                                  <w:tcBorders>
                                    <w:top w:val="single" w:color="000000" w:sz="4" w:space="0"/>
                                    <w:left w:val="single" w:color="000000" w:sz="4" w:space="0"/>
                                    <w:bottom w:val="single" w:color="000000" w:sz="4" w:space="0"/>
                                    <w:right w:val="single" w:color="000000" w:sz="4" w:space="0"/>
                                  </w:tcBorders>
                                  <w:noWrap w:val="0"/>
                                  <w:vAlign w:val="top"/>
                                </w:tcPr>
                                <w:p w14:paraId="2F62825B">
                                  <w:pPr>
                                    <w:snapToGrid w:val="0"/>
                                    <w:spacing w:line="285" w:lineRule="auto"/>
                                    <w:rPr>
                                      <w:rFonts w:ascii="Arial" w:hAnsi="Arial"/>
                                    </w:rPr>
                                  </w:pPr>
                                </w:p>
                                <w:p w14:paraId="1EDD7403">
                                  <w:pPr>
                                    <w:spacing w:line="285" w:lineRule="auto"/>
                                    <w:rPr>
                                      <w:rFonts w:ascii="Arial" w:hAnsi="Arial"/>
                                    </w:rPr>
                                  </w:pPr>
                                </w:p>
                                <w:p w14:paraId="276CF292">
                                  <w:pPr>
                                    <w:spacing w:line="285" w:lineRule="auto"/>
                                    <w:rPr>
                                      <w:rFonts w:ascii="Arial" w:hAnsi="Arial"/>
                                    </w:rPr>
                                  </w:pPr>
                                </w:p>
                                <w:p w14:paraId="44BDC35D">
                                  <w:pPr>
                                    <w:spacing w:line="288" w:lineRule="auto"/>
                                    <w:rPr>
                                      <w:rFonts w:ascii="Arial" w:hAnsi="Arial"/>
                                    </w:rPr>
                                  </w:pPr>
                                </w:p>
                                <w:p w14:paraId="526F7172">
                                  <w:pPr>
                                    <w:pStyle w:val="95"/>
                                    <w:spacing w:before="78" w:line="218" w:lineRule="auto"/>
                                    <w:ind w:left="404"/>
                                  </w:pPr>
                                  <w:r>
                                    <w:rPr>
                                      <w:spacing w:val="2"/>
                                      <w:sz w:val="24"/>
                                      <w:szCs w:val="24"/>
                                    </w:rPr>
                                    <w:t>人数需求</w:t>
                                  </w:r>
                                </w:p>
                              </w:tc>
                              <w:tc>
                                <w:tcPr>
                                  <w:tcW w:w="4767" w:type="dxa"/>
                                  <w:gridSpan w:val="3"/>
                                  <w:tcBorders>
                                    <w:top w:val="single" w:color="000000" w:sz="4" w:space="0"/>
                                    <w:left w:val="single" w:color="000000" w:sz="4" w:space="0"/>
                                    <w:bottom w:val="single" w:color="000000" w:sz="4" w:space="0"/>
                                    <w:right w:val="single" w:color="000000" w:sz="4" w:space="0"/>
                                  </w:tcBorders>
                                  <w:noWrap w:val="0"/>
                                  <w:vAlign w:val="top"/>
                                </w:tcPr>
                                <w:p w14:paraId="341D7287">
                                  <w:pPr>
                                    <w:snapToGrid w:val="0"/>
                                    <w:rPr>
                                      <w:rFonts w:ascii="Arial" w:hAnsi="Arial"/>
                                      <w:sz w:val="24"/>
                                    </w:rPr>
                                  </w:pPr>
                                </w:p>
                              </w:tc>
                            </w:tr>
                            <w:tr w14:paraId="231F5A3E">
                              <w:tblPrEx>
                                <w:tblCellMar>
                                  <w:top w:w="0" w:type="dxa"/>
                                  <w:left w:w="0" w:type="dxa"/>
                                  <w:bottom w:w="0" w:type="dxa"/>
                                  <w:right w:w="0" w:type="dxa"/>
                                </w:tblCellMar>
                              </w:tblPrEx>
                              <w:trPr>
                                <w:trHeight w:val="1089" w:hRule="atLeast"/>
                              </w:trPr>
                              <w:tc>
                                <w:tcPr>
                                  <w:tcW w:w="6599" w:type="dxa"/>
                                  <w:gridSpan w:val="4"/>
                                  <w:tcBorders>
                                    <w:top w:val="single" w:color="000000" w:sz="4" w:space="0"/>
                                    <w:left w:val="single" w:color="000000" w:sz="4" w:space="0"/>
                                    <w:bottom w:val="single" w:color="000000" w:sz="4" w:space="0"/>
                                    <w:right w:val="single" w:color="000000" w:sz="4" w:space="0"/>
                                  </w:tcBorders>
                                  <w:noWrap w:val="0"/>
                                  <w:vAlign w:val="top"/>
                                </w:tcPr>
                                <w:p w14:paraId="6B8DE413">
                                  <w:pPr>
                                    <w:pStyle w:val="95"/>
                                    <w:spacing w:before="257" w:line="218" w:lineRule="auto"/>
                                    <w:ind w:left="175"/>
                                    <w:rPr>
                                      <w:spacing w:val="5"/>
                                      <w:sz w:val="24"/>
                                      <w:szCs w:val="24"/>
                                    </w:rPr>
                                  </w:pPr>
                                  <w:r>
                                    <w:rPr>
                                      <w:sz w:val="24"/>
                                      <w:szCs w:val="24"/>
                                    </w:rPr>
                                    <w:t>请贵司在签署人员需求计划确认单后，尽快做好人员配置工</w:t>
                                  </w:r>
                                </w:p>
                                <w:p w14:paraId="668B527D">
                                  <w:pPr>
                                    <w:pStyle w:val="95"/>
                                    <w:spacing w:before="15" w:line="218" w:lineRule="auto"/>
                                    <w:ind w:left="2275"/>
                                  </w:pPr>
                                  <w:r>
                                    <w:rPr>
                                      <w:spacing w:val="5"/>
                                      <w:sz w:val="24"/>
                                      <w:szCs w:val="24"/>
                                    </w:rPr>
                                    <w:t>作，并以此为存证!</w:t>
                                  </w:r>
                                </w:p>
                              </w:tc>
                            </w:tr>
                            <w:tr w14:paraId="3B08483D">
                              <w:tblPrEx>
                                <w:tblCellMar>
                                  <w:top w:w="0" w:type="dxa"/>
                                  <w:left w:w="0" w:type="dxa"/>
                                  <w:bottom w:w="0" w:type="dxa"/>
                                  <w:right w:w="0" w:type="dxa"/>
                                </w:tblCellMar>
                              </w:tblPrEx>
                              <w:trPr>
                                <w:trHeight w:val="619" w:hRule="atLeast"/>
                              </w:trPr>
                              <w:tc>
                                <w:tcPr>
                                  <w:tcW w:w="1832" w:type="dxa"/>
                                  <w:tcBorders>
                                    <w:top w:val="single" w:color="000000" w:sz="4" w:space="0"/>
                                    <w:left w:val="single" w:color="000000" w:sz="4" w:space="0"/>
                                    <w:bottom w:val="single" w:color="000000" w:sz="4" w:space="0"/>
                                    <w:right w:val="single" w:color="000000" w:sz="4" w:space="0"/>
                                  </w:tcBorders>
                                  <w:noWrap w:val="0"/>
                                  <w:vAlign w:val="top"/>
                                </w:tcPr>
                                <w:p w14:paraId="55653F7D">
                                  <w:pPr>
                                    <w:pStyle w:val="95"/>
                                    <w:spacing w:before="198" w:line="218" w:lineRule="auto"/>
                                    <w:ind w:left="505"/>
                                  </w:pPr>
                                  <w:r>
                                    <w:rPr>
                                      <w:spacing w:val="3"/>
                                      <w:sz w:val="24"/>
                                      <w:szCs w:val="24"/>
                                    </w:rPr>
                                    <w:t>制表人</w:t>
                                  </w:r>
                                </w:p>
                              </w:tc>
                              <w:tc>
                                <w:tcPr>
                                  <w:tcW w:w="1617" w:type="dxa"/>
                                  <w:tcBorders>
                                    <w:top w:val="single" w:color="000000" w:sz="4" w:space="0"/>
                                    <w:left w:val="single" w:color="000000" w:sz="4" w:space="0"/>
                                    <w:bottom w:val="single" w:color="000000" w:sz="4" w:space="0"/>
                                    <w:right w:val="single" w:color="000000" w:sz="4" w:space="0"/>
                                  </w:tcBorders>
                                  <w:noWrap w:val="0"/>
                                  <w:vAlign w:val="top"/>
                                </w:tcPr>
                                <w:p w14:paraId="2C729F7D">
                                  <w:pPr>
                                    <w:snapToGrid w:val="0"/>
                                    <w:rPr>
                                      <w:rFonts w:ascii="Arial" w:hAnsi="Arial"/>
                                      <w:sz w:val="24"/>
                                    </w:rPr>
                                  </w:pPr>
                                </w:p>
                              </w:tc>
                              <w:tc>
                                <w:tcPr>
                                  <w:tcW w:w="1198" w:type="dxa"/>
                                  <w:tcBorders>
                                    <w:top w:val="single" w:color="000000" w:sz="4" w:space="0"/>
                                    <w:left w:val="single" w:color="000000" w:sz="4" w:space="0"/>
                                    <w:bottom w:val="single" w:color="000000" w:sz="4" w:space="0"/>
                                    <w:right w:val="single" w:color="000000" w:sz="4" w:space="0"/>
                                  </w:tcBorders>
                                  <w:noWrap w:val="0"/>
                                  <w:vAlign w:val="top"/>
                                </w:tcPr>
                                <w:p w14:paraId="779E0161">
                                  <w:pPr>
                                    <w:pStyle w:val="95"/>
                                    <w:spacing w:before="198" w:line="218" w:lineRule="auto"/>
                                    <w:ind w:left="255"/>
                                  </w:pPr>
                                  <w:r>
                                    <w:rPr>
                                      <w:spacing w:val="3"/>
                                      <w:sz w:val="24"/>
                                      <w:szCs w:val="24"/>
                                    </w:rPr>
                                    <w:t>责任人</w:t>
                                  </w:r>
                                </w:p>
                              </w:tc>
                              <w:tc>
                                <w:tcPr>
                                  <w:tcW w:w="1952" w:type="dxa"/>
                                  <w:tcBorders>
                                    <w:top w:val="single" w:color="000000" w:sz="4" w:space="0"/>
                                    <w:left w:val="single" w:color="000000" w:sz="4" w:space="0"/>
                                    <w:bottom w:val="single" w:color="000000" w:sz="4" w:space="0"/>
                                    <w:right w:val="single" w:color="000000" w:sz="4" w:space="0"/>
                                  </w:tcBorders>
                                  <w:noWrap w:val="0"/>
                                  <w:vAlign w:val="top"/>
                                </w:tcPr>
                                <w:p w14:paraId="58BB52D7">
                                  <w:pPr>
                                    <w:snapToGrid w:val="0"/>
                                    <w:rPr>
                                      <w:rFonts w:ascii="Arial" w:hAnsi="Arial"/>
                                      <w:sz w:val="24"/>
                                    </w:rPr>
                                  </w:pPr>
                                </w:p>
                              </w:tc>
                            </w:tr>
                            <w:tr w14:paraId="0B890C37">
                              <w:tblPrEx>
                                <w:tblCellMar>
                                  <w:top w:w="0" w:type="dxa"/>
                                  <w:left w:w="0" w:type="dxa"/>
                                  <w:bottom w:w="0" w:type="dxa"/>
                                  <w:right w:w="0" w:type="dxa"/>
                                </w:tblCellMar>
                              </w:tblPrEx>
                              <w:trPr>
                                <w:trHeight w:val="1404" w:hRule="atLeast"/>
                              </w:trPr>
                              <w:tc>
                                <w:tcPr>
                                  <w:tcW w:w="1832" w:type="dxa"/>
                                  <w:tcBorders>
                                    <w:top w:val="single" w:color="000000" w:sz="4" w:space="0"/>
                                    <w:left w:val="single" w:color="000000" w:sz="4" w:space="0"/>
                                    <w:bottom w:val="single" w:color="000000" w:sz="4" w:space="0"/>
                                    <w:right w:val="single" w:color="000000" w:sz="4" w:space="0"/>
                                  </w:tcBorders>
                                  <w:noWrap w:val="0"/>
                                  <w:vAlign w:val="top"/>
                                </w:tcPr>
                                <w:p w14:paraId="3F7C1E79">
                                  <w:pPr>
                                    <w:snapToGrid w:val="0"/>
                                    <w:spacing w:line="252" w:lineRule="auto"/>
                                    <w:rPr>
                                      <w:rFonts w:ascii="Arial" w:hAnsi="Arial"/>
                                    </w:rPr>
                                  </w:pPr>
                                </w:p>
                                <w:p w14:paraId="40437EC2">
                                  <w:pPr>
                                    <w:spacing w:line="252" w:lineRule="auto"/>
                                    <w:rPr>
                                      <w:rFonts w:ascii="Arial" w:hAnsi="Arial"/>
                                    </w:rPr>
                                  </w:pPr>
                                </w:p>
                                <w:p w14:paraId="788C74AA">
                                  <w:pPr>
                                    <w:pStyle w:val="95"/>
                                    <w:spacing w:before="78" w:line="218" w:lineRule="auto"/>
                                    <w:ind w:left="94"/>
                                  </w:pPr>
                                  <w:r>
                                    <w:rPr>
                                      <w:spacing w:val="2"/>
                                      <w:sz w:val="24"/>
                                      <w:szCs w:val="24"/>
                                    </w:rPr>
                                    <w:t>供方单位确认</w:t>
                                  </w:r>
                                </w:p>
                              </w:tc>
                              <w:tc>
                                <w:tcPr>
                                  <w:tcW w:w="4767" w:type="dxa"/>
                                  <w:gridSpan w:val="3"/>
                                  <w:tcBorders>
                                    <w:top w:val="single" w:color="000000" w:sz="4" w:space="0"/>
                                    <w:left w:val="single" w:color="000000" w:sz="4" w:space="0"/>
                                    <w:bottom w:val="single" w:color="000000" w:sz="4" w:space="0"/>
                                    <w:right w:val="single" w:color="000000" w:sz="4" w:space="0"/>
                                  </w:tcBorders>
                                  <w:noWrap w:val="0"/>
                                  <w:vAlign w:val="top"/>
                                </w:tcPr>
                                <w:p w14:paraId="12271C77">
                                  <w:pPr>
                                    <w:snapToGrid w:val="0"/>
                                    <w:rPr>
                                      <w:rFonts w:ascii="Arial" w:hAnsi="Arial"/>
                                      <w:sz w:val="24"/>
                                    </w:rPr>
                                  </w:pPr>
                                </w:p>
                              </w:tc>
                            </w:tr>
                          </w:tbl>
                          <w:p w14:paraId="05373324">
                            <w:pPr>
                              <w:pStyle w:val="15"/>
                            </w:pPr>
                          </w:p>
                        </w:txbxContent>
                      </wps:txbx>
                      <wps:bodyPr wrap="square" lIns="635" tIns="635" rIns="635" bIns="635" upright="1"/>
                    </wps:wsp>
                  </a:graphicData>
                </a:graphic>
              </wp:anchor>
            </w:drawing>
          </mc:Choice>
          <mc:Fallback>
            <w:pict>
              <v:shape id="文本框 2" o:spid="_x0000_s1026" o:spt="202" type="#_x0000_t202" style="position:absolute;left:0pt;margin-left:432pt;margin-top:40.2pt;height:431.5pt;width:332.45pt;z-index:251659264;mso-width-relative:page;mso-height-relative:page;" fillcolor="#FFFFFF" filled="t" stroked="f" coordsize="21600,21600" o:allowincell="f" o:gfxdata="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">
                <v:fill on="t" opacity="0f" focussize="0,0"/>
                <v:stroke on="f"/>
                <v:imagedata o:title=""/>
                <o:lock v:ext="edit" aspectratio="f"/>
                <v:textbox inset="0.05pt,0.05pt,0.05pt,0.05pt">
                  <w:txbxContent>
                    <w:p w14:paraId="3A008C89">
                      <w:pPr>
                        <w:spacing w:line="20" w:lineRule="exact"/>
                      </w:pPr>
                    </w:p>
                    <w:tbl>
                      <w:tblPr>
                        <w:tblStyle w:val="42"/>
                        <w:tblW w:w="0" w:type="auto"/>
                        <w:tblInd w:w="25" w:type="dxa"/>
                        <w:tblLayout w:type="fixed"/>
                        <w:tblCellMar>
                          <w:top w:w="0" w:type="dxa"/>
                          <w:left w:w="0" w:type="dxa"/>
                          <w:bottom w:w="0" w:type="dxa"/>
                          <w:right w:w="0" w:type="dxa"/>
                        </w:tblCellMar>
                      </w:tblPr>
                      <w:tblGrid>
                        <w:gridCol w:w="1832"/>
                        <w:gridCol w:w="1617"/>
                        <w:gridCol w:w="1198"/>
                        <w:gridCol w:w="1952"/>
                      </w:tblGrid>
                      <w:tr w14:paraId="5D1AB0C5">
                        <w:tblPrEx>
                          <w:tblCellMar>
                            <w:top w:w="0" w:type="dxa"/>
                            <w:left w:w="0" w:type="dxa"/>
                            <w:bottom w:w="0" w:type="dxa"/>
                            <w:right w:w="0" w:type="dxa"/>
                          </w:tblCellMar>
                        </w:tblPrEx>
                        <w:trPr>
                          <w:trHeight w:val="854" w:hRule="atLeast"/>
                        </w:trPr>
                        <w:tc>
                          <w:tcPr>
                            <w:tcW w:w="6599" w:type="dxa"/>
                            <w:gridSpan w:val="4"/>
                            <w:tcBorders>
                              <w:top w:val="single" w:color="000000" w:sz="4" w:space="0"/>
                              <w:left w:val="single" w:color="000000" w:sz="4" w:space="0"/>
                              <w:bottom w:val="single" w:color="000000" w:sz="4" w:space="0"/>
                              <w:right w:val="single" w:color="000000" w:sz="4" w:space="0"/>
                            </w:tcBorders>
                            <w:noWrap w:val="0"/>
                            <w:vAlign w:val="top"/>
                          </w:tcPr>
                          <w:p w14:paraId="3E6E1C37">
                            <w:pPr>
                              <w:pStyle w:val="95"/>
                              <w:tabs>
                                <w:tab w:val="left" w:pos="1493"/>
                              </w:tabs>
                              <w:spacing w:before="306" w:line="211" w:lineRule="auto"/>
                              <w:ind w:left="895"/>
                            </w:pPr>
                            <w:r>
                              <w:rPr>
                                <w:sz w:val="24"/>
                                <w:szCs w:val="24"/>
                                <w:u w:val="single"/>
                              </w:rPr>
                              <w:tab/>
                            </w:r>
                            <w:r>
                              <w:rPr>
                                <w:spacing w:val="-1"/>
                                <w:sz w:val="24"/>
                                <w:szCs w:val="24"/>
                              </w:rPr>
                              <w:t>项目</w:t>
                            </w:r>
                            <w:r>
                              <w:rPr>
                                <w:rFonts w:hint="eastAsia"/>
                                <w:spacing w:val="-1"/>
                                <w:sz w:val="24"/>
                                <w:szCs w:val="24"/>
                                <w:u w:val="single"/>
                                <w:lang w:val="en-US" w:eastAsia="zh-CN"/>
                              </w:rPr>
                              <w:t xml:space="preserve">     </w:t>
                            </w:r>
                            <w:r>
                              <w:rPr>
                                <w:spacing w:val="-1"/>
                                <w:sz w:val="24"/>
                                <w:szCs w:val="24"/>
                              </w:rPr>
                              <w:t>年_</w:t>
                            </w:r>
                            <w:r>
                              <w:rPr>
                                <w:spacing w:val="-92"/>
                                <w:sz w:val="24"/>
                                <w:szCs w:val="24"/>
                              </w:rPr>
                              <w:t xml:space="preserve"> </w:t>
                            </w:r>
                            <w:r>
                              <w:rPr>
                                <w:sz w:val="24"/>
                                <w:szCs w:val="24"/>
                                <w:u w:val="single"/>
                              </w:rPr>
                              <w:t xml:space="preserve">    </w:t>
                            </w:r>
                            <w:r>
                              <w:rPr>
                                <w:spacing w:val="-120"/>
                                <w:sz w:val="24"/>
                                <w:szCs w:val="24"/>
                              </w:rPr>
                              <w:t xml:space="preserve"> </w:t>
                            </w:r>
                            <w:r>
                              <w:rPr>
                                <w:spacing w:val="-1"/>
                                <w:sz w:val="24"/>
                                <w:szCs w:val="24"/>
                              </w:rPr>
                              <w:t>月维序人员计划确认单</w:t>
                            </w:r>
                          </w:p>
                        </w:tc>
                      </w:tr>
                      <w:tr w14:paraId="366F2639">
                        <w:tblPrEx>
                          <w:tblCellMar>
                            <w:top w:w="0" w:type="dxa"/>
                            <w:left w:w="0" w:type="dxa"/>
                            <w:bottom w:w="0" w:type="dxa"/>
                            <w:right w:w="0" w:type="dxa"/>
                          </w:tblCellMar>
                        </w:tblPrEx>
                        <w:trPr>
                          <w:trHeight w:val="609" w:hRule="atLeast"/>
                        </w:trPr>
                        <w:tc>
                          <w:tcPr>
                            <w:tcW w:w="1832" w:type="dxa"/>
                            <w:tcBorders>
                              <w:top w:val="single" w:color="000000" w:sz="4" w:space="0"/>
                              <w:left w:val="single" w:color="000000" w:sz="4" w:space="0"/>
                              <w:bottom w:val="single" w:color="000000" w:sz="4" w:space="0"/>
                              <w:right w:val="single" w:color="000000" w:sz="4" w:space="0"/>
                            </w:tcBorders>
                            <w:noWrap w:val="0"/>
                            <w:vAlign w:val="top"/>
                          </w:tcPr>
                          <w:p w14:paraId="000542F0">
                            <w:pPr>
                              <w:pStyle w:val="95"/>
                              <w:spacing w:before="189" w:line="218" w:lineRule="auto"/>
                              <w:ind w:left="94"/>
                            </w:pPr>
                            <w:r>
                              <w:rPr>
                                <w:sz w:val="24"/>
                                <w:szCs w:val="24"/>
                              </w:rPr>
                              <w:t>供方单位：</w:t>
                            </w:r>
                          </w:p>
                        </w:tc>
                        <w:tc>
                          <w:tcPr>
                            <w:tcW w:w="4767" w:type="dxa"/>
                            <w:gridSpan w:val="3"/>
                            <w:tcBorders>
                              <w:top w:val="single" w:color="000000" w:sz="4" w:space="0"/>
                              <w:left w:val="single" w:color="000000" w:sz="4" w:space="0"/>
                              <w:bottom w:val="single" w:color="000000" w:sz="4" w:space="0"/>
                              <w:right w:val="single" w:color="000000" w:sz="4" w:space="0"/>
                            </w:tcBorders>
                            <w:noWrap w:val="0"/>
                            <w:vAlign w:val="top"/>
                          </w:tcPr>
                          <w:p w14:paraId="0E9EC68B">
                            <w:pPr>
                              <w:snapToGrid w:val="0"/>
                              <w:rPr>
                                <w:rFonts w:ascii="Arial" w:hAnsi="Arial"/>
                                <w:sz w:val="24"/>
                              </w:rPr>
                            </w:pPr>
                          </w:p>
                        </w:tc>
                      </w:tr>
                      <w:tr w14:paraId="40106CDB">
                        <w:tblPrEx>
                          <w:tblCellMar>
                            <w:top w:w="0" w:type="dxa"/>
                            <w:left w:w="0" w:type="dxa"/>
                            <w:bottom w:w="0" w:type="dxa"/>
                            <w:right w:w="0" w:type="dxa"/>
                          </w:tblCellMar>
                        </w:tblPrEx>
                        <w:trPr>
                          <w:trHeight w:val="619" w:hRule="atLeast"/>
                        </w:trPr>
                        <w:tc>
                          <w:tcPr>
                            <w:tcW w:w="1832" w:type="dxa"/>
                            <w:tcBorders>
                              <w:top w:val="single" w:color="000000" w:sz="4" w:space="0"/>
                              <w:left w:val="single" w:color="000000" w:sz="4" w:space="0"/>
                              <w:bottom w:val="single" w:color="000000" w:sz="4" w:space="0"/>
                              <w:right w:val="single" w:color="000000" w:sz="4" w:space="0"/>
                            </w:tcBorders>
                            <w:noWrap w:val="0"/>
                            <w:vAlign w:val="top"/>
                          </w:tcPr>
                          <w:p w14:paraId="3457CF1C">
                            <w:pPr>
                              <w:pStyle w:val="95"/>
                              <w:spacing w:before="192" w:line="218" w:lineRule="auto"/>
                              <w:ind w:left="94"/>
                            </w:pPr>
                            <w:r>
                              <w:rPr>
                                <w:spacing w:val="2"/>
                                <w:sz w:val="24"/>
                                <w:szCs w:val="24"/>
                              </w:rPr>
                              <w:t>人员需求类型</w:t>
                            </w:r>
                          </w:p>
                        </w:tc>
                        <w:tc>
                          <w:tcPr>
                            <w:tcW w:w="4767" w:type="dxa"/>
                            <w:gridSpan w:val="3"/>
                            <w:tcBorders>
                              <w:top w:val="single" w:color="000000" w:sz="4" w:space="0"/>
                              <w:left w:val="single" w:color="000000" w:sz="4" w:space="0"/>
                              <w:bottom w:val="single" w:color="000000" w:sz="4" w:space="0"/>
                              <w:right w:val="single" w:color="000000" w:sz="4" w:space="0"/>
                            </w:tcBorders>
                            <w:noWrap w:val="0"/>
                            <w:vAlign w:val="top"/>
                          </w:tcPr>
                          <w:p w14:paraId="67F043A8">
                            <w:pPr>
                              <w:pStyle w:val="95"/>
                              <w:spacing w:before="192" w:line="218" w:lineRule="auto"/>
                              <w:ind w:left="1122"/>
                            </w:pPr>
                            <w:r>
                              <w:rPr>
                                <w:sz w:val="24"/>
                                <w:szCs w:val="24"/>
                              </w:rPr>
                              <w:t>口普通岗位□特殊岗位</w:t>
                            </w:r>
                          </w:p>
                        </w:tc>
                      </w:tr>
                      <w:tr w14:paraId="3514E76E">
                        <w:tblPrEx>
                          <w:tblCellMar>
                            <w:top w:w="0" w:type="dxa"/>
                            <w:left w:w="0" w:type="dxa"/>
                            <w:bottom w:w="0" w:type="dxa"/>
                            <w:right w:w="0" w:type="dxa"/>
                          </w:tblCellMar>
                        </w:tblPrEx>
                        <w:trPr>
                          <w:trHeight w:val="609" w:hRule="atLeast"/>
                        </w:trPr>
                        <w:tc>
                          <w:tcPr>
                            <w:tcW w:w="1832" w:type="dxa"/>
                            <w:tcBorders>
                              <w:top w:val="single" w:color="000000" w:sz="4" w:space="0"/>
                              <w:left w:val="single" w:color="000000" w:sz="4" w:space="0"/>
                              <w:bottom w:val="single" w:color="000000" w:sz="4" w:space="0"/>
                              <w:right w:val="single" w:color="000000" w:sz="4" w:space="0"/>
                            </w:tcBorders>
                            <w:noWrap w:val="0"/>
                            <w:vAlign w:val="top"/>
                          </w:tcPr>
                          <w:p w14:paraId="15FB8F56">
                            <w:pPr>
                              <w:pStyle w:val="95"/>
                              <w:spacing w:before="193" w:line="218" w:lineRule="auto"/>
                              <w:ind w:left="94"/>
                            </w:pPr>
                            <w:r>
                              <w:rPr>
                                <w:spacing w:val="5"/>
                                <w:sz w:val="24"/>
                                <w:szCs w:val="24"/>
                              </w:rPr>
                              <w:t>到岗时间</w:t>
                            </w:r>
                          </w:p>
                        </w:tc>
                        <w:tc>
                          <w:tcPr>
                            <w:tcW w:w="4767" w:type="dxa"/>
                            <w:gridSpan w:val="3"/>
                            <w:tcBorders>
                              <w:top w:val="single" w:color="000000" w:sz="4" w:space="0"/>
                              <w:left w:val="single" w:color="000000" w:sz="4" w:space="0"/>
                              <w:bottom w:val="single" w:color="000000" w:sz="4" w:space="0"/>
                              <w:right w:val="single" w:color="000000" w:sz="4" w:space="0"/>
                            </w:tcBorders>
                            <w:noWrap w:val="0"/>
                            <w:vAlign w:val="top"/>
                          </w:tcPr>
                          <w:p w14:paraId="60AAE4E1">
                            <w:pPr>
                              <w:snapToGrid w:val="0"/>
                              <w:rPr>
                                <w:rFonts w:ascii="Arial" w:hAnsi="Arial"/>
                                <w:sz w:val="24"/>
                              </w:rPr>
                            </w:pPr>
                          </w:p>
                        </w:tc>
                      </w:tr>
                      <w:tr w14:paraId="08743F3A">
                        <w:tblPrEx>
                          <w:tblCellMar>
                            <w:top w:w="0" w:type="dxa"/>
                            <w:left w:w="0" w:type="dxa"/>
                            <w:bottom w:w="0" w:type="dxa"/>
                            <w:right w:w="0" w:type="dxa"/>
                          </w:tblCellMar>
                        </w:tblPrEx>
                        <w:trPr>
                          <w:trHeight w:val="2697" w:hRule="atLeast"/>
                        </w:trPr>
                        <w:tc>
                          <w:tcPr>
                            <w:tcW w:w="1832" w:type="dxa"/>
                            <w:tcBorders>
                              <w:top w:val="single" w:color="000000" w:sz="4" w:space="0"/>
                              <w:left w:val="single" w:color="000000" w:sz="4" w:space="0"/>
                              <w:bottom w:val="single" w:color="000000" w:sz="4" w:space="0"/>
                              <w:right w:val="single" w:color="000000" w:sz="4" w:space="0"/>
                            </w:tcBorders>
                            <w:noWrap w:val="0"/>
                            <w:vAlign w:val="top"/>
                          </w:tcPr>
                          <w:p w14:paraId="2F62825B">
                            <w:pPr>
                              <w:snapToGrid w:val="0"/>
                              <w:spacing w:line="285" w:lineRule="auto"/>
                              <w:rPr>
                                <w:rFonts w:ascii="Arial" w:hAnsi="Arial"/>
                              </w:rPr>
                            </w:pPr>
                          </w:p>
                          <w:p w14:paraId="1EDD7403">
                            <w:pPr>
                              <w:spacing w:line="285" w:lineRule="auto"/>
                              <w:rPr>
                                <w:rFonts w:ascii="Arial" w:hAnsi="Arial"/>
                              </w:rPr>
                            </w:pPr>
                          </w:p>
                          <w:p w14:paraId="276CF292">
                            <w:pPr>
                              <w:spacing w:line="285" w:lineRule="auto"/>
                              <w:rPr>
                                <w:rFonts w:ascii="Arial" w:hAnsi="Arial"/>
                              </w:rPr>
                            </w:pPr>
                          </w:p>
                          <w:p w14:paraId="44BDC35D">
                            <w:pPr>
                              <w:spacing w:line="288" w:lineRule="auto"/>
                              <w:rPr>
                                <w:rFonts w:ascii="Arial" w:hAnsi="Arial"/>
                              </w:rPr>
                            </w:pPr>
                          </w:p>
                          <w:p w14:paraId="526F7172">
                            <w:pPr>
                              <w:pStyle w:val="95"/>
                              <w:spacing w:before="78" w:line="218" w:lineRule="auto"/>
                              <w:ind w:left="404"/>
                            </w:pPr>
                            <w:r>
                              <w:rPr>
                                <w:spacing w:val="2"/>
                                <w:sz w:val="24"/>
                                <w:szCs w:val="24"/>
                              </w:rPr>
                              <w:t>人数需求</w:t>
                            </w:r>
                          </w:p>
                        </w:tc>
                        <w:tc>
                          <w:tcPr>
                            <w:tcW w:w="4767" w:type="dxa"/>
                            <w:gridSpan w:val="3"/>
                            <w:tcBorders>
                              <w:top w:val="single" w:color="000000" w:sz="4" w:space="0"/>
                              <w:left w:val="single" w:color="000000" w:sz="4" w:space="0"/>
                              <w:bottom w:val="single" w:color="000000" w:sz="4" w:space="0"/>
                              <w:right w:val="single" w:color="000000" w:sz="4" w:space="0"/>
                            </w:tcBorders>
                            <w:noWrap w:val="0"/>
                            <w:vAlign w:val="top"/>
                          </w:tcPr>
                          <w:p w14:paraId="341D7287">
                            <w:pPr>
                              <w:snapToGrid w:val="0"/>
                              <w:rPr>
                                <w:rFonts w:ascii="Arial" w:hAnsi="Arial"/>
                                <w:sz w:val="24"/>
                              </w:rPr>
                            </w:pPr>
                          </w:p>
                        </w:tc>
                      </w:tr>
                      <w:tr w14:paraId="231F5A3E">
                        <w:tblPrEx>
                          <w:tblCellMar>
                            <w:top w:w="0" w:type="dxa"/>
                            <w:left w:w="0" w:type="dxa"/>
                            <w:bottom w:w="0" w:type="dxa"/>
                            <w:right w:w="0" w:type="dxa"/>
                          </w:tblCellMar>
                        </w:tblPrEx>
                        <w:trPr>
                          <w:trHeight w:val="1089" w:hRule="atLeast"/>
                        </w:trPr>
                        <w:tc>
                          <w:tcPr>
                            <w:tcW w:w="6599" w:type="dxa"/>
                            <w:gridSpan w:val="4"/>
                            <w:tcBorders>
                              <w:top w:val="single" w:color="000000" w:sz="4" w:space="0"/>
                              <w:left w:val="single" w:color="000000" w:sz="4" w:space="0"/>
                              <w:bottom w:val="single" w:color="000000" w:sz="4" w:space="0"/>
                              <w:right w:val="single" w:color="000000" w:sz="4" w:space="0"/>
                            </w:tcBorders>
                            <w:noWrap w:val="0"/>
                            <w:vAlign w:val="top"/>
                          </w:tcPr>
                          <w:p w14:paraId="6B8DE413">
                            <w:pPr>
                              <w:pStyle w:val="95"/>
                              <w:spacing w:before="257" w:line="218" w:lineRule="auto"/>
                              <w:ind w:left="175"/>
                              <w:rPr>
                                <w:spacing w:val="5"/>
                                <w:sz w:val="24"/>
                                <w:szCs w:val="24"/>
                              </w:rPr>
                            </w:pPr>
                            <w:r>
                              <w:rPr>
                                <w:sz w:val="24"/>
                                <w:szCs w:val="24"/>
                              </w:rPr>
                              <w:t>请贵司在签署人员需求计划确认单后，尽快做好人员配置工</w:t>
                            </w:r>
                          </w:p>
                          <w:p w14:paraId="668B527D">
                            <w:pPr>
                              <w:pStyle w:val="95"/>
                              <w:spacing w:before="15" w:line="218" w:lineRule="auto"/>
                              <w:ind w:left="2275"/>
                            </w:pPr>
                            <w:r>
                              <w:rPr>
                                <w:spacing w:val="5"/>
                                <w:sz w:val="24"/>
                                <w:szCs w:val="24"/>
                              </w:rPr>
                              <w:t>作，并以此为存证!</w:t>
                            </w:r>
                          </w:p>
                        </w:tc>
                      </w:tr>
                      <w:tr w14:paraId="3B08483D">
                        <w:tblPrEx>
                          <w:tblCellMar>
                            <w:top w:w="0" w:type="dxa"/>
                            <w:left w:w="0" w:type="dxa"/>
                            <w:bottom w:w="0" w:type="dxa"/>
                            <w:right w:w="0" w:type="dxa"/>
                          </w:tblCellMar>
                        </w:tblPrEx>
                        <w:trPr>
                          <w:trHeight w:val="619" w:hRule="atLeast"/>
                        </w:trPr>
                        <w:tc>
                          <w:tcPr>
                            <w:tcW w:w="1832" w:type="dxa"/>
                            <w:tcBorders>
                              <w:top w:val="single" w:color="000000" w:sz="4" w:space="0"/>
                              <w:left w:val="single" w:color="000000" w:sz="4" w:space="0"/>
                              <w:bottom w:val="single" w:color="000000" w:sz="4" w:space="0"/>
                              <w:right w:val="single" w:color="000000" w:sz="4" w:space="0"/>
                            </w:tcBorders>
                            <w:noWrap w:val="0"/>
                            <w:vAlign w:val="top"/>
                          </w:tcPr>
                          <w:p w14:paraId="55653F7D">
                            <w:pPr>
                              <w:pStyle w:val="95"/>
                              <w:spacing w:before="198" w:line="218" w:lineRule="auto"/>
                              <w:ind w:left="505"/>
                            </w:pPr>
                            <w:r>
                              <w:rPr>
                                <w:spacing w:val="3"/>
                                <w:sz w:val="24"/>
                                <w:szCs w:val="24"/>
                              </w:rPr>
                              <w:t>制表人</w:t>
                            </w:r>
                          </w:p>
                        </w:tc>
                        <w:tc>
                          <w:tcPr>
                            <w:tcW w:w="1617" w:type="dxa"/>
                            <w:tcBorders>
                              <w:top w:val="single" w:color="000000" w:sz="4" w:space="0"/>
                              <w:left w:val="single" w:color="000000" w:sz="4" w:space="0"/>
                              <w:bottom w:val="single" w:color="000000" w:sz="4" w:space="0"/>
                              <w:right w:val="single" w:color="000000" w:sz="4" w:space="0"/>
                            </w:tcBorders>
                            <w:noWrap w:val="0"/>
                            <w:vAlign w:val="top"/>
                          </w:tcPr>
                          <w:p w14:paraId="2C729F7D">
                            <w:pPr>
                              <w:snapToGrid w:val="0"/>
                              <w:rPr>
                                <w:rFonts w:ascii="Arial" w:hAnsi="Arial"/>
                                <w:sz w:val="24"/>
                              </w:rPr>
                            </w:pPr>
                          </w:p>
                        </w:tc>
                        <w:tc>
                          <w:tcPr>
                            <w:tcW w:w="1198" w:type="dxa"/>
                            <w:tcBorders>
                              <w:top w:val="single" w:color="000000" w:sz="4" w:space="0"/>
                              <w:left w:val="single" w:color="000000" w:sz="4" w:space="0"/>
                              <w:bottom w:val="single" w:color="000000" w:sz="4" w:space="0"/>
                              <w:right w:val="single" w:color="000000" w:sz="4" w:space="0"/>
                            </w:tcBorders>
                            <w:noWrap w:val="0"/>
                            <w:vAlign w:val="top"/>
                          </w:tcPr>
                          <w:p w14:paraId="779E0161">
                            <w:pPr>
                              <w:pStyle w:val="95"/>
                              <w:spacing w:before="198" w:line="218" w:lineRule="auto"/>
                              <w:ind w:left="255"/>
                            </w:pPr>
                            <w:r>
                              <w:rPr>
                                <w:spacing w:val="3"/>
                                <w:sz w:val="24"/>
                                <w:szCs w:val="24"/>
                              </w:rPr>
                              <w:t>责任人</w:t>
                            </w:r>
                          </w:p>
                        </w:tc>
                        <w:tc>
                          <w:tcPr>
                            <w:tcW w:w="1952" w:type="dxa"/>
                            <w:tcBorders>
                              <w:top w:val="single" w:color="000000" w:sz="4" w:space="0"/>
                              <w:left w:val="single" w:color="000000" w:sz="4" w:space="0"/>
                              <w:bottom w:val="single" w:color="000000" w:sz="4" w:space="0"/>
                              <w:right w:val="single" w:color="000000" w:sz="4" w:space="0"/>
                            </w:tcBorders>
                            <w:noWrap w:val="0"/>
                            <w:vAlign w:val="top"/>
                          </w:tcPr>
                          <w:p w14:paraId="58BB52D7">
                            <w:pPr>
                              <w:snapToGrid w:val="0"/>
                              <w:rPr>
                                <w:rFonts w:ascii="Arial" w:hAnsi="Arial"/>
                                <w:sz w:val="24"/>
                              </w:rPr>
                            </w:pPr>
                          </w:p>
                        </w:tc>
                      </w:tr>
                      <w:tr w14:paraId="0B890C37">
                        <w:tblPrEx>
                          <w:tblCellMar>
                            <w:top w:w="0" w:type="dxa"/>
                            <w:left w:w="0" w:type="dxa"/>
                            <w:bottom w:w="0" w:type="dxa"/>
                            <w:right w:w="0" w:type="dxa"/>
                          </w:tblCellMar>
                        </w:tblPrEx>
                        <w:trPr>
                          <w:trHeight w:val="1404" w:hRule="atLeast"/>
                        </w:trPr>
                        <w:tc>
                          <w:tcPr>
                            <w:tcW w:w="1832" w:type="dxa"/>
                            <w:tcBorders>
                              <w:top w:val="single" w:color="000000" w:sz="4" w:space="0"/>
                              <w:left w:val="single" w:color="000000" w:sz="4" w:space="0"/>
                              <w:bottom w:val="single" w:color="000000" w:sz="4" w:space="0"/>
                              <w:right w:val="single" w:color="000000" w:sz="4" w:space="0"/>
                            </w:tcBorders>
                            <w:noWrap w:val="0"/>
                            <w:vAlign w:val="top"/>
                          </w:tcPr>
                          <w:p w14:paraId="3F7C1E79">
                            <w:pPr>
                              <w:snapToGrid w:val="0"/>
                              <w:spacing w:line="252" w:lineRule="auto"/>
                              <w:rPr>
                                <w:rFonts w:ascii="Arial" w:hAnsi="Arial"/>
                              </w:rPr>
                            </w:pPr>
                          </w:p>
                          <w:p w14:paraId="40437EC2">
                            <w:pPr>
                              <w:spacing w:line="252" w:lineRule="auto"/>
                              <w:rPr>
                                <w:rFonts w:ascii="Arial" w:hAnsi="Arial"/>
                              </w:rPr>
                            </w:pPr>
                          </w:p>
                          <w:p w14:paraId="788C74AA">
                            <w:pPr>
                              <w:pStyle w:val="95"/>
                              <w:spacing w:before="78" w:line="218" w:lineRule="auto"/>
                              <w:ind w:left="94"/>
                            </w:pPr>
                            <w:r>
                              <w:rPr>
                                <w:spacing w:val="2"/>
                                <w:sz w:val="24"/>
                                <w:szCs w:val="24"/>
                              </w:rPr>
                              <w:t>供方单位确认</w:t>
                            </w:r>
                          </w:p>
                        </w:tc>
                        <w:tc>
                          <w:tcPr>
                            <w:tcW w:w="4767" w:type="dxa"/>
                            <w:gridSpan w:val="3"/>
                            <w:tcBorders>
                              <w:top w:val="single" w:color="000000" w:sz="4" w:space="0"/>
                              <w:left w:val="single" w:color="000000" w:sz="4" w:space="0"/>
                              <w:bottom w:val="single" w:color="000000" w:sz="4" w:space="0"/>
                              <w:right w:val="single" w:color="000000" w:sz="4" w:space="0"/>
                            </w:tcBorders>
                            <w:noWrap w:val="0"/>
                            <w:vAlign w:val="top"/>
                          </w:tcPr>
                          <w:p w14:paraId="12271C77">
                            <w:pPr>
                              <w:snapToGrid w:val="0"/>
                              <w:rPr>
                                <w:rFonts w:ascii="Arial" w:hAnsi="Arial"/>
                                <w:sz w:val="24"/>
                              </w:rPr>
                            </w:pPr>
                          </w:p>
                        </w:tc>
                      </w:tr>
                    </w:tbl>
                    <w:p w14:paraId="05373324">
                      <w:pPr>
                        <w:pStyle w:val="15"/>
                      </w:pPr>
                    </w:p>
                  </w:txbxContent>
                </v:textbox>
              </v:shape>
            </w:pict>
          </mc:Fallback>
        </mc:AlternateContent>
      </w:r>
      <w:r>
        <w:rPr>
          <w:color w:val="auto"/>
          <w:highlight w:val="none"/>
        </w:rPr>
        <mc:AlternateContent>
          <mc:Choice Requires="wps">
            <w:drawing>
              <wp:anchor distT="0" distB="0" distL="114935" distR="114935" simplePos="0" relativeHeight="251660288" behindDoc="0" locked="0" layoutInCell="0" allowOverlap="1">
                <wp:simplePos x="0" y="0"/>
                <wp:positionH relativeFrom="column">
                  <wp:posOffset>4869180</wp:posOffset>
                </wp:positionH>
                <wp:positionV relativeFrom="paragraph">
                  <wp:posOffset>2722245</wp:posOffset>
                </wp:positionV>
                <wp:extent cx="210185" cy="565150"/>
                <wp:effectExtent l="0" t="0" r="0" b="0"/>
                <wp:wrapNone/>
                <wp:docPr id="6" name="文本框 3"/>
                <wp:cNvGraphicFramePr/>
                <a:graphic xmlns:a="http://schemas.openxmlformats.org/drawingml/2006/main">
                  <a:graphicData uri="http://schemas.microsoft.com/office/word/2010/wordprocessingShape">
                    <wps:wsp>
                      <wps:cNvSpPr txBox="1"/>
                      <wps:spPr>
                        <a:xfrm>
                          <a:off x="0" y="0"/>
                          <a:ext cx="210185" cy="565150"/>
                        </a:xfrm>
                        <a:prstGeom prst="rect">
                          <a:avLst/>
                        </a:prstGeom>
                        <a:solidFill>
                          <a:srgbClr val="FFFFFF">
                            <a:alpha val="0"/>
                          </a:srgbClr>
                        </a:solidFill>
                        <a:ln>
                          <a:noFill/>
                        </a:ln>
                      </wps:spPr>
                      <wps:txbx>
                        <w:txbxContent>
                          <w:p w14:paraId="49509933">
                            <w:pPr>
                              <w:spacing w:before="19" w:line="199" w:lineRule="auto"/>
                              <w:ind w:left="20"/>
                            </w:pPr>
                            <w:r>
                              <w:rPr>
                                <w:rFonts w:ascii="宋体" w:hAnsi="宋体" w:cs="宋体"/>
                                <w:sz w:val="26"/>
                                <w:szCs w:val="26"/>
                              </w:rPr>
                              <w:t>户</w:t>
                            </w:r>
                            <w:r>
                              <w:rPr>
                                <w:rFonts w:ascii="宋体" w:hAnsi="宋体" w:cs="宋体"/>
                                <w:spacing w:val="35"/>
                                <w:sz w:val="26"/>
                                <w:szCs w:val="26"/>
                              </w:rPr>
                              <w:t xml:space="preserve">  </w:t>
                            </w:r>
                            <w:r>
                              <w:rPr>
                                <w:rFonts w:ascii="宋体" w:hAnsi="宋体" w:cs="宋体"/>
                                <w:sz w:val="26"/>
                                <w:szCs w:val="26"/>
                              </w:rPr>
                              <w:t>联</w:t>
                            </w:r>
                          </w:p>
                        </w:txbxContent>
                      </wps:txbx>
                      <wps:bodyPr vert="eaVert" wrap="square" lIns="635" tIns="635" rIns="635" bIns="635" upright="1"/>
                    </wps:wsp>
                  </a:graphicData>
                </a:graphic>
              </wp:anchor>
            </w:drawing>
          </mc:Choice>
          <mc:Fallback>
            <w:pict>
              <v:shape id="文本框 3" o:spid="_x0000_s1026" o:spt="202" type="#_x0000_t202" style="position:absolute;left:0pt;margin-left:383.4pt;margin-top:214.35pt;height:44.5pt;width:16.55pt;z-index:251660288;mso-width-relative:page;mso-height-relative:page;" fillcolor="#FFFFFF" filled="t" stroked="f" coordsize="21600,21600" o:allowincell="f" o:gfxdata="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jtlfO2QAAAAsBAAAPAAAAAAAAAAEAIAAAACIAAABkcnMvZG93bnJldi54bWxQSwECFAAUAAAA&#10;CACHTuJANq/O3e0BAADbAwAADgAAAAAAAAABACAAAAAoAQAAZHJzL2Uyb0RvYy54bWxQSwUGAAAA&#10;AAYABgBZAQAAhwUAAAAA&#10;">
                <v:fill on="t" opacity="0f" focussize="0,0"/>
                <v:stroke on="f"/>
                <v:imagedata o:title=""/>
                <o:lock v:ext="edit" aspectratio="f"/>
                <v:textbox inset="0.05pt,0.05pt,0.05pt,0.05pt" style="layout-flow:vertical-ideographic;">
                  <w:txbxContent>
                    <w:p w14:paraId="49509933">
                      <w:pPr>
                        <w:spacing w:before="19" w:line="199" w:lineRule="auto"/>
                        <w:ind w:left="20"/>
                      </w:pPr>
                      <w:r>
                        <w:rPr>
                          <w:rFonts w:ascii="宋体" w:hAnsi="宋体" w:cs="宋体"/>
                          <w:sz w:val="26"/>
                          <w:szCs w:val="26"/>
                        </w:rPr>
                        <w:t>户</w:t>
                      </w:r>
                      <w:r>
                        <w:rPr>
                          <w:rFonts w:ascii="宋体" w:hAnsi="宋体" w:cs="宋体"/>
                          <w:spacing w:val="35"/>
                          <w:sz w:val="26"/>
                          <w:szCs w:val="26"/>
                        </w:rPr>
                        <w:t xml:space="preserve">  </w:t>
                      </w:r>
                      <w:r>
                        <w:rPr>
                          <w:rFonts w:ascii="宋体" w:hAnsi="宋体" w:cs="宋体"/>
                          <w:sz w:val="26"/>
                          <w:szCs w:val="26"/>
                        </w:rPr>
                        <w:t>联</w:t>
                      </w:r>
                    </w:p>
                  </w:txbxContent>
                </v:textbox>
              </v:shape>
            </w:pict>
          </mc:Fallback>
        </mc:AlternateContent>
      </w:r>
      <w:r>
        <w:rPr>
          <w:color w:val="auto"/>
          <w:highlight w:val="none"/>
        </w:rPr>
        <mc:AlternateContent>
          <mc:Choice Requires="wps">
            <w:drawing>
              <wp:anchor distT="0" distB="0" distL="114935" distR="114935" simplePos="0" relativeHeight="251661312" behindDoc="0" locked="0" layoutInCell="0" allowOverlap="1">
                <wp:simplePos x="0" y="0"/>
                <wp:positionH relativeFrom="column">
                  <wp:posOffset>4214495</wp:posOffset>
                </wp:positionH>
                <wp:positionV relativeFrom="paragraph">
                  <wp:posOffset>2731770</wp:posOffset>
                </wp:positionV>
                <wp:extent cx="189230" cy="561340"/>
                <wp:effectExtent l="0" t="0" r="0" b="0"/>
                <wp:wrapNone/>
                <wp:docPr id="11" name="文本框 4"/>
                <wp:cNvGraphicFramePr/>
                <a:graphic xmlns:a="http://schemas.openxmlformats.org/drawingml/2006/main">
                  <a:graphicData uri="http://schemas.microsoft.com/office/word/2010/wordprocessingShape">
                    <wps:wsp>
                      <wps:cNvSpPr txBox="1"/>
                      <wps:spPr>
                        <a:xfrm>
                          <a:off x="0" y="0"/>
                          <a:ext cx="189230" cy="561340"/>
                        </a:xfrm>
                        <a:prstGeom prst="rect">
                          <a:avLst/>
                        </a:prstGeom>
                        <a:solidFill>
                          <a:srgbClr val="FFFFFF">
                            <a:alpha val="0"/>
                          </a:srgbClr>
                        </a:solidFill>
                        <a:ln>
                          <a:noFill/>
                        </a:ln>
                      </wps:spPr>
                      <wps:txbx>
                        <w:txbxContent>
                          <w:p w14:paraId="403772A6">
                            <w:pPr>
                              <w:spacing w:before="19" w:line="201" w:lineRule="auto"/>
                              <w:ind w:left="20"/>
                            </w:pPr>
                            <w:r>
                              <w:rPr>
                                <w:rFonts w:ascii="宋体" w:hAnsi="宋体" w:cs="宋体"/>
                                <w:sz w:val="23"/>
                                <w:szCs w:val="23"/>
                              </w:rPr>
                              <w:t>根</w:t>
                            </w:r>
                            <w:r>
                              <w:rPr>
                                <w:rFonts w:ascii="宋体" w:hAnsi="宋体" w:cs="宋体"/>
                                <w:spacing w:val="13"/>
                                <w:sz w:val="23"/>
                                <w:szCs w:val="23"/>
                              </w:rPr>
                              <w:t xml:space="preserve">   </w:t>
                            </w:r>
                            <w:r>
                              <w:rPr>
                                <w:rFonts w:ascii="宋体" w:hAnsi="宋体" w:cs="宋体"/>
                                <w:sz w:val="23"/>
                                <w:szCs w:val="23"/>
                              </w:rPr>
                              <w:t>联</w:t>
                            </w:r>
                          </w:p>
                        </w:txbxContent>
                      </wps:txbx>
                      <wps:bodyPr vert="eaVert" wrap="square" lIns="635" tIns="635" rIns="635" bIns="635" upright="1"/>
                    </wps:wsp>
                  </a:graphicData>
                </a:graphic>
              </wp:anchor>
            </w:drawing>
          </mc:Choice>
          <mc:Fallback>
            <w:pict>
              <v:shape id="文本框 4" o:spid="_x0000_s1026" o:spt="202" type="#_x0000_t202" style="position:absolute;left:0pt;margin-left:331.85pt;margin-top:215.1pt;height:44.2pt;width:14.9pt;z-index:251661312;mso-width-relative:page;mso-height-relative:page;" fillcolor="#FFFFFF" filled="t" stroked="f" coordsize="21600,21600" o:allowincell="f" o:gfxdata="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CNuOmvaAAAACwEAAA8AAAAAAAAAAQAgAAAAIgAAAGRycy9kb3ducmV2LnhtbFBLAQIUABQA&#10;AAAIAIdO4kCokjr57gEAANwDAAAOAAAAAAAAAAEAIAAAACkBAABkcnMvZTJvRG9jLnhtbFBLBQYA&#10;AAAABgAGAFkBAACJBQAAAAA=&#10;">
                <v:fill on="t" opacity="0f" focussize="0,0"/>
                <v:stroke on="f"/>
                <v:imagedata o:title=""/>
                <o:lock v:ext="edit" aspectratio="f"/>
                <v:textbox inset="0.05pt,0.05pt,0.05pt,0.05pt" style="layout-flow:vertical-ideographic;">
                  <w:txbxContent>
                    <w:p w14:paraId="403772A6">
                      <w:pPr>
                        <w:spacing w:before="19" w:line="201" w:lineRule="auto"/>
                        <w:ind w:left="20"/>
                      </w:pPr>
                      <w:r>
                        <w:rPr>
                          <w:rFonts w:ascii="宋体" w:hAnsi="宋体" w:cs="宋体"/>
                          <w:sz w:val="23"/>
                          <w:szCs w:val="23"/>
                        </w:rPr>
                        <w:t>根</w:t>
                      </w:r>
                      <w:r>
                        <w:rPr>
                          <w:rFonts w:ascii="宋体" w:hAnsi="宋体" w:cs="宋体"/>
                          <w:spacing w:val="13"/>
                          <w:sz w:val="23"/>
                          <w:szCs w:val="23"/>
                        </w:rPr>
                        <w:t xml:space="preserve">   </w:t>
                      </w:r>
                      <w:r>
                        <w:rPr>
                          <w:rFonts w:ascii="宋体" w:hAnsi="宋体" w:cs="宋体"/>
                          <w:sz w:val="23"/>
                          <w:szCs w:val="23"/>
                        </w:rPr>
                        <w:t>联</w:t>
                      </w:r>
                    </w:p>
                  </w:txbxContent>
                </v:textbox>
              </v:shape>
            </w:pict>
          </mc:Fallback>
        </mc:AlternateContent>
      </w:r>
      <w:r>
        <w:rPr>
          <w:color w:val="auto"/>
          <w:highlight w:val="none"/>
        </w:rPr>
        <mc:AlternateContent>
          <mc:Choice Requires="wps">
            <w:drawing>
              <wp:anchor distT="0" distB="0" distL="114935" distR="114935" simplePos="0" relativeHeight="251662336" behindDoc="0" locked="0" layoutInCell="0" allowOverlap="1">
                <wp:simplePos x="0" y="0"/>
                <wp:positionH relativeFrom="column">
                  <wp:posOffset>4869815</wp:posOffset>
                </wp:positionH>
                <wp:positionV relativeFrom="paragraph">
                  <wp:posOffset>2347595</wp:posOffset>
                </wp:positionV>
                <wp:extent cx="207645" cy="189865"/>
                <wp:effectExtent l="0" t="0" r="0" b="0"/>
                <wp:wrapNone/>
                <wp:docPr id="12" name="文本框 5"/>
                <wp:cNvGraphicFramePr/>
                <a:graphic xmlns:a="http://schemas.openxmlformats.org/drawingml/2006/main">
                  <a:graphicData uri="http://schemas.microsoft.com/office/word/2010/wordprocessingShape">
                    <wps:wsp>
                      <wps:cNvSpPr txBox="1"/>
                      <wps:spPr>
                        <a:xfrm>
                          <a:off x="0" y="0"/>
                          <a:ext cx="207645" cy="189865"/>
                        </a:xfrm>
                        <a:prstGeom prst="rect">
                          <a:avLst/>
                        </a:prstGeom>
                        <a:solidFill>
                          <a:srgbClr val="FFFFFF">
                            <a:alpha val="0"/>
                          </a:srgbClr>
                        </a:solidFill>
                        <a:ln>
                          <a:noFill/>
                        </a:ln>
                      </wps:spPr>
                      <wps:txbx>
                        <w:txbxContent>
                          <w:p w14:paraId="362C9CF4">
                            <w:pPr>
                              <w:spacing w:before="19" w:line="196" w:lineRule="auto"/>
                              <w:ind w:left="20"/>
                            </w:pPr>
                            <w:r>
                              <w:rPr>
                                <w:rFonts w:ascii="宋体" w:hAnsi="宋体" w:cs="宋体"/>
                                <w:sz w:val="26"/>
                                <w:szCs w:val="26"/>
                              </w:rPr>
                              <w:t>客</w:t>
                            </w:r>
                          </w:p>
                        </w:txbxContent>
                      </wps:txbx>
                      <wps:bodyPr vert="eaVert" wrap="square" lIns="635" tIns="635" rIns="635" bIns="635" upright="1"/>
                    </wps:wsp>
                  </a:graphicData>
                </a:graphic>
              </wp:anchor>
            </w:drawing>
          </mc:Choice>
          <mc:Fallback>
            <w:pict>
              <v:shape id="文本框 5" o:spid="_x0000_s1026" o:spt="202" type="#_x0000_t202" style="position:absolute;left:0pt;margin-left:383.45pt;margin-top:184.85pt;height:14.95pt;width:16.35pt;z-index:251662336;mso-width-relative:page;mso-height-relative:page;" fillcolor="#FFFFFF" filled="t" stroked="f" coordsize="21600,21600" o:allowincell="f" o:gfxdata="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DSiMG31wAAAAsBAAAPAAAAAAAAAAEAIAAAACIAAABkcnMvZG93bnJldi54bWxQSwECFAAUAAAA&#10;CACHTuJAxPiiJ+8BAADcAwAADgAAAAAAAAABACAAAAAmAQAAZHJzL2Uyb0RvYy54bWxQSwUGAAAA&#10;AAYABgBZAQAAhwUAAAAA&#10;">
                <v:fill on="t" opacity="0f" focussize="0,0"/>
                <v:stroke on="f"/>
                <v:imagedata o:title=""/>
                <o:lock v:ext="edit" aspectratio="f"/>
                <v:textbox inset="0.05pt,0.05pt,0.05pt,0.05pt" style="layout-flow:vertical-ideographic;">
                  <w:txbxContent>
                    <w:p w14:paraId="362C9CF4">
                      <w:pPr>
                        <w:spacing w:before="19" w:line="196" w:lineRule="auto"/>
                        <w:ind w:left="20"/>
                      </w:pPr>
                      <w:r>
                        <w:rPr>
                          <w:rFonts w:ascii="宋体" w:hAnsi="宋体" w:cs="宋体"/>
                          <w:sz w:val="26"/>
                          <w:szCs w:val="26"/>
                        </w:rPr>
                        <w:t>客</w:t>
                      </w:r>
                    </w:p>
                  </w:txbxContent>
                </v:textbox>
              </v:shape>
            </w:pict>
          </mc:Fallback>
        </mc:AlternateContent>
      </w:r>
      <w:r>
        <w:rPr>
          <w:color w:val="auto"/>
          <w:highlight w:val="none"/>
        </w:rPr>
        <mc:AlternateContent>
          <mc:Choice Requires="wps">
            <w:drawing>
              <wp:anchor distT="0" distB="0" distL="114935" distR="114935" simplePos="0" relativeHeight="251663360" behindDoc="0" locked="0" layoutInCell="0" allowOverlap="1">
                <wp:simplePos x="0" y="0"/>
                <wp:positionH relativeFrom="column">
                  <wp:posOffset>4214495</wp:posOffset>
                </wp:positionH>
                <wp:positionV relativeFrom="paragraph">
                  <wp:posOffset>2341880</wp:posOffset>
                </wp:positionV>
                <wp:extent cx="188595" cy="170815"/>
                <wp:effectExtent l="0" t="0" r="0" b="0"/>
                <wp:wrapNone/>
                <wp:docPr id="13" name="文本框 6"/>
                <wp:cNvGraphicFramePr/>
                <a:graphic xmlns:a="http://schemas.openxmlformats.org/drawingml/2006/main">
                  <a:graphicData uri="http://schemas.microsoft.com/office/word/2010/wordprocessingShape">
                    <wps:wsp>
                      <wps:cNvSpPr txBox="1"/>
                      <wps:spPr>
                        <a:xfrm>
                          <a:off x="0" y="0"/>
                          <a:ext cx="188595" cy="170815"/>
                        </a:xfrm>
                        <a:prstGeom prst="rect">
                          <a:avLst/>
                        </a:prstGeom>
                        <a:solidFill>
                          <a:srgbClr val="FFFFFF">
                            <a:alpha val="0"/>
                          </a:srgbClr>
                        </a:solidFill>
                        <a:ln>
                          <a:noFill/>
                        </a:ln>
                      </wps:spPr>
                      <wps:txbx>
                        <w:txbxContent>
                          <w:p w14:paraId="561EEF15">
                            <w:pPr>
                              <w:spacing w:before="19" w:line="199" w:lineRule="auto"/>
                              <w:ind w:left="20"/>
                            </w:pPr>
                            <w:r>
                              <w:rPr>
                                <w:rFonts w:ascii="宋体" w:hAnsi="宋体" w:cs="宋体"/>
                                <w:sz w:val="23"/>
                                <w:szCs w:val="23"/>
                              </w:rPr>
                              <w:t>存</w:t>
                            </w:r>
                          </w:p>
                        </w:txbxContent>
                      </wps:txbx>
                      <wps:bodyPr vert="eaVert" wrap="square" lIns="635" tIns="635" rIns="635" bIns="635" upright="1"/>
                    </wps:wsp>
                  </a:graphicData>
                </a:graphic>
              </wp:anchor>
            </w:drawing>
          </mc:Choice>
          <mc:Fallback>
            <w:pict>
              <v:shape id="文本框 6" o:spid="_x0000_s1026" o:spt="202" type="#_x0000_t202" style="position:absolute;left:0pt;margin-left:331.85pt;margin-top:184.4pt;height:13.45pt;width:14.85pt;z-index:251663360;mso-width-relative:page;mso-height-relative:page;" fillcolor="#FFFFFF" filled="t" stroked="f" coordsize="21600,21600" o:allowincell="f" o:gfxdata="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semIuNkAAAALAQAADwAAAAAAAAABACAAAAAiAAAAZHJzL2Rvd25yZXYueG1sUEsBAhQAFAAA&#10;AAgAh07iQBT1uwTuAQAA3AMAAA4AAAAAAAAAAQAgAAAAKAEAAGRycy9lMm9Eb2MueG1sUEsFBgAA&#10;AAAGAAYAWQEAAIgFAAAAAA==&#10;">
                <v:fill on="t" opacity="0f" focussize="0,0"/>
                <v:stroke on="f"/>
                <v:imagedata o:title=""/>
                <o:lock v:ext="edit" aspectratio="f"/>
                <v:textbox inset="0.05pt,0.05pt,0.05pt,0.05pt" style="layout-flow:vertical-ideographic;">
                  <w:txbxContent>
                    <w:p w14:paraId="561EEF15">
                      <w:pPr>
                        <w:spacing w:before="19" w:line="199" w:lineRule="auto"/>
                        <w:ind w:left="20"/>
                      </w:pPr>
                      <w:r>
                        <w:rPr>
                          <w:rFonts w:ascii="宋体" w:hAnsi="宋体" w:cs="宋体"/>
                          <w:sz w:val="23"/>
                          <w:szCs w:val="23"/>
                        </w:rPr>
                        <w:t>存</w:t>
                      </w:r>
                    </w:p>
                  </w:txbxContent>
                </v:textbox>
              </v:shape>
            </w:pict>
          </mc:Fallback>
        </mc:AlternateContent>
      </w:r>
      <w:r>
        <w:rPr>
          <w:rFonts w:ascii="宋体" w:hAnsi="宋体" w:cs="宋体"/>
          <w:b/>
          <w:bCs/>
          <w:color w:val="auto"/>
          <w:spacing w:val="-22"/>
          <w:sz w:val="25"/>
          <w:szCs w:val="25"/>
          <w:highlight w:val="none"/>
        </w:rPr>
        <w:t>附件三：《外包人数确认表》</w:t>
      </w:r>
    </w:p>
    <w:p w14:paraId="0A5D6416">
      <w:pPr>
        <w:spacing w:before="121"/>
        <w:rPr>
          <w:rFonts w:ascii="宋体" w:hAnsi="宋体" w:cs="宋体"/>
          <w:color w:val="auto"/>
          <w:sz w:val="25"/>
          <w:szCs w:val="25"/>
          <w:highlight w:val="none"/>
        </w:rPr>
      </w:pPr>
    </w:p>
    <w:tbl>
      <w:tblPr>
        <w:tblStyle w:val="42"/>
        <w:tblW w:w="0" w:type="auto"/>
        <w:tblInd w:w="5" w:type="dxa"/>
        <w:tblLayout w:type="fixed"/>
        <w:tblCellMar>
          <w:top w:w="0" w:type="dxa"/>
          <w:left w:w="0" w:type="dxa"/>
          <w:bottom w:w="0" w:type="dxa"/>
          <w:right w:w="0" w:type="dxa"/>
        </w:tblCellMar>
      </w:tblPr>
      <w:tblGrid>
        <w:gridCol w:w="1703"/>
        <w:gridCol w:w="1388"/>
        <w:gridCol w:w="1208"/>
        <w:gridCol w:w="2311"/>
      </w:tblGrid>
      <w:tr w14:paraId="0B91AE41">
        <w:tblPrEx>
          <w:tblCellMar>
            <w:top w:w="0" w:type="dxa"/>
            <w:left w:w="0" w:type="dxa"/>
            <w:bottom w:w="0" w:type="dxa"/>
            <w:right w:w="0" w:type="dxa"/>
          </w:tblCellMar>
        </w:tblPrEx>
        <w:trPr>
          <w:trHeight w:val="854" w:hRule="atLeast"/>
        </w:trPr>
        <w:tc>
          <w:tcPr>
            <w:tcW w:w="6610" w:type="dxa"/>
            <w:gridSpan w:val="4"/>
            <w:tcBorders>
              <w:top w:val="single" w:color="000000" w:sz="4" w:space="0"/>
              <w:left w:val="single" w:color="000000" w:sz="4" w:space="0"/>
              <w:bottom w:val="single" w:color="000000" w:sz="4" w:space="0"/>
              <w:right w:val="single" w:color="000000" w:sz="4" w:space="0"/>
            </w:tcBorders>
            <w:noWrap w:val="0"/>
            <w:vAlign w:val="top"/>
          </w:tcPr>
          <w:p w14:paraId="4F02D614">
            <w:pPr>
              <w:pStyle w:val="95"/>
              <w:spacing w:before="306" w:line="211" w:lineRule="auto"/>
              <w:ind w:firstLine="720"/>
              <w:rPr>
                <w:color w:val="auto"/>
                <w:highlight w:val="none"/>
              </w:rPr>
            </w:pPr>
            <w:r>
              <w:rPr>
                <w:color w:val="auto"/>
                <w:sz w:val="24"/>
                <w:szCs w:val="24"/>
                <w:highlight w:val="none"/>
                <w:u w:val="single"/>
              </w:rPr>
              <w:tab/>
            </w:r>
            <w:r>
              <w:rPr>
                <w:rFonts w:hint="eastAsia"/>
                <w:color w:val="auto"/>
                <w:sz w:val="24"/>
                <w:szCs w:val="24"/>
                <w:highlight w:val="none"/>
                <w:u w:val="single"/>
              </w:rPr>
              <w:t xml:space="preserve">    </w:t>
            </w:r>
            <w:r>
              <w:rPr>
                <w:color w:val="auto"/>
                <w:sz w:val="24"/>
                <w:szCs w:val="24"/>
                <w:highlight w:val="none"/>
              </w:rPr>
              <w:t>项目</w:t>
            </w:r>
            <w:r>
              <w:rPr>
                <w:rFonts w:hint="eastAsia"/>
                <w:color w:val="auto"/>
                <w:sz w:val="24"/>
                <w:szCs w:val="24"/>
                <w:highlight w:val="none"/>
                <w:u w:val="single"/>
                <w:lang w:val="en-US" w:eastAsia="zh-CN"/>
              </w:rPr>
              <w:t xml:space="preserve">     </w:t>
            </w:r>
            <w:r>
              <w:rPr>
                <w:color w:val="auto"/>
                <w:sz w:val="24"/>
                <w:szCs w:val="24"/>
                <w:highlight w:val="none"/>
              </w:rPr>
              <w:t>年</w:t>
            </w:r>
            <w:r>
              <w:rPr>
                <w:color w:val="auto"/>
                <w:sz w:val="24"/>
                <w:szCs w:val="24"/>
                <w:highlight w:val="none"/>
                <w:u w:val="single"/>
              </w:rPr>
              <w:t>_   _</w:t>
            </w:r>
            <w:r>
              <w:rPr>
                <w:color w:val="auto"/>
                <w:sz w:val="24"/>
                <w:szCs w:val="24"/>
                <w:highlight w:val="none"/>
              </w:rPr>
              <w:t>月维序人员计划确认单</w:t>
            </w:r>
          </w:p>
        </w:tc>
      </w:tr>
      <w:tr w14:paraId="2F1C19D5">
        <w:tblPrEx>
          <w:tblCellMar>
            <w:top w:w="0" w:type="dxa"/>
            <w:left w:w="0" w:type="dxa"/>
            <w:bottom w:w="0" w:type="dxa"/>
            <w:right w:w="0" w:type="dxa"/>
          </w:tblCellMar>
        </w:tblPrEx>
        <w:trPr>
          <w:trHeight w:val="609" w:hRule="atLeast"/>
        </w:trPr>
        <w:tc>
          <w:tcPr>
            <w:tcW w:w="1703" w:type="dxa"/>
            <w:tcBorders>
              <w:top w:val="single" w:color="000000" w:sz="4" w:space="0"/>
              <w:left w:val="single" w:color="000000" w:sz="4" w:space="0"/>
              <w:bottom w:val="single" w:color="000000" w:sz="4" w:space="0"/>
              <w:right w:val="single" w:color="000000" w:sz="4" w:space="0"/>
            </w:tcBorders>
            <w:noWrap w:val="0"/>
            <w:vAlign w:val="top"/>
          </w:tcPr>
          <w:p w14:paraId="3F3ADFB0">
            <w:pPr>
              <w:pStyle w:val="95"/>
              <w:spacing w:before="189" w:line="218" w:lineRule="auto"/>
              <w:ind w:left="85"/>
              <w:rPr>
                <w:color w:val="auto"/>
                <w:highlight w:val="none"/>
              </w:rPr>
            </w:pPr>
            <w:r>
              <w:rPr>
                <w:color w:val="auto"/>
                <w:spacing w:val="-1"/>
                <w:sz w:val="24"/>
                <w:szCs w:val="24"/>
                <w:highlight w:val="none"/>
              </w:rPr>
              <w:t>供方单位：</w:t>
            </w:r>
          </w:p>
        </w:tc>
        <w:tc>
          <w:tcPr>
            <w:tcW w:w="4907" w:type="dxa"/>
            <w:gridSpan w:val="3"/>
            <w:tcBorders>
              <w:top w:val="single" w:color="000000" w:sz="4" w:space="0"/>
              <w:left w:val="single" w:color="000000" w:sz="4" w:space="0"/>
              <w:bottom w:val="single" w:color="000000" w:sz="4" w:space="0"/>
              <w:right w:val="single" w:color="000000" w:sz="4" w:space="0"/>
            </w:tcBorders>
            <w:noWrap w:val="0"/>
            <w:vAlign w:val="top"/>
          </w:tcPr>
          <w:p w14:paraId="5CC5FDA5">
            <w:pPr>
              <w:snapToGrid w:val="0"/>
              <w:rPr>
                <w:rFonts w:ascii="Arial" w:hAnsi="Arial"/>
                <w:color w:val="auto"/>
                <w:sz w:val="24"/>
                <w:highlight w:val="none"/>
              </w:rPr>
            </w:pPr>
          </w:p>
        </w:tc>
      </w:tr>
      <w:tr w14:paraId="13ABDEA3">
        <w:tblPrEx>
          <w:tblCellMar>
            <w:top w:w="0" w:type="dxa"/>
            <w:left w:w="0" w:type="dxa"/>
            <w:bottom w:w="0" w:type="dxa"/>
            <w:right w:w="0" w:type="dxa"/>
          </w:tblCellMar>
        </w:tblPrEx>
        <w:trPr>
          <w:trHeight w:val="619" w:hRule="atLeast"/>
        </w:trPr>
        <w:tc>
          <w:tcPr>
            <w:tcW w:w="1703" w:type="dxa"/>
            <w:tcBorders>
              <w:top w:val="single" w:color="000000" w:sz="4" w:space="0"/>
              <w:left w:val="single" w:color="000000" w:sz="4" w:space="0"/>
              <w:bottom w:val="single" w:color="000000" w:sz="4" w:space="0"/>
              <w:right w:val="single" w:color="000000" w:sz="4" w:space="0"/>
            </w:tcBorders>
            <w:noWrap w:val="0"/>
            <w:vAlign w:val="top"/>
          </w:tcPr>
          <w:p w14:paraId="3741B082">
            <w:pPr>
              <w:pStyle w:val="95"/>
              <w:spacing w:before="191" w:line="218" w:lineRule="auto"/>
              <w:ind w:left="85"/>
              <w:rPr>
                <w:color w:val="auto"/>
                <w:highlight w:val="none"/>
              </w:rPr>
            </w:pPr>
            <w:r>
              <w:rPr>
                <w:color w:val="auto"/>
                <w:spacing w:val="2"/>
                <w:sz w:val="24"/>
                <w:szCs w:val="24"/>
                <w:highlight w:val="none"/>
              </w:rPr>
              <w:t>人员需求类型</w:t>
            </w:r>
          </w:p>
        </w:tc>
        <w:tc>
          <w:tcPr>
            <w:tcW w:w="4907" w:type="dxa"/>
            <w:gridSpan w:val="3"/>
            <w:tcBorders>
              <w:top w:val="single" w:color="000000" w:sz="4" w:space="0"/>
              <w:left w:val="single" w:color="000000" w:sz="4" w:space="0"/>
              <w:bottom w:val="single" w:color="000000" w:sz="4" w:space="0"/>
              <w:right w:val="single" w:color="000000" w:sz="4" w:space="0"/>
            </w:tcBorders>
            <w:noWrap w:val="0"/>
            <w:vAlign w:val="top"/>
          </w:tcPr>
          <w:p w14:paraId="6B4FFD4A">
            <w:pPr>
              <w:pStyle w:val="95"/>
              <w:spacing w:before="191" w:line="218" w:lineRule="auto"/>
              <w:ind w:left="1141"/>
              <w:rPr>
                <w:color w:val="auto"/>
                <w:highlight w:val="none"/>
              </w:rPr>
            </w:pPr>
            <w:r>
              <w:rPr>
                <w:color w:val="auto"/>
                <w:sz w:val="24"/>
                <w:szCs w:val="24"/>
                <w:highlight w:val="none"/>
              </w:rPr>
              <w:t>口普通岗位□特殊岗位</w:t>
            </w:r>
          </w:p>
        </w:tc>
      </w:tr>
      <w:tr w14:paraId="6114776B">
        <w:tblPrEx>
          <w:tblCellMar>
            <w:top w:w="0" w:type="dxa"/>
            <w:left w:w="0" w:type="dxa"/>
            <w:bottom w:w="0" w:type="dxa"/>
            <w:right w:w="0" w:type="dxa"/>
          </w:tblCellMar>
        </w:tblPrEx>
        <w:trPr>
          <w:trHeight w:val="609" w:hRule="atLeast"/>
        </w:trPr>
        <w:tc>
          <w:tcPr>
            <w:tcW w:w="1703" w:type="dxa"/>
            <w:tcBorders>
              <w:top w:val="single" w:color="000000" w:sz="4" w:space="0"/>
              <w:left w:val="single" w:color="000000" w:sz="4" w:space="0"/>
              <w:bottom w:val="single" w:color="000000" w:sz="4" w:space="0"/>
              <w:right w:val="single" w:color="000000" w:sz="4" w:space="0"/>
            </w:tcBorders>
            <w:noWrap w:val="0"/>
            <w:vAlign w:val="top"/>
          </w:tcPr>
          <w:p w14:paraId="546E0631">
            <w:pPr>
              <w:pStyle w:val="95"/>
              <w:spacing w:before="193" w:line="218" w:lineRule="auto"/>
              <w:ind w:left="85"/>
              <w:rPr>
                <w:color w:val="auto"/>
                <w:highlight w:val="none"/>
              </w:rPr>
            </w:pPr>
            <w:r>
              <w:rPr>
                <w:color w:val="auto"/>
                <w:spacing w:val="5"/>
                <w:sz w:val="24"/>
                <w:szCs w:val="24"/>
                <w:highlight w:val="none"/>
              </w:rPr>
              <w:t>到岗时间</w:t>
            </w:r>
          </w:p>
        </w:tc>
        <w:tc>
          <w:tcPr>
            <w:tcW w:w="4907" w:type="dxa"/>
            <w:gridSpan w:val="3"/>
            <w:tcBorders>
              <w:top w:val="single" w:color="000000" w:sz="4" w:space="0"/>
              <w:left w:val="single" w:color="000000" w:sz="4" w:space="0"/>
              <w:bottom w:val="single" w:color="000000" w:sz="4" w:space="0"/>
              <w:right w:val="single" w:color="000000" w:sz="4" w:space="0"/>
            </w:tcBorders>
            <w:noWrap w:val="0"/>
            <w:vAlign w:val="top"/>
          </w:tcPr>
          <w:p w14:paraId="5A65885D">
            <w:pPr>
              <w:snapToGrid w:val="0"/>
              <w:rPr>
                <w:rFonts w:ascii="Arial" w:hAnsi="Arial"/>
                <w:color w:val="auto"/>
                <w:sz w:val="24"/>
                <w:highlight w:val="none"/>
              </w:rPr>
            </w:pPr>
          </w:p>
        </w:tc>
      </w:tr>
      <w:tr w14:paraId="406D959A">
        <w:tblPrEx>
          <w:tblCellMar>
            <w:top w:w="0" w:type="dxa"/>
            <w:left w:w="0" w:type="dxa"/>
            <w:bottom w:w="0" w:type="dxa"/>
            <w:right w:w="0" w:type="dxa"/>
          </w:tblCellMar>
        </w:tblPrEx>
        <w:trPr>
          <w:trHeight w:val="2687" w:hRule="atLeast"/>
        </w:trPr>
        <w:tc>
          <w:tcPr>
            <w:tcW w:w="1703" w:type="dxa"/>
            <w:tcBorders>
              <w:top w:val="single" w:color="000000" w:sz="4" w:space="0"/>
              <w:left w:val="single" w:color="000000" w:sz="4" w:space="0"/>
              <w:bottom w:val="single" w:color="000000" w:sz="4" w:space="0"/>
              <w:right w:val="single" w:color="000000" w:sz="4" w:space="0"/>
            </w:tcBorders>
            <w:noWrap w:val="0"/>
            <w:vAlign w:val="top"/>
          </w:tcPr>
          <w:p w14:paraId="487F9F27">
            <w:pPr>
              <w:snapToGrid w:val="0"/>
              <w:spacing w:line="285" w:lineRule="auto"/>
              <w:rPr>
                <w:rFonts w:ascii="Arial" w:hAnsi="Arial"/>
                <w:color w:val="auto"/>
                <w:highlight w:val="none"/>
              </w:rPr>
            </w:pPr>
          </w:p>
          <w:p w14:paraId="4A9802A6">
            <w:pPr>
              <w:spacing w:line="285" w:lineRule="auto"/>
              <w:rPr>
                <w:rFonts w:ascii="Arial" w:hAnsi="Arial"/>
                <w:color w:val="auto"/>
                <w:highlight w:val="none"/>
              </w:rPr>
            </w:pPr>
          </w:p>
          <w:p w14:paraId="2F654787">
            <w:pPr>
              <w:spacing w:line="285" w:lineRule="auto"/>
              <w:rPr>
                <w:rFonts w:ascii="Arial" w:hAnsi="Arial"/>
                <w:color w:val="auto"/>
                <w:highlight w:val="none"/>
              </w:rPr>
            </w:pPr>
          </w:p>
          <w:p w14:paraId="72C6A084">
            <w:pPr>
              <w:spacing w:line="285" w:lineRule="auto"/>
              <w:rPr>
                <w:rFonts w:ascii="Arial" w:hAnsi="Arial"/>
                <w:color w:val="auto"/>
                <w:highlight w:val="none"/>
              </w:rPr>
            </w:pPr>
          </w:p>
          <w:p w14:paraId="1E692AEF">
            <w:pPr>
              <w:pStyle w:val="95"/>
              <w:spacing w:before="78" w:line="218" w:lineRule="auto"/>
              <w:ind w:left="345"/>
              <w:rPr>
                <w:color w:val="auto"/>
                <w:highlight w:val="none"/>
              </w:rPr>
            </w:pPr>
            <w:r>
              <w:rPr>
                <w:color w:val="auto"/>
                <w:spacing w:val="2"/>
                <w:sz w:val="24"/>
                <w:szCs w:val="24"/>
                <w:highlight w:val="none"/>
              </w:rPr>
              <w:t>人数需求</w:t>
            </w:r>
          </w:p>
        </w:tc>
        <w:tc>
          <w:tcPr>
            <w:tcW w:w="4907" w:type="dxa"/>
            <w:gridSpan w:val="3"/>
            <w:tcBorders>
              <w:top w:val="single" w:color="000000" w:sz="4" w:space="0"/>
              <w:left w:val="single" w:color="000000" w:sz="4" w:space="0"/>
              <w:bottom w:val="single" w:color="000000" w:sz="4" w:space="0"/>
              <w:right w:val="single" w:color="000000" w:sz="4" w:space="0"/>
            </w:tcBorders>
            <w:noWrap w:val="0"/>
            <w:vAlign w:val="top"/>
          </w:tcPr>
          <w:p w14:paraId="26FD10D0">
            <w:pPr>
              <w:snapToGrid w:val="0"/>
              <w:rPr>
                <w:rFonts w:ascii="Arial" w:hAnsi="Arial"/>
                <w:color w:val="auto"/>
                <w:sz w:val="24"/>
                <w:highlight w:val="none"/>
              </w:rPr>
            </w:pPr>
          </w:p>
        </w:tc>
      </w:tr>
      <w:tr w14:paraId="6CCA678E">
        <w:tblPrEx>
          <w:tblCellMar>
            <w:top w:w="0" w:type="dxa"/>
            <w:left w:w="0" w:type="dxa"/>
            <w:bottom w:w="0" w:type="dxa"/>
            <w:right w:w="0" w:type="dxa"/>
          </w:tblCellMar>
        </w:tblPrEx>
        <w:trPr>
          <w:trHeight w:val="1099" w:hRule="atLeast"/>
        </w:trPr>
        <w:tc>
          <w:tcPr>
            <w:tcW w:w="6610" w:type="dxa"/>
            <w:gridSpan w:val="4"/>
            <w:tcBorders>
              <w:top w:val="single" w:color="000000" w:sz="4" w:space="0"/>
              <w:left w:val="single" w:color="000000" w:sz="4" w:space="0"/>
              <w:bottom w:val="single" w:color="000000" w:sz="4" w:space="0"/>
              <w:right w:val="single" w:color="000000" w:sz="4" w:space="0"/>
            </w:tcBorders>
            <w:noWrap w:val="0"/>
            <w:vAlign w:val="top"/>
          </w:tcPr>
          <w:p w14:paraId="29797B1B">
            <w:pPr>
              <w:pStyle w:val="95"/>
              <w:spacing w:before="257" w:line="218" w:lineRule="auto"/>
              <w:ind w:left="175"/>
              <w:rPr>
                <w:color w:val="auto"/>
                <w:spacing w:val="5"/>
                <w:sz w:val="24"/>
                <w:szCs w:val="24"/>
                <w:highlight w:val="none"/>
              </w:rPr>
            </w:pPr>
            <w:r>
              <w:rPr>
                <w:color w:val="auto"/>
                <w:sz w:val="24"/>
                <w:szCs w:val="24"/>
                <w:highlight w:val="none"/>
              </w:rPr>
              <w:t>请贵司在签署人员需求计划确认单后，尽快做好人员配置工</w:t>
            </w:r>
          </w:p>
          <w:p w14:paraId="15556C1E">
            <w:pPr>
              <w:pStyle w:val="95"/>
              <w:spacing w:before="45" w:line="218" w:lineRule="auto"/>
              <w:ind w:left="2275"/>
              <w:rPr>
                <w:color w:val="auto"/>
                <w:highlight w:val="none"/>
              </w:rPr>
            </w:pPr>
            <w:r>
              <w:rPr>
                <w:color w:val="auto"/>
                <w:spacing w:val="5"/>
                <w:sz w:val="24"/>
                <w:szCs w:val="24"/>
                <w:highlight w:val="none"/>
              </w:rPr>
              <w:t>作，并以此为存证!</w:t>
            </w:r>
          </w:p>
        </w:tc>
      </w:tr>
      <w:tr w14:paraId="34A2CE0F">
        <w:tblPrEx>
          <w:tblCellMar>
            <w:top w:w="0" w:type="dxa"/>
            <w:left w:w="0" w:type="dxa"/>
            <w:bottom w:w="0" w:type="dxa"/>
            <w:right w:w="0" w:type="dxa"/>
          </w:tblCellMar>
        </w:tblPrEx>
        <w:trPr>
          <w:trHeight w:val="609" w:hRule="atLeast"/>
        </w:trPr>
        <w:tc>
          <w:tcPr>
            <w:tcW w:w="1703" w:type="dxa"/>
            <w:tcBorders>
              <w:top w:val="single" w:color="000000" w:sz="4" w:space="0"/>
              <w:left w:val="single" w:color="000000" w:sz="4" w:space="0"/>
              <w:bottom w:val="single" w:color="000000" w:sz="4" w:space="0"/>
              <w:right w:val="single" w:color="000000" w:sz="4" w:space="0"/>
            </w:tcBorders>
            <w:noWrap w:val="0"/>
            <w:vAlign w:val="top"/>
          </w:tcPr>
          <w:p w14:paraId="4824DBBC">
            <w:pPr>
              <w:pStyle w:val="95"/>
              <w:spacing w:before="198" w:line="218" w:lineRule="auto"/>
              <w:ind w:left="455"/>
              <w:rPr>
                <w:color w:val="auto"/>
                <w:highlight w:val="none"/>
              </w:rPr>
            </w:pPr>
            <w:r>
              <w:rPr>
                <w:color w:val="auto"/>
                <w:spacing w:val="3"/>
                <w:sz w:val="24"/>
                <w:szCs w:val="24"/>
                <w:highlight w:val="none"/>
              </w:rPr>
              <w:t>制表人</w:t>
            </w:r>
          </w:p>
        </w:tc>
        <w:tc>
          <w:tcPr>
            <w:tcW w:w="1388" w:type="dxa"/>
            <w:tcBorders>
              <w:top w:val="single" w:color="000000" w:sz="4" w:space="0"/>
              <w:left w:val="single" w:color="000000" w:sz="4" w:space="0"/>
              <w:bottom w:val="single" w:color="000000" w:sz="4" w:space="0"/>
              <w:right w:val="single" w:color="000000" w:sz="4" w:space="0"/>
            </w:tcBorders>
            <w:noWrap w:val="0"/>
            <w:vAlign w:val="top"/>
          </w:tcPr>
          <w:p w14:paraId="5084487A">
            <w:pPr>
              <w:snapToGrid w:val="0"/>
              <w:rPr>
                <w:rFonts w:ascii="Arial" w:hAnsi="Arial"/>
                <w:color w:val="auto"/>
                <w:sz w:val="24"/>
                <w:highlight w:val="none"/>
              </w:rPr>
            </w:pPr>
          </w:p>
        </w:tc>
        <w:tc>
          <w:tcPr>
            <w:tcW w:w="1208" w:type="dxa"/>
            <w:tcBorders>
              <w:top w:val="single" w:color="000000" w:sz="4" w:space="0"/>
              <w:left w:val="single" w:color="000000" w:sz="4" w:space="0"/>
              <w:bottom w:val="single" w:color="000000" w:sz="4" w:space="0"/>
              <w:right w:val="single" w:color="000000" w:sz="4" w:space="0"/>
            </w:tcBorders>
            <w:noWrap w:val="0"/>
            <w:vAlign w:val="top"/>
          </w:tcPr>
          <w:p w14:paraId="523E8072">
            <w:pPr>
              <w:pStyle w:val="95"/>
              <w:spacing w:before="198" w:line="218" w:lineRule="auto"/>
              <w:ind w:left="203"/>
              <w:rPr>
                <w:color w:val="auto"/>
                <w:highlight w:val="none"/>
              </w:rPr>
            </w:pPr>
            <w:r>
              <w:rPr>
                <w:color w:val="auto"/>
                <w:spacing w:val="3"/>
                <w:sz w:val="24"/>
                <w:szCs w:val="24"/>
                <w:highlight w:val="none"/>
              </w:rPr>
              <w:t>责任人</w:t>
            </w:r>
          </w:p>
        </w:tc>
        <w:tc>
          <w:tcPr>
            <w:tcW w:w="2311" w:type="dxa"/>
            <w:tcBorders>
              <w:top w:val="single" w:color="000000" w:sz="4" w:space="0"/>
              <w:left w:val="single" w:color="000000" w:sz="4" w:space="0"/>
              <w:bottom w:val="single" w:color="000000" w:sz="4" w:space="0"/>
              <w:right w:val="single" w:color="000000" w:sz="4" w:space="0"/>
            </w:tcBorders>
            <w:noWrap w:val="0"/>
            <w:vAlign w:val="top"/>
          </w:tcPr>
          <w:p w14:paraId="5F8CBDD0">
            <w:pPr>
              <w:snapToGrid w:val="0"/>
              <w:rPr>
                <w:rFonts w:ascii="Arial" w:hAnsi="Arial"/>
                <w:color w:val="auto"/>
                <w:sz w:val="24"/>
                <w:highlight w:val="none"/>
              </w:rPr>
            </w:pPr>
          </w:p>
        </w:tc>
      </w:tr>
      <w:tr w14:paraId="23BBDBB9">
        <w:tblPrEx>
          <w:tblCellMar>
            <w:top w:w="0" w:type="dxa"/>
            <w:left w:w="0" w:type="dxa"/>
            <w:bottom w:w="0" w:type="dxa"/>
            <w:right w:w="0" w:type="dxa"/>
          </w:tblCellMar>
        </w:tblPrEx>
        <w:trPr>
          <w:trHeight w:val="1413" w:hRule="atLeast"/>
        </w:trPr>
        <w:tc>
          <w:tcPr>
            <w:tcW w:w="1703" w:type="dxa"/>
            <w:tcBorders>
              <w:top w:val="single" w:color="000000" w:sz="4" w:space="0"/>
              <w:left w:val="single" w:color="000000" w:sz="4" w:space="0"/>
              <w:bottom w:val="single" w:color="000000" w:sz="4" w:space="0"/>
              <w:right w:val="single" w:color="000000" w:sz="4" w:space="0"/>
            </w:tcBorders>
            <w:noWrap w:val="0"/>
            <w:vAlign w:val="top"/>
          </w:tcPr>
          <w:p w14:paraId="55C011D4">
            <w:pPr>
              <w:snapToGrid w:val="0"/>
              <w:spacing w:line="256" w:lineRule="auto"/>
              <w:rPr>
                <w:rFonts w:ascii="Arial" w:hAnsi="Arial"/>
                <w:color w:val="auto"/>
                <w:highlight w:val="none"/>
              </w:rPr>
            </w:pPr>
          </w:p>
          <w:p w14:paraId="4457B78D">
            <w:pPr>
              <w:spacing w:line="256" w:lineRule="auto"/>
              <w:rPr>
                <w:rFonts w:ascii="Arial" w:hAnsi="Arial"/>
                <w:color w:val="auto"/>
                <w:highlight w:val="none"/>
              </w:rPr>
            </w:pPr>
          </w:p>
          <w:p w14:paraId="191EC165">
            <w:pPr>
              <w:pStyle w:val="95"/>
              <w:spacing w:before="78" w:line="218" w:lineRule="auto"/>
              <w:ind w:left="134"/>
              <w:rPr>
                <w:color w:val="auto"/>
                <w:highlight w:val="none"/>
              </w:rPr>
            </w:pPr>
            <w:r>
              <w:rPr>
                <w:color w:val="auto"/>
                <w:spacing w:val="2"/>
                <w:sz w:val="24"/>
                <w:szCs w:val="24"/>
                <w:highlight w:val="none"/>
              </w:rPr>
              <w:t>供方单位确认</w:t>
            </w:r>
          </w:p>
        </w:tc>
        <w:tc>
          <w:tcPr>
            <w:tcW w:w="4907" w:type="dxa"/>
            <w:gridSpan w:val="3"/>
            <w:tcBorders>
              <w:top w:val="single" w:color="000000" w:sz="4" w:space="0"/>
              <w:left w:val="single" w:color="000000" w:sz="4" w:space="0"/>
              <w:bottom w:val="single" w:color="000000" w:sz="4" w:space="0"/>
              <w:right w:val="single" w:color="000000" w:sz="4" w:space="0"/>
            </w:tcBorders>
            <w:noWrap w:val="0"/>
            <w:vAlign w:val="top"/>
          </w:tcPr>
          <w:p w14:paraId="0FF797CD">
            <w:pPr>
              <w:snapToGrid w:val="0"/>
              <w:rPr>
                <w:rFonts w:ascii="Arial" w:hAnsi="Arial"/>
                <w:color w:val="auto"/>
                <w:sz w:val="24"/>
                <w:highlight w:val="none"/>
              </w:rPr>
            </w:pPr>
          </w:p>
        </w:tc>
      </w:tr>
    </w:tbl>
    <w:p w14:paraId="674D5908">
      <w:pPr>
        <w:pStyle w:val="15"/>
        <w:spacing w:line="202" w:lineRule="exact"/>
        <w:rPr>
          <w:color w:val="auto"/>
          <w:sz w:val="17"/>
          <w:highlight w:val="none"/>
        </w:rPr>
        <w:sectPr>
          <w:headerReference r:id="rId33" w:type="first"/>
          <w:footerReference r:id="rId36" w:type="first"/>
          <w:headerReference r:id="rId31" w:type="default"/>
          <w:footerReference r:id="rId34" w:type="default"/>
          <w:headerReference r:id="rId32" w:type="even"/>
          <w:footerReference r:id="rId35" w:type="even"/>
          <w:footnotePr>
            <w:pos w:val="beneathText"/>
          </w:footnotePr>
          <w:pgSz w:w="16490" w:h="11560"/>
          <w:pgMar w:top="56" w:right="645" w:bottom="192" w:left="574" w:header="0" w:footer="0" w:gutter="0"/>
          <w:pgNumType w:fmt="decimal"/>
          <w:cols w:space="720" w:num="1"/>
          <w:docGrid w:linePitch="360" w:charSpace="0"/>
        </w:sectPr>
      </w:pPr>
    </w:p>
    <w:p w14:paraId="5FB6555A">
      <w:pPr>
        <w:spacing w:before="135" w:line="218" w:lineRule="auto"/>
        <w:ind w:left="148"/>
        <w:rPr>
          <w:rFonts w:ascii="宋体" w:hAnsi="宋体" w:cs="宋体"/>
          <w:b/>
          <w:bCs/>
          <w:color w:val="auto"/>
          <w:spacing w:val="-22"/>
          <w:sz w:val="25"/>
          <w:szCs w:val="25"/>
          <w:highlight w:val="none"/>
        </w:rPr>
      </w:pPr>
      <w:r>
        <w:rPr>
          <w:rFonts w:ascii="宋体" w:hAnsi="宋体" w:cs="宋体"/>
          <w:b/>
          <w:bCs/>
          <w:color w:val="auto"/>
          <w:spacing w:val="-22"/>
          <w:sz w:val="25"/>
          <w:szCs w:val="25"/>
          <w:highlight w:val="none"/>
        </w:rPr>
        <w:t>附件四：《不合格服务通知单》</w:t>
      </w:r>
    </w:p>
    <w:p w14:paraId="7389B9A1">
      <w:pPr>
        <w:spacing w:line="139" w:lineRule="exact"/>
        <w:rPr>
          <w:rFonts w:ascii="宋体" w:hAnsi="宋体" w:cs="宋体"/>
          <w:b/>
          <w:bCs/>
          <w:color w:val="auto"/>
          <w:spacing w:val="-22"/>
          <w:sz w:val="25"/>
          <w:szCs w:val="25"/>
          <w:highlight w:val="none"/>
        </w:rPr>
      </w:pPr>
    </w:p>
    <w:tbl>
      <w:tblPr>
        <w:tblStyle w:val="42"/>
        <w:tblW w:w="0" w:type="auto"/>
        <w:tblInd w:w="90" w:type="dxa"/>
        <w:tblLayout w:type="fixed"/>
        <w:tblCellMar>
          <w:top w:w="0" w:type="dxa"/>
          <w:left w:w="0" w:type="dxa"/>
          <w:bottom w:w="0" w:type="dxa"/>
          <w:right w:w="0" w:type="dxa"/>
        </w:tblCellMar>
      </w:tblPr>
      <w:tblGrid>
        <w:gridCol w:w="1513"/>
        <w:gridCol w:w="3547"/>
        <w:gridCol w:w="2028"/>
        <w:gridCol w:w="2757"/>
      </w:tblGrid>
      <w:tr w14:paraId="638B116C">
        <w:tblPrEx>
          <w:tblCellMar>
            <w:top w:w="0" w:type="dxa"/>
            <w:left w:w="0" w:type="dxa"/>
            <w:bottom w:w="0" w:type="dxa"/>
            <w:right w:w="0" w:type="dxa"/>
          </w:tblCellMar>
        </w:tblPrEx>
        <w:trPr>
          <w:trHeight w:val="734" w:hRule="atLeast"/>
        </w:trPr>
        <w:tc>
          <w:tcPr>
            <w:tcW w:w="1513" w:type="dxa"/>
            <w:tcBorders>
              <w:top w:val="single" w:color="000000" w:sz="4" w:space="0"/>
              <w:left w:val="single" w:color="000000" w:sz="4" w:space="0"/>
              <w:bottom w:val="single" w:color="000000" w:sz="4" w:space="0"/>
              <w:right w:val="single" w:color="000000" w:sz="4" w:space="0"/>
            </w:tcBorders>
            <w:noWrap w:val="0"/>
            <w:vAlign w:val="center"/>
          </w:tcPr>
          <w:p w14:paraId="45A4FDD4">
            <w:pPr>
              <w:jc w:val="center"/>
              <w:rPr>
                <w:color w:val="auto"/>
                <w:highlight w:val="none"/>
              </w:rPr>
            </w:pPr>
            <w:r>
              <w:rPr>
                <w:color w:val="auto"/>
                <w:highlight w:val="none"/>
              </w:rPr>
              <w:t>供方名称</w:t>
            </w:r>
          </w:p>
        </w:tc>
        <w:tc>
          <w:tcPr>
            <w:tcW w:w="3547" w:type="dxa"/>
            <w:tcBorders>
              <w:top w:val="single" w:color="000000" w:sz="4" w:space="0"/>
              <w:left w:val="single" w:color="000000" w:sz="4" w:space="0"/>
              <w:bottom w:val="single" w:color="000000" w:sz="4" w:space="0"/>
              <w:right w:val="single" w:color="000000" w:sz="4" w:space="0"/>
            </w:tcBorders>
            <w:noWrap w:val="0"/>
            <w:vAlign w:val="center"/>
          </w:tcPr>
          <w:p w14:paraId="5E027567">
            <w:pPr>
              <w:snapToGrid w:val="0"/>
              <w:jc w:val="center"/>
              <w:rPr>
                <w:color w:val="auto"/>
                <w:highlight w:val="none"/>
              </w:rPr>
            </w:pPr>
          </w:p>
        </w:tc>
        <w:tc>
          <w:tcPr>
            <w:tcW w:w="2028" w:type="dxa"/>
            <w:tcBorders>
              <w:top w:val="single" w:color="000000" w:sz="4" w:space="0"/>
              <w:left w:val="single" w:color="000000" w:sz="4" w:space="0"/>
              <w:bottom w:val="single" w:color="000000" w:sz="4" w:space="0"/>
              <w:right w:val="single" w:color="000000" w:sz="4" w:space="0"/>
            </w:tcBorders>
            <w:noWrap w:val="0"/>
            <w:vAlign w:val="center"/>
          </w:tcPr>
          <w:p w14:paraId="19D33B9A">
            <w:pPr>
              <w:jc w:val="center"/>
              <w:rPr>
                <w:color w:val="auto"/>
                <w:highlight w:val="none"/>
              </w:rPr>
            </w:pPr>
            <w:r>
              <w:rPr>
                <w:color w:val="auto"/>
                <w:highlight w:val="none"/>
              </w:rPr>
              <w:t>发现单位</w:t>
            </w:r>
          </w:p>
        </w:tc>
        <w:tc>
          <w:tcPr>
            <w:tcW w:w="2757" w:type="dxa"/>
            <w:tcBorders>
              <w:top w:val="single" w:color="000000" w:sz="4" w:space="0"/>
              <w:left w:val="single" w:color="000000" w:sz="4" w:space="0"/>
              <w:bottom w:val="single" w:color="000000" w:sz="4" w:space="0"/>
              <w:right w:val="single" w:color="000000" w:sz="4" w:space="0"/>
            </w:tcBorders>
            <w:noWrap w:val="0"/>
            <w:vAlign w:val="center"/>
          </w:tcPr>
          <w:p w14:paraId="3C916C07">
            <w:pPr>
              <w:snapToGrid w:val="0"/>
              <w:jc w:val="center"/>
              <w:rPr>
                <w:color w:val="auto"/>
                <w:highlight w:val="none"/>
              </w:rPr>
            </w:pPr>
          </w:p>
        </w:tc>
      </w:tr>
      <w:tr w14:paraId="7EAD0FAA">
        <w:tblPrEx>
          <w:tblCellMar>
            <w:top w:w="0" w:type="dxa"/>
            <w:left w:w="0" w:type="dxa"/>
            <w:bottom w:w="0" w:type="dxa"/>
            <w:right w:w="0" w:type="dxa"/>
          </w:tblCellMar>
        </w:tblPrEx>
        <w:trPr>
          <w:trHeight w:val="719" w:hRule="atLeast"/>
        </w:trPr>
        <w:tc>
          <w:tcPr>
            <w:tcW w:w="1513" w:type="dxa"/>
            <w:tcBorders>
              <w:top w:val="single" w:color="000000" w:sz="4" w:space="0"/>
              <w:left w:val="single" w:color="000000" w:sz="4" w:space="0"/>
              <w:bottom w:val="single" w:color="000000" w:sz="4" w:space="0"/>
              <w:right w:val="single" w:color="000000" w:sz="4" w:space="0"/>
            </w:tcBorders>
            <w:noWrap w:val="0"/>
            <w:vAlign w:val="center"/>
          </w:tcPr>
          <w:p w14:paraId="3A716FFB">
            <w:pPr>
              <w:jc w:val="center"/>
              <w:rPr>
                <w:color w:val="auto"/>
                <w:highlight w:val="none"/>
              </w:rPr>
            </w:pPr>
            <w:r>
              <w:rPr>
                <w:color w:val="auto"/>
                <w:highlight w:val="none"/>
              </w:rPr>
              <w:t>供方联系人</w:t>
            </w:r>
          </w:p>
        </w:tc>
        <w:tc>
          <w:tcPr>
            <w:tcW w:w="3547" w:type="dxa"/>
            <w:tcBorders>
              <w:top w:val="single" w:color="000000" w:sz="4" w:space="0"/>
              <w:left w:val="single" w:color="000000" w:sz="4" w:space="0"/>
              <w:bottom w:val="single" w:color="000000" w:sz="4" w:space="0"/>
              <w:right w:val="single" w:color="000000" w:sz="4" w:space="0"/>
            </w:tcBorders>
            <w:noWrap w:val="0"/>
            <w:vAlign w:val="center"/>
          </w:tcPr>
          <w:p w14:paraId="16417F5E">
            <w:pPr>
              <w:snapToGrid w:val="0"/>
              <w:jc w:val="center"/>
              <w:rPr>
                <w:color w:val="auto"/>
                <w:highlight w:val="none"/>
              </w:rPr>
            </w:pPr>
          </w:p>
        </w:tc>
        <w:tc>
          <w:tcPr>
            <w:tcW w:w="2028" w:type="dxa"/>
            <w:tcBorders>
              <w:top w:val="single" w:color="000000" w:sz="4" w:space="0"/>
              <w:left w:val="single" w:color="000000" w:sz="4" w:space="0"/>
              <w:bottom w:val="single" w:color="000000" w:sz="4" w:space="0"/>
              <w:right w:val="single" w:color="000000" w:sz="4" w:space="0"/>
            </w:tcBorders>
            <w:noWrap w:val="0"/>
            <w:vAlign w:val="center"/>
          </w:tcPr>
          <w:p w14:paraId="19C6EB68">
            <w:pPr>
              <w:jc w:val="center"/>
              <w:rPr>
                <w:color w:val="auto"/>
                <w:highlight w:val="none"/>
              </w:rPr>
            </w:pPr>
            <w:r>
              <w:rPr>
                <w:color w:val="auto"/>
                <w:highlight w:val="none"/>
              </w:rPr>
              <w:t>供方联系电话</w:t>
            </w:r>
          </w:p>
        </w:tc>
        <w:tc>
          <w:tcPr>
            <w:tcW w:w="2757" w:type="dxa"/>
            <w:tcBorders>
              <w:top w:val="single" w:color="000000" w:sz="4" w:space="0"/>
              <w:left w:val="single" w:color="000000" w:sz="4" w:space="0"/>
              <w:bottom w:val="single" w:color="000000" w:sz="4" w:space="0"/>
              <w:right w:val="single" w:color="000000" w:sz="4" w:space="0"/>
            </w:tcBorders>
            <w:noWrap w:val="0"/>
            <w:vAlign w:val="center"/>
          </w:tcPr>
          <w:p w14:paraId="0F659A4E">
            <w:pPr>
              <w:snapToGrid w:val="0"/>
              <w:jc w:val="center"/>
              <w:rPr>
                <w:color w:val="auto"/>
                <w:highlight w:val="none"/>
              </w:rPr>
            </w:pPr>
          </w:p>
        </w:tc>
      </w:tr>
      <w:tr w14:paraId="66F1B257">
        <w:tblPrEx>
          <w:tblCellMar>
            <w:top w:w="0" w:type="dxa"/>
            <w:left w:w="0" w:type="dxa"/>
            <w:bottom w:w="0" w:type="dxa"/>
            <w:right w:w="0" w:type="dxa"/>
          </w:tblCellMar>
        </w:tblPrEx>
        <w:trPr>
          <w:trHeight w:val="2228" w:hRule="atLeast"/>
        </w:trPr>
        <w:tc>
          <w:tcPr>
            <w:tcW w:w="9845" w:type="dxa"/>
            <w:gridSpan w:val="4"/>
            <w:tcBorders>
              <w:top w:val="single" w:color="000000" w:sz="4" w:space="0"/>
              <w:left w:val="single" w:color="000000" w:sz="4" w:space="0"/>
              <w:bottom w:val="single" w:color="000000" w:sz="4" w:space="0"/>
              <w:right w:val="single" w:color="000000" w:sz="4" w:space="0"/>
            </w:tcBorders>
            <w:noWrap w:val="0"/>
            <w:vAlign w:val="center"/>
          </w:tcPr>
          <w:p w14:paraId="19EF5EAA">
            <w:pPr>
              <w:snapToGrid w:val="0"/>
              <w:jc w:val="center"/>
              <w:rPr>
                <w:color w:val="auto"/>
                <w:highlight w:val="none"/>
              </w:rPr>
            </w:pPr>
          </w:p>
          <w:p w14:paraId="5661DF1F">
            <w:pPr>
              <w:rPr>
                <w:color w:val="auto"/>
                <w:highlight w:val="none"/>
              </w:rPr>
            </w:pPr>
            <w:r>
              <w:rPr>
                <w:color w:val="auto"/>
                <w:highlight w:val="none"/>
              </w:rPr>
              <w:t>不合格原因描述：</w:t>
            </w:r>
          </w:p>
          <w:p w14:paraId="23529FFE">
            <w:pPr>
              <w:jc w:val="center"/>
              <w:rPr>
                <w:color w:val="auto"/>
                <w:highlight w:val="none"/>
              </w:rPr>
            </w:pPr>
          </w:p>
          <w:p w14:paraId="2D44825A">
            <w:pPr>
              <w:jc w:val="center"/>
              <w:rPr>
                <w:color w:val="auto"/>
                <w:highlight w:val="none"/>
              </w:rPr>
            </w:pPr>
          </w:p>
          <w:p w14:paraId="1BECA290">
            <w:pPr>
              <w:jc w:val="center"/>
              <w:rPr>
                <w:rFonts w:hint="eastAsia" w:eastAsia="Times New Roman"/>
                <w:color w:val="auto"/>
                <w:highlight w:val="none"/>
              </w:rPr>
            </w:pPr>
            <w:r>
              <w:rPr>
                <w:rFonts w:hint="eastAsia" w:eastAsia="Times New Roman"/>
                <w:color w:val="auto"/>
                <w:highlight w:val="none"/>
              </w:rPr>
              <w:t xml:space="preserve">                                    </w:t>
            </w:r>
            <w:r>
              <w:rPr>
                <w:color w:val="auto"/>
                <w:highlight w:val="none"/>
              </w:rPr>
              <w:t>供方签字：</w:t>
            </w:r>
            <w:r>
              <w:rPr>
                <w:rFonts w:eastAsia="Times New Roman"/>
                <w:color w:val="auto"/>
                <w:highlight w:val="none"/>
              </w:rPr>
              <w:t xml:space="preserve">              </w:t>
            </w:r>
          </w:p>
          <w:p w14:paraId="7D181971">
            <w:pPr>
              <w:jc w:val="center"/>
              <w:rPr>
                <w:color w:val="auto"/>
                <w:highlight w:val="none"/>
              </w:rPr>
            </w:pPr>
            <w:r>
              <w:rPr>
                <w:rFonts w:hint="eastAsia" w:eastAsia="Times New Roman"/>
                <w:color w:val="auto"/>
                <w:highlight w:val="none"/>
              </w:rPr>
              <w:t xml:space="preserve">                                                </w:t>
            </w:r>
            <w:r>
              <w:rPr>
                <w:color w:val="auto"/>
                <w:highlight w:val="none"/>
              </w:rPr>
              <w:t>日</w:t>
            </w:r>
            <w:r>
              <w:rPr>
                <w:rFonts w:eastAsia="Times New Roman"/>
                <w:color w:val="auto"/>
                <w:highlight w:val="none"/>
              </w:rPr>
              <w:t xml:space="preserve">  </w:t>
            </w:r>
            <w:r>
              <w:rPr>
                <w:color w:val="auto"/>
                <w:highlight w:val="none"/>
              </w:rPr>
              <w:t>期</w:t>
            </w:r>
            <w:r>
              <w:rPr>
                <w:rFonts w:eastAsia="Times New Roman"/>
                <w:color w:val="auto"/>
                <w:highlight w:val="none"/>
              </w:rPr>
              <w:t xml:space="preserve">  </w:t>
            </w:r>
            <w:r>
              <w:rPr>
                <w:color w:val="auto"/>
                <w:highlight w:val="none"/>
              </w:rPr>
              <w:t>：</w:t>
            </w:r>
            <w:r>
              <w:rPr>
                <w:rFonts w:eastAsia="Times New Roman"/>
                <w:color w:val="auto"/>
                <w:highlight w:val="none"/>
              </w:rPr>
              <w:t xml:space="preserve">  </w:t>
            </w:r>
            <w:r>
              <w:rPr>
                <w:color w:val="auto"/>
                <w:highlight w:val="none"/>
              </w:rPr>
              <w:t>年</w:t>
            </w:r>
            <w:r>
              <w:rPr>
                <w:rFonts w:eastAsia="Times New Roman"/>
                <w:color w:val="auto"/>
                <w:highlight w:val="none"/>
              </w:rPr>
              <w:t xml:space="preserve">  </w:t>
            </w:r>
            <w:r>
              <w:rPr>
                <w:color w:val="auto"/>
                <w:highlight w:val="none"/>
              </w:rPr>
              <w:t>月</w:t>
            </w:r>
            <w:r>
              <w:rPr>
                <w:rFonts w:eastAsia="Times New Roman"/>
                <w:color w:val="auto"/>
                <w:highlight w:val="none"/>
              </w:rPr>
              <w:t xml:space="preserve">  </w:t>
            </w:r>
            <w:r>
              <w:rPr>
                <w:color w:val="auto"/>
                <w:highlight w:val="none"/>
              </w:rPr>
              <w:t>日</w:t>
            </w:r>
          </w:p>
        </w:tc>
      </w:tr>
      <w:tr w14:paraId="165B1FAB">
        <w:tblPrEx>
          <w:tblCellMar>
            <w:top w:w="0" w:type="dxa"/>
            <w:left w:w="0" w:type="dxa"/>
            <w:bottom w:w="0" w:type="dxa"/>
            <w:right w:w="0" w:type="dxa"/>
          </w:tblCellMar>
        </w:tblPrEx>
        <w:trPr>
          <w:trHeight w:val="3447" w:hRule="atLeast"/>
        </w:trPr>
        <w:tc>
          <w:tcPr>
            <w:tcW w:w="9845" w:type="dxa"/>
            <w:gridSpan w:val="4"/>
            <w:tcBorders>
              <w:top w:val="single" w:color="000000" w:sz="4" w:space="0"/>
              <w:left w:val="single" w:color="000000" w:sz="4" w:space="0"/>
              <w:bottom w:val="single" w:color="000000" w:sz="4" w:space="0"/>
              <w:right w:val="single" w:color="000000" w:sz="4" w:space="0"/>
            </w:tcBorders>
            <w:noWrap w:val="0"/>
            <w:vAlign w:val="center"/>
          </w:tcPr>
          <w:p w14:paraId="1CA0CAA1">
            <w:pPr>
              <w:snapToGrid w:val="0"/>
              <w:jc w:val="center"/>
              <w:rPr>
                <w:color w:val="auto"/>
                <w:highlight w:val="none"/>
              </w:rPr>
            </w:pPr>
          </w:p>
          <w:p w14:paraId="33090976">
            <w:pPr>
              <w:rPr>
                <w:color w:val="auto"/>
                <w:highlight w:val="none"/>
              </w:rPr>
            </w:pPr>
            <w:r>
              <w:rPr>
                <w:color w:val="auto"/>
                <w:highlight w:val="none"/>
              </w:rPr>
              <w:t>服务处复查情况：</w:t>
            </w:r>
          </w:p>
          <w:p w14:paraId="26A0989B">
            <w:pPr>
              <w:jc w:val="center"/>
              <w:rPr>
                <w:color w:val="auto"/>
                <w:highlight w:val="none"/>
              </w:rPr>
            </w:pPr>
          </w:p>
          <w:p w14:paraId="250ABB09">
            <w:pPr>
              <w:jc w:val="center"/>
              <w:rPr>
                <w:color w:val="auto"/>
                <w:highlight w:val="none"/>
              </w:rPr>
            </w:pPr>
          </w:p>
          <w:p w14:paraId="14AC5E0C">
            <w:pPr>
              <w:jc w:val="center"/>
              <w:rPr>
                <w:color w:val="auto"/>
                <w:highlight w:val="none"/>
              </w:rPr>
            </w:pPr>
          </w:p>
          <w:p w14:paraId="5D117A7D">
            <w:pPr>
              <w:jc w:val="center"/>
              <w:rPr>
                <w:color w:val="auto"/>
                <w:highlight w:val="none"/>
              </w:rPr>
            </w:pPr>
          </w:p>
          <w:p w14:paraId="4D2B743E">
            <w:pPr>
              <w:jc w:val="center"/>
              <w:rPr>
                <w:color w:val="auto"/>
                <w:highlight w:val="none"/>
              </w:rPr>
            </w:pPr>
          </w:p>
          <w:p w14:paraId="6DBF7729">
            <w:pPr>
              <w:jc w:val="center"/>
              <w:rPr>
                <w:color w:val="auto"/>
                <w:highlight w:val="none"/>
              </w:rPr>
            </w:pPr>
          </w:p>
          <w:p w14:paraId="07BE1AAE">
            <w:pPr>
              <w:ind w:firstLine="6300"/>
              <w:rPr>
                <w:color w:val="auto"/>
                <w:highlight w:val="none"/>
              </w:rPr>
            </w:pPr>
            <w:r>
              <w:rPr>
                <w:color w:val="auto"/>
                <w:highlight w:val="none"/>
              </w:rPr>
              <w:t>签字：</w:t>
            </w:r>
          </w:p>
          <w:p w14:paraId="7D258108">
            <w:pPr>
              <w:ind w:firstLine="6720"/>
              <w:rPr>
                <w:color w:val="auto"/>
                <w:highlight w:val="none"/>
              </w:rPr>
            </w:pPr>
          </w:p>
          <w:p w14:paraId="716AD09F">
            <w:pPr>
              <w:jc w:val="center"/>
              <w:rPr>
                <w:color w:val="auto"/>
                <w:highlight w:val="none"/>
              </w:rPr>
            </w:pPr>
            <w:r>
              <w:rPr>
                <w:rFonts w:hint="eastAsia" w:eastAsia="Times New Roman"/>
                <w:color w:val="auto"/>
                <w:highlight w:val="none"/>
              </w:rPr>
              <w:t xml:space="preserve">                                                </w:t>
            </w:r>
            <w:r>
              <w:rPr>
                <w:color w:val="auto"/>
                <w:highlight w:val="none"/>
              </w:rPr>
              <w:t>日</w:t>
            </w:r>
            <w:r>
              <w:rPr>
                <w:rFonts w:eastAsia="Times New Roman"/>
                <w:color w:val="auto"/>
                <w:highlight w:val="none"/>
              </w:rPr>
              <w:t xml:space="preserve">  </w:t>
            </w:r>
            <w:r>
              <w:rPr>
                <w:color w:val="auto"/>
                <w:highlight w:val="none"/>
              </w:rPr>
              <w:t>期</w:t>
            </w:r>
            <w:r>
              <w:rPr>
                <w:rFonts w:eastAsia="Times New Roman"/>
                <w:color w:val="auto"/>
                <w:highlight w:val="none"/>
              </w:rPr>
              <w:t xml:space="preserve">  </w:t>
            </w:r>
            <w:r>
              <w:rPr>
                <w:color w:val="auto"/>
                <w:highlight w:val="none"/>
              </w:rPr>
              <w:t>：</w:t>
            </w:r>
            <w:r>
              <w:rPr>
                <w:rFonts w:eastAsia="Times New Roman"/>
                <w:color w:val="auto"/>
                <w:highlight w:val="none"/>
              </w:rPr>
              <w:t xml:space="preserve">  </w:t>
            </w:r>
            <w:r>
              <w:rPr>
                <w:color w:val="auto"/>
                <w:highlight w:val="none"/>
              </w:rPr>
              <w:t>年</w:t>
            </w:r>
            <w:r>
              <w:rPr>
                <w:rFonts w:eastAsia="Times New Roman"/>
                <w:color w:val="auto"/>
                <w:highlight w:val="none"/>
              </w:rPr>
              <w:t xml:space="preserve"> </w:t>
            </w:r>
            <w:r>
              <w:rPr>
                <w:color w:val="auto"/>
                <w:highlight w:val="none"/>
              </w:rPr>
              <w:t>月</w:t>
            </w:r>
            <w:r>
              <w:rPr>
                <w:rFonts w:eastAsia="Times New Roman"/>
                <w:color w:val="auto"/>
                <w:highlight w:val="none"/>
              </w:rPr>
              <w:t xml:space="preserve">  </w:t>
            </w:r>
            <w:r>
              <w:rPr>
                <w:color w:val="auto"/>
                <w:highlight w:val="none"/>
              </w:rPr>
              <w:t>日</w:t>
            </w:r>
          </w:p>
        </w:tc>
      </w:tr>
      <w:tr w14:paraId="3B4677B8">
        <w:tblPrEx>
          <w:tblCellMar>
            <w:top w:w="0" w:type="dxa"/>
            <w:left w:w="0" w:type="dxa"/>
            <w:bottom w:w="0" w:type="dxa"/>
            <w:right w:w="0" w:type="dxa"/>
          </w:tblCellMar>
        </w:tblPrEx>
        <w:trPr>
          <w:trHeight w:val="3078" w:hRule="atLeast"/>
        </w:trPr>
        <w:tc>
          <w:tcPr>
            <w:tcW w:w="9845" w:type="dxa"/>
            <w:gridSpan w:val="4"/>
            <w:tcBorders>
              <w:top w:val="single" w:color="000000" w:sz="4" w:space="0"/>
              <w:left w:val="single" w:color="000000" w:sz="4" w:space="0"/>
              <w:bottom w:val="single" w:color="000000" w:sz="4" w:space="0"/>
              <w:right w:val="single" w:color="000000" w:sz="4" w:space="0"/>
            </w:tcBorders>
            <w:noWrap w:val="0"/>
            <w:vAlign w:val="center"/>
          </w:tcPr>
          <w:p w14:paraId="29A9BA8D">
            <w:pPr>
              <w:snapToGrid w:val="0"/>
              <w:jc w:val="center"/>
              <w:rPr>
                <w:color w:val="auto"/>
                <w:highlight w:val="none"/>
              </w:rPr>
            </w:pPr>
          </w:p>
          <w:p w14:paraId="25AA55F5">
            <w:pPr>
              <w:rPr>
                <w:color w:val="auto"/>
                <w:highlight w:val="none"/>
              </w:rPr>
            </w:pPr>
            <w:r>
              <w:rPr>
                <w:color w:val="auto"/>
                <w:highlight w:val="none"/>
              </w:rPr>
              <w:t>公司职能部门复查情况：</w:t>
            </w:r>
          </w:p>
          <w:p w14:paraId="07B0C664">
            <w:pPr>
              <w:jc w:val="center"/>
              <w:rPr>
                <w:color w:val="auto"/>
                <w:highlight w:val="none"/>
              </w:rPr>
            </w:pPr>
          </w:p>
          <w:p w14:paraId="48815401">
            <w:pPr>
              <w:jc w:val="center"/>
              <w:rPr>
                <w:color w:val="auto"/>
                <w:highlight w:val="none"/>
              </w:rPr>
            </w:pPr>
          </w:p>
          <w:p w14:paraId="1A4F588F">
            <w:pPr>
              <w:jc w:val="center"/>
              <w:rPr>
                <w:color w:val="auto"/>
                <w:highlight w:val="none"/>
              </w:rPr>
            </w:pPr>
          </w:p>
          <w:p w14:paraId="7DED22B5">
            <w:pPr>
              <w:tabs>
                <w:tab w:val="left" w:pos="6300"/>
              </w:tabs>
              <w:jc w:val="center"/>
              <w:rPr>
                <w:color w:val="auto"/>
                <w:highlight w:val="none"/>
              </w:rPr>
            </w:pPr>
          </w:p>
          <w:p w14:paraId="16D5CCA8">
            <w:pPr>
              <w:jc w:val="center"/>
              <w:rPr>
                <w:color w:val="auto"/>
                <w:highlight w:val="none"/>
              </w:rPr>
            </w:pPr>
            <w:r>
              <w:rPr>
                <w:rFonts w:hint="eastAsia" w:eastAsia="Times New Roman"/>
                <w:color w:val="auto"/>
                <w:highlight w:val="none"/>
              </w:rPr>
              <w:t xml:space="preserve">                            </w:t>
            </w:r>
            <w:r>
              <w:rPr>
                <w:color w:val="auto"/>
                <w:highlight w:val="none"/>
              </w:rPr>
              <w:t>签字：</w:t>
            </w:r>
          </w:p>
          <w:p w14:paraId="24008410">
            <w:pPr>
              <w:jc w:val="center"/>
              <w:rPr>
                <w:color w:val="auto"/>
                <w:highlight w:val="none"/>
              </w:rPr>
            </w:pPr>
          </w:p>
          <w:p w14:paraId="7D44EF39">
            <w:pPr>
              <w:jc w:val="center"/>
              <w:rPr>
                <w:color w:val="auto"/>
                <w:highlight w:val="none"/>
              </w:rPr>
            </w:pPr>
            <w:r>
              <w:rPr>
                <w:rFonts w:hint="eastAsia" w:eastAsia="Times New Roman"/>
                <w:color w:val="auto"/>
                <w:highlight w:val="none"/>
              </w:rPr>
              <w:t xml:space="preserve">                                            </w:t>
            </w:r>
            <w:r>
              <w:rPr>
                <w:color w:val="auto"/>
                <w:highlight w:val="none"/>
              </w:rPr>
              <w:t>日</w:t>
            </w:r>
            <w:r>
              <w:rPr>
                <w:rFonts w:eastAsia="Times New Roman"/>
                <w:color w:val="auto"/>
                <w:highlight w:val="none"/>
              </w:rPr>
              <w:t xml:space="preserve">  </w:t>
            </w:r>
            <w:r>
              <w:rPr>
                <w:color w:val="auto"/>
                <w:highlight w:val="none"/>
              </w:rPr>
              <w:t>期</w:t>
            </w:r>
            <w:r>
              <w:rPr>
                <w:rFonts w:eastAsia="Times New Roman"/>
                <w:color w:val="auto"/>
                <w:highlight w:val="none"/>
              </w:rPr>
              <w:t xml:space="preserve">  </w:t>
            </w:r>
            <w:r>
              <w:rPr>
                <w:color w:val="auto"/>
                <w:highlight w:val="none"/>
              </w:rPr>
              <w:t>：</w:t>
            </w:r>
            <w:r>
              <w:rPr>
                <w:rFonts w:eastAsia="Times New Roman"/>
                <w:color w:val="auto"/>
                <w:highlight w:val="none"/>
              </w:rPr>
              <w:t xml:space="preserve">  </w:t>
            </w:r>
            <w:r>
              <w:rPr>
                <w:color w:val="auto"/>
                <w:highlight w:val="none"/>
              </w:rPr>
              <w:t>年</w:t>
            </w:r>
            <w:r>
              <w:rPr>
                <w:rFonts w:eastAsia="Times New Roman"/>
                <w:color w:val="auto"/>
                <w:highlight w:val="none"/>
              </w:rPr>
              <w:t xml:space="preserve">  </w:t>
            </w:r>
            <w:r>
              <w:rPr>
                <w:color w:val="auto"/>
                <w:highlight w:val="none"/>
              </w:rPr>
              <w:t>月</w:t>
            </w:r>
            <w:r>
              <w:rPr>
                <w:rFonts w:eastAsia="Times New Roman"/>
                <w:color w:val="auto"/>
                <w:highlight w:val="none"/>
              </w:rPr>
              <w:t xml:space="preserve">  </w:t>
            </w:r>
            <w:r>
              <w:rPr>
                <w:color w:val="auto"/>
                <w:highlight w:val="none"/>
              </w:rPr>
              <w:t>日</w:t>
            </w:r>
          </w:p>
        </w:tc>
      </w:tr>
      <w:tr w14:paraId="4A65256A">
        <w:tblPrEx>
          <w:tblCellMar>
            <w:top w:w="0" w:type="dxa"/>
            <w:left w:w="0" w:type="dxa"/>
            <w:bottom w:w="0" w:type="dxa"/>
            <w:right w:w="0" w:type="dxa"/>
          </w:tblCellMar>
        </w:tblPrEx>
        <w:trPr>
          <w:trHeight w:val="3083" w:hRule="atLeast"/>
        </w:trPr>
        <w:tc>
          <w:tcPr>
            <w:tcW w:w="9845" w:type="dxa"/>
            <w:gridSpan w:val="4"/>
            <w:tcBorders>
              <w:top w:val="single" w:color="000000" w:sz="4" w:space="0"/>
              <w:left w:val="single" w:color="000000" w:sz="4" w:space="0"/>
              <w:bottom w:val="single" w:color="000000" w:sz="4" w:space="0"/>
              <w:right w:val="single" w:color="000000" w:sz="4" w:space="0"/>
            </w:tcBorders>
            <w:noWrap w:val="0"/>
            <w:vAlign w:val="center"/>
          </w:tcPr>
          <w:p w14:paraId="6581FC20">
            <w:pPr>
              <w:snapToGrid w:val="0"/>
              <w:jc w:val="center"/>
              <w:rPr>
                <w:color w:val="auto"/>
                <w:highlight w:val="none"/>
              </w:rPr>
            </w:pPr>
          </w:p>
          <w:p w14:paraId="051C7829">
            <w:pPr>
              <w:rPr>
                <w:color w:val="auto"/>
                <w:highlight w:val="none"/>
              </w:rPr>
            </w:pPr>
            <w:r>
              <w:rPr>
                <w:color w:val="auto"/>
                <w:highlight w:val="none"/>
              </w:rPr>
              <w:t>分管领导意见：</w:t>
            </w:r>
          </w:p>
          <w:p w14:paraId="5E021721">
            <w:pPr>
              <w:jc w:val="center"/>
              <w:rPr>
                <w:color w:val="auto"/>
                <w:highlight w:val="none"/>
              </w:rPr>
            </w:pPr>
          </w:p>
          <w:p w14:paraId="594C73B5">
            <w:pPr>
              <w:jc w:val="center"/>
              <w:rPr>
                <w:color w:val="auto"/>
                <w:highlight w:val="none"/>
              </w:rPr>
            </w:pPr>
          </w:p>
          <w:p w14:paraId="6CAECB05">
            <w:pPr>
              <w:jc w:val="center"/>
              <w:rPr>
                <w:color w:val="auto"/>
                <w:highlight w:val="none"/>
              </w:rPr>
            </w:pPr>
          </w:p>
          <w:p w14:paraId="1297010D">
            <w:pPr>
              <w:jc w:val="center"/>
              <w:rPr>
                <w:color w:val="auto"/>
                <w:highlight w:val="none"/>
              </w:rPr>
            </w:pPr>
          </w:p>
          <w:p w14:paraId="2711D120">
            <w:pPr>
              <w:jc w:val="center"/>
              <w:rPr>
                <w:color w:val="auto"/>
                <w:highlight w:val="none"/>
              </w:rPr>
            </w:pPr>
            <w:r>
              <w:rPr>
                <w:rFonts w:hint="eastAsia" w:eastAsia="Times New Roman"/>
                <w:color w:val="auto"/>
                <w:highlight w:val="none"/>
              </w:rPr>
              <w:t xml:space="preserve">                     </w:t>
            </w:r>
            <w:r>
              <w:rPr>
                <w:color w:val="auto"/>
                <w:highlight w:val="none"/>
              </w:rPr>
              <w:t>签字：</w:t>
            </w:r>
          </w:p>
          <w:p w14:paraId="2D1CD572">
            <w:pPr>
              <w:jc w:val="center"/>
              <w:rPr>
                <w:color w:val="auto"/>
                <w:highlight w:val="none"/>
              </w:rPr>
            </w:pPr>
          </w:p>
          <w:p w14:paraId="02873F88">
            <w:pPr>
              <w:jc w:val="center"/>
              <w:rPr>
                <w:color w:val="auto"/>
                <w:highlight w:val="none"/>
              </w:rPr>
            </w:pPr>
            <w:r>
              <w:rPr>
                <w:rFonts w:hint="eastAsia" w:eastAsia="Times New Roman"/>
                <w:color w:val="auto"/>
                <w:highlight w:val="none"/>
              </w:rPr>
              <w:t xml:space="preserve">                                   </w:t>
            </w:r>
            <w:r>
              <w:rPr>
                <w:color w:val="auto"/>
                <w:highlight w:val="none"/>
              </w:rPr>
              <w:t>日</w:t>
            </w:r>
            <w:r>
              <w:rPr>
                <w:rFonts w:eastAsia="Times New Roman"/>
                <w:color w:val="auto"/>
                <w:highlight w:val="none"/>
              </w:rPr>
              <w:t xml:space="preserve"> </w:t>
            </w:r>
            <w:r>
              <w:rPr>
                <w:color w:val="auto"/>
                <w:highlight w:val="none"/>
              </w:rPr>
              <w:t>期</w:t>
            </w:r>
            <w:r>
              <w:rPr>
                <w:rFonts w:eastAsia="Times New Roman"/>
                <w:color w:val="auto"/>
                <w:highlight w:val="none"/>
              </w:rPr>
              <w:t xml:space="preserve"> </w:t>
            </w:r>
            <w:r>
              <w:rPr>
                <w:color w:val="auto"/>
                <w:highlight w:val="none"/>
              </w:rPr>
              <w:t>：</w:t>
            </w:r>
            <w:r>
              <w:rPr>
                <w:rFonts w:eastAsia="Times New Roman"/>
                <w:color w:val="auto"/>
                <w:highlight w:val="none"/>
              </w:rPr>
              <w:t xml:space="preserve"> </w:t>
            </w:r>
            <w:r>
              <w:rPr>
                <w:color w:val="auto"/>
                <w:highlight w:val="none"/>
              </w:rPr>
              <w:t>年</w:t>
            </w:r>
            <w:r>
              <w:rPr>
                <w:rFonts w:eastAsia="Times New Roman"/>
                <w:color w:val="auto"/>
                <w:highlight w:val="none"/>
              </w:rPr>
              <w:t xml:space="preserve">    </w:t>
            </w:r>
            <w:r>
              <w:rPr>
                <w:color w:val="auto"/>
                <w:highlight w:val="none"/>
              </w:rPr>
              <w:t>月</w:t>
            </w:r>
            <w:r>
              <w:rPr>
                <w:rFonts w:eastAsia="Times New Roman"/>
                <w:color w:val="auto"/>
                <w:highlight w:val="none"/>
              </w:rPr>
              <w:t xml:space="preserve"> </w:t>
            </w:r>
            <w:r>
              <w:rPr>
                <w:color w:val="auto"/>
                <w:highlight w:val="none"/>
              </w:rPr>
              <w:t>日</w:t>
            </w:r>
          </w:p>
        </w:tc>
      </w:tr>
    </w:tbl>
    <w:p w14:paraId="2AB7ED0C">
      <w:pPr>
        <w:pStyle w:val="15"/>
        <w:rPr>
          <w:color w:val="auto"/>
          <w:highlight w:val="none"/>
        </w:rPr>
        <w:sectPr>
          <w:headerReference r:id="rId39" w:type="first"/>
          <w:footerReference r:id="rId42" w:type="first"/>
          <w:headerReference r:id="rId37" w:type="default"/>
          <w:footerReference r:id="rId40" w:type="default"/>
          <w:headerReference r:id="rId38" w:type="even"/>
          <w:footerReference r:id="rId41" w:type="even"/>
          <w:footnotePr>
            <w:pos w:val="beneathText"/>
          </w:footnotePr>
          <w:pgSz w:w="11560" w:h="16490"/>
          <w:pgMar w:top="400" w:right="619" w:bottom="581" w:left="939" w:header="0" w:footer="344" w:gutter="0"/>
          <w:pgNumType w:fmt="decimal"/>
          <w:cols w:space="720" w:num="1"/>
          <w:docGrid w:linePitch="360" w:charSpace="0"/>
        </w:sectPr>
      </w:pPr>
    </w:p>
    <w:p w14:paraId="7C7692C1">
      <w:pPr>
        <w:spacing w:before="168" w:line="237" w:lineRule="auto"/>
        <w:ind w:left="23"/>
        <w:rPr>
          <w:rFonts w:ascii="宋体" w:hAnsi="宋体" w:cs="宋体"/>
          <w:color w:val="auto"/>
          <w:sz w:val="24"/>
          <w:highlight w:val="none"/>
        </w:rPr>
      </w:pPr>
      <w:r>
        <w:rPr>
          <w:rFonts w:ascii="黑体" w:hAnsi="黑体" w:eastAsia="黑体" w:cs="黑体"/>
          <w:b/>
          <w:bCs/>
          <w:color w:val="auto"/>
          <w:spacing w:val="-4"/>
          <w:sz w:val="24"/>
          <w:highlight w:val="none"/>
        </w:rPr>
        <w:t>附件五</w:t>
      </w:r>
      <w:r>
        <w:rPr>
          <w:rFonts w:ascii="宋体" w:hAnsi="宋体" w:cs="宋体"/>
          <w:b/>
          <w:bCs/>
          <w:color w:val="auto"/>
          <w:spacing w:val="-22"/>
          <w:sz w:val="25"/>
          <w:szCs w:val="25"/>
          <w:highlight w:val="none"/>
        </w:rPr>
        <w:t>：《  维序员宣贯签到表》</w:t>
      </w:r>
    </w:p>
    <w:p w14:paraId="0CB1C05E">
      <w:pPr>
        <w:pStyle w:val="15"/>
        <w:spacing w:line="264" w:lineRule="auto"/>
        <w:rPr>
          <w:rFonts w:ascii="宋体" w:hAnsi="宋体" w:cs="宋体"/>
          <w:color w:val="auto"/>
          <w:highlight w:val="none"/>
        </w:rPr>
      </w:pPr>
    </w:p>
    <w:p w14:paraId="47AF6E55">
      <w:pPr>
        <w:spacing w:before="78" w:line="228" w:lineRule="auto"/>
        <w:ind w:left="23"/>
        <w:rPr>
          <w:rFonts w:ascii="黑体" w:hAnsi="黑体" w:eastAsia="黑体" w:cs="黑体"/>
          <w:b/>
          <w:bCs/>
          <w:color w:val="auto"/>
          <w:spacing w:val="-17"/>
          <w:sz w:val="24"/>
          <w:highlight w:val="none"/>
        </w:rPr>
      </w:pPr>
      <w:r>
        <w:rPr>
          <w:rFonts w:ascii="黑体" w:hAnsi="黑体" w:eastAsia="黑体" w:cs="黑体"/>
          <w:b/>
          <w:bCs/>
          <w:color w:val="auto"/>
          <w:spacing w:val="-14"/>
          <w:position w:val="-2"/>
          <w:sz w:val="24"/>
          <w:highlight w:val="none"/>
        </w:rPr>
        <w:t>使用单</w:t>
      </w:r>
      <w:r>
        <w:rPr>
          <w:rFonts w:ascii="黑体" w:hAnsi="黑体" w:eastAsia="黑体" w:cs="黑体"/>
          <w:b/>
          <w:bCs/>
          <w:color w:val="auto"/>
          <w:spacing w:val="-14"/>
          <w:position w:val="-2"/>
          <w:sz w:val="24"/>
          <w:highlight w:val="none"/>
          <w:u w:val="single"/>
        </w:rPr>
        <w:t>位</w:t>
      </w:r>
      <w:r>
        <w:rPr>
          <w:rFonts w:ascii="黑体" w:hAnsi="黑体" w:eastAsia="黑体" w:cs="黑体"/>
          <w:color w:val="auto"/>
          <w:spacing w:val="-14"/>
          <w:position w:val="-2"/>
          <w:sz w:val="24"/>
          <w:highlight w:val="none"/>
          <w:u w:val="single"/>
        </w:rPr>
        <w:t xml:space="preserve"> </w:t>
      </w:r>
      <w:r>
        <w:rPr>
          <w:rFonts w:ascii="黑体" w:hAnsi="黑体" w:eastAsia="黑体" w:cs="黑体"/>
          <w:b/>
          <w:bCs/>
          <w:color w:val="auto"/>
          <w:spacing w:val="-14"/>
          <w:position w:val="-2"/>
          <w:sz w:val="24"/>
          <w:highlight w:val="none"/>
          <w:u w:val="single"/>
        </w:rPr>
        <w:t>：</w:t>
      </w:r>
      <w:r>
        <w:rPr>
          <w:rFonts w:ascii="黑体" w:hAnsi="黑体" w:eastAsia="黑体" w:cs="黑体"/>
          <w:color w:val="auto"/>
          <w:spacing w:val="-14"/>
          <w:position w:val="-2"/>
          <w:sz w:val="24"/>
          <w:highlight w:val="none"/>
          <w:u w:val="single"/>
        </w:rPr>
        <w:t xml:space="preserve">                 </w:t>
      </w:r>
      <w:r>
        <w:rPr>
          <w:rFonts w:ascii="黑体" w:hAnsi="黑体" w:eastAsia="黑体" w:cs="黑体"/>
          <w:color w:val="auto"/>
          <w:spacing w:val="-14"/>
          <w:position w:val="-2"/>
          <w:sz w:val="24"/>
          <w:highlight w:val="none"/>
        </w:rPr>
        <w:t xml:space="preserve">    </w:t>
      </w:r>
      <w:r>
        <w:rPr>
          <w:rFonts w:ascii="黑体" w:hAnsi="黑体" w:eastAsia="黑体" w:cs="黑体"/>
          <w:b/>
          <w:bCs/>
          <w:color w:val="auto"/>
          <w:spacing w:val="-14"/>
          <w:sz w:val="24"/>
          <w:highlight w:val="none"/>
        </w:rPr>
        <w:t>主持：</w:t>
      </w:r>
      <w:r>
        <w:rPr>
          <w:rFonts w:ascii="黑体" w:hAnsi="黑体" w:eastAsia="黑体" w:cs="黑体"/>
          <w:color w:val="auto"/>
          <w:spacing w:val="6"/>
          <w:sz w:val="24"/>
          <w:highlight w:val="none"/>
          <w:u w:val="single"/>
        </w:rPr>
        <w:t xml:space="preserve">            </w:t>
      </w:r>
      <w:r>
        <w:rPr>
          <w:rFonts w:ascii="黑体" w:hAnsi="黑体" w:eastAsia="黑体" w:cs="黑体"/>
          <w:color w:val="auto"/>
          <w:spacing w:val="7"/>
          <w:sz w:val="24"/>
          <w:highlight w:val="none"/>
        </w:rPr>
        <w:t xml:space="preserve">    </w:t>
      </w:r>
      <w:r>
        <w:rPr>
          <w:rFonts w:ascii="黑体" w:hAnsi="黑体" w:eastAsia="黑体" w:cs="黑体"/>
          <w:b/>
          <w:bCs/>
          <w:color w:val="auto"/>
          <w:spacing w:val="-14"/>
          <w:position w:val="2"/>
          <w:sz w:val="23"/>
          <w:szCs w:val="23"/>
          <w:highlight w:val="none"/>
        </w:rPr>
        <w:t>记录人：</w:t>
      </w:r>
      <w:r>
        <w:rPr>
          <w:rFonts w:ascii="黑体" w:hAnsi="黑体" w:eastAsia="黑体" w:cs="黑体"/>
          <w:color w:val="auto"/>
          <w:position w:val="2"/>
          <w:sz w:val="23"/>
          <w:szCs w:val="23"/>
          <w:highlight w:val="none"/>
          <w:u w:val="single"/>
        </w:rPr>
        <w:t xml:space="preserve">                  </w:t>
      </w:r>
    </w:p>
    <w:p w14:paraId="5E811963">
      <w:pPr>
        <w:spacing w:before="224" w:line="237" w:lineRule="auto"/>
        <w:ind w:left="23"/>
        <w:rPr>
          <w:rFonts w:ascii="黑体" w:hAnsi="黑体" w:eastAsia="黑体" w:cs="黑体"/>
          <w:color w:val="auto"/>
          <w:spacing w:val="-6"/>
          <w:sz w:val="24"/>
          <w:highlight w:val="none"/>
        </w:rPr>
      </w:pPr>
      <w:r>
        <w:rPr>
          <w:rFonts w:ascii="黑体" w:hAnsi="黑体" w:eastAsia="黑体" w:cs="黑体"/>
          <w:b/>
          <w:bCs/>
          <w:color w:val="auto"/>
          <w:spacing w:val="-17"/>
          <w:sz w:val="24"/>
          <w:highlight w:val="none"/>
        </w:rPr>
        <w:t>时间：</w:t>
      </w:r>
      <w:r>
        <w:rPr>
          <w:rFonts w:ascii="黑体" w:hAnsi="黑体" w:eastAsia="黑体" w:cs="黑体"/>
          <w:color w:val="auto"/>
          <w:spacing w:val="-81"/>
          <w:sz w:val="24"/>
          <w:highlight w:val="none"/>
        </w:rPr>
        <w:t xml:space="preserve"> </w:t>
      </w:r>
      <w:r>
        <w:rPr>
          <w:rFonts w:ascii="黑体" w:hAnsi="黑体" w:eastAsia="黑体" w:cs="黑体"/>
          <w:color w:val="auto"/>
          <w:spacing w:val="3"/>
          <w:sz w:val="24"/>
          <w:highlight w:val="none"/>
          <w:u w:val="single"/>
        </w:rPr>
        <w:t xml:space="preserve">                    </w:t>
      </w:r>
      <w:r>
        <w:rPr>
          <w:rFonts w:ascii="黑体" w:hAnsi="黑体" w:eastAsia="黑体" w:cs="黑体"/>
          <w:color w:val="auto"/>
          <w:spacing w:val="17"/>
          <w:sz w:val="24"/>
          <w:highlight w:val="none"/>
        </w:rPr>
        <w:t xml:space="preserve">   </w:t>
      </w:r>
      <w:r>
        <w:rPr>
          <w:rFonts w:ascii="黑体" w:hAnsi="黑体" w:eastAsia="黑体" w:cs="黑体"/>
          <w:b/>
          <w:bCs/>
          <w:color w:val="auto"/>
          <w:spacing w:val="-17"/>
          <w:sz w:val="24"/>
          <w:highlight w:val="none"/>
        </w:rPr>
        <w:t>地点：</w:t>
      </w:r>
      <w:r>
        <w:rPr>
          <w:rFonts w:ascii="黑体" w:hAnsi="黑体" w:eastAsia="黑体" w:cs="黑体"/>
          <w:color w:val="auto"/>
          <w:sz w:val="24"/>
          <w:highlight w:val="none"/>
          <w:u w:val="single"/>
        </w:rPr>
        <w:t xml:space="preserve">                                         </w:t>
      </w:r>
    </w:p>
    <w:p w14:paraId="3FC0A8CB">
      <w:pPr>
        <w:spacing w:before="224" w:line="237" w:lineRule="auto"/>
        <w:ind w:left="23"/>
        <w:rPr>
          <w:rFonts w:ascii="黑体" w:hAnsi="黑体" w:eastAsia="黑体" w:cs="黑体"/>
          <w:color w:val="auto"/>
          <w:sz w:val="24"/>
          <w:highlight w:val="none"/>
        </w:rPr>
      </w:pPr>
      <w:r>
        <w:rPr>
          <w:rFonts w:ascii="黑体" w:hAnsi="黑体" w:eastAsia="黑体" w:cs="黑体"/>
          <w:color w:val="auto"/>
          <w:spacing w:val="-6"/>
          <w:sz w:val="24"/>
          <w:highlight w:val="none"/>
        </w:rPr>
        <w:t>会议/培训主题：必须包括但不限于人员不得参与任何形式的打架斗殴；参加打架斗殴造成治安或刑</w:t>
      </w:r>
      <w:r>
        <w:rPr>
          <w:rFonts w:ascii="黑体" w:hAnsi="黑体" w:eastAsia="黑体" w:cs="黑体"/>
          <w:color w:val="auto"/>
          <w:spacing w:val="-1"/>
          <w:sz w:val="24"/>
          <w:highlight w:val="none"/>
        </w:rPr>
        <w:t>案件的法律风险均由乙方承担；人员有隐瞒</w:t>
      </w:r>
      <w:r>
        <w:rPr>
          <w:rFonts w:ascii="黑体" w:hAnsi="黑体" w:eastAsia="黑体" w:cs="黑体"/>
          <w:color w:val="auto"/>
          <w:spacing w:val="-2"/>
          <w:sz w:val="24"/>
          <w:highlight w:val="none"/>
        </w:rPr>
        <w:t>犯罪前科的，更换人员。</w:t>
      </w:r>
      <w:r>
        <w:rPr>
          <w:rFonts w:ascii="黑体" w:hAnsi="黑体" w:eastAsia="黑体" w:cs="黑体"/>
          <w:color w:val="auto"/>
          <w:sz w:val="24"/>
          <w:highlight w:val="none"/>
          <w:u w:val="single"/>
        </w:rPr>
        <w:t xml:space="preserve">                          </w:t>
      </w:r>
    </w:p>
    <w:p w14:paraId="36639D4A">
      <w:pPr>
        <w:spacing w:before="3"/>
        <w:rPr>
          <w:rFonts w:ascii="黑体" w:hAnsi="黑体" w:eastAsia="黑体" w:cs="黑体"/>
          <w:color w:val="auto"/>
          <w:sz w:val="24"/>
          <w:highlight w:val="none"/>
        </w:rPr>
      </w:pPr>
    </w:p>
    <w:tbl>
      <w:tblPr>
        <w:tblStyle w:val="42"/>
        <w:tblW w:w="0" w:type="auto"/>
        <w:tblInd w:w="-534" w:type="dxa"/>
        <w:tblLayout w:type="fixed"/>
        <w:tblCellMar>
          <w:top w:w="0" w:type="dxa"/>
          <w:left w:w="0" w:type="dxa"/>
          <w:bottom w:w="0" w:type="dxa"/>
          <w:right w:w="0" w:type="dxa"/>
        </w:tblCellMar>
      </w:tblPr>
      <w:tblGrid>
        <w:gridCol w:w="1074"/>
        <w:gridCol w:w="1489"/>
        <w:gridCol w:w="1978"/>
        <w:gridCol w:w="1828"/>
        <w:gridCol w:w="1938"/>
        <w:gridCol w:w="1823"/>
      </w:tblGrid>
      <w:tr w14:paraId="387920BD">
        <w:tblPrEx>
          <w:tblCellMar>
            <w:top w:w="0" w:type="dxa"/>
            <w:left w:w="0" w:type="dxa"/>
            <w:bottom w:w="0" w:type="dxa"/>
            <w:right w:w="0" w:type="dxa"/>
          </w:tblCellMar>
        </w:tblPrEx>
        <w:trPr>
          <w:trHeight w:val="325" w:hRule="atLeast"/>
        </w:trPr>
        <w:tc>
          <w:tcPr>
            <w:tcW w:w="1074" w:type="dxa"/>
            <w:tcBorders>
              <w:top w:val="single" w:color="000000" w:sz="4" w:space="0"/>
              <w:left w:val="single" w:color="000000" w:sz="4" w:space="0"/>
              <w:bottom w:val="single" w:color="000000" w:sz="4" w:space="0"/>
              <w:right w:val="single" w:color="000000" w:sz="4" w:space="0"/>
            </w:tcBorders>
            <w:noWrap w:val="0"/>
            <w:vAlign w:val="top"/>
          </w:tcPr>
          <w:p w14:paraId="2E183ADD">
            <w:pPr>
              <w:pStyle w:val="95"/>
              <w:spacing w:before="64" w:line="218" w:lineRule="auto"/>
              <w:ind w:left="314"/>
              <w:rPr>
                <w:color w:val="auto"/>
                <w:highlight w:val="none"/>
              </w:rPr>
            </w:pPr>
            <w:r>
              <w:rPr>
                <w:color w:val="auto"/>
                <w:spacing w:val="6"/>
                <w:highlight w:val="none"/>
              </w:rPr>
              <w:t>序号</w:t>
            </w:r>
          </w:p>
        </w:tc>
        <w:tc>
          <w:tcPr>
            <w:tcW w:w="1489" w:type="dxa"/>
            <w:tcBorders>
              <w:top w:val="single" w:color="000000" w:sz="4" w:space="0"/>
              <w:left w:val="single" w:color="000000" w:sz="4" w:space="0"/>
              <w:bottom w:val="single" w:color="000000" w:sz="4" w:space="0"/>
              <w:right w:val="single" w:color="000000" w:sz="4" w:space="0"/>
            </w:tcBorders>
            <w:noWrap w:val="0"/>
            <w:vAlign w:val="top"/>
          </w:tcPr>
          <w:p w14:paraId="0D724A1C">
            <w:pPr>
              <w:pStyle w:val="95"/>
              <w:spacing w:before="62" w:line="218" w:lineRule="auto"/>
              <w:ind w:left="301"/>
              <w:rPr>
                <w:color w:val="auto"/>
                <w:highlight w:val="none"/>
              </w:rPr>
            </w:pPr>
            <w:r>
              <w:rPr>
                <w:color w:val="auto"/>
                <w:spacing w:val="7"/>
                <w:highlight w:val="none"/>
              </w:rPr>
              <w:t>与会人员</w:t>
            </w:r>
          </w:p>
        </w:tc>
        <w:tc>
          <w:tcPr>
            <w:tcW w:w="1978" w:type="dxa"/>
            <w:tcBorders>
              <w:top w:val="single" w:color="000000" w:sz="4" w:space="0"/>
              <w:left w:val="single" w:color="000000" w:sz="4" w:space="0"/>
              <w:bottom w:val="single" w:color="000000" w:sz="4" w:space="0"/>
              <w:right w:val="single" w:color="000000" w:sz="4" w:space="0"/>
            </w:tcBorders>
            <w:noWrap w:val="0"/>
            <w:vAlign w:val="top"/>
          </w:tcPr>
          <w:p w14:paraId="308CE740">
            <w:pPr>
              <w:pStyle w:val="95"/>
              <w:spacing w:before="63" w:line="218" w:lineRule="auto"/>
              <w:ind w:left="381"/>
              <w:rPr>
                <w:color w:val="auto"/>
                <w:highlight w:val="none"/>
              </w:rPr>
            </w:pPr>
            <w:r>
              <w:rPr>
                <w:color w:val="auto"/>
                <w:spacing w:val="-2"/>
                <w:highlight w:val="none"/>
              </w:rPr>
              <w:t>部门/服务处</w:t>
            </w:r>
          </w:p>
        </w:tc>
        <w:tc>
          <w:tcPr>
            <w:tcW w:w="1828" w:type="dxa"/>
            <w:tcBorders>
              <w:top w:val="single" w:color="000000" w:sz="4" w:space="0"/>
              <w:left w:val="single" w:color="000000" w:sz="4" w:space="0"/>
              <w:bottom w:val="single" w:color="000000" w:sz="4" w:space="0"/>
              <w:right w:val="single" w:color="000000" w:sz="4" w:space="0"/>
            </w:tcBorders>
            <w:noWrap w:val="0"/>
            <w:vAlign w:val="top"/>
          </w:tcPr>
          <w:p w14:paraId="4982F1C2">
            <w:pPr>
              <w:pStyle w:val="95"/>
              <w:spacing w:before="63" w:line="218" w:lineRule="auto"/>
              <w:ind w:left="694"/>
              <w:rPr>
                <w:color w:val="auto"/>
                <w:highlight w:val="none"/>
              </w:rPr>
            </w:pPr>
            <w:r>
              <w:rPr>
                <w:color w:val="auto"/>
                <w:spacing w:val="-3"/>
                <w:highlight w:val="none"/>
              </w:rPr>
              <w:t>职务</w:t>
            </w:r>
          </w:p>
        </w:tc>
        <w:tc>
          <w:tcPr>
            <w:tcW w:w="1938" w:type="dxa"/>
            <w:tcBorders>
              <w:top w:val="single" w:color="000000" w:sz="4" w:space="0"/>
              <w:left w:val="single" w:color="000000" w:sz="4" w:space="0"/>
              <w:bottom w:val="single" w:color="000000" w:sz="4" w:space="0"/>
              <w:right w:val="single" w:color="000000" w:sz="4" w:space="0"/>
            </w:tcBorders>
            <w:noWrap w:val="0"/>
            <w:vAlign w:val="top"/>
          </w:tcPr>
          <w:p w14:paraId="718D4214">
            <w:pPr>
              <w:pStyle w:val="95"/>
              <w:spacing w:before="64" w:line="218" w:lineRule="auto"/>
              <w:ind w:left="426"/>
              <w:rPr>
                <w:color w:val="auto"/>
                <w:highlight w:val="none"/>
              </w:rPr>
            </w:pPr>
            <w:r>
              <w:rPr>
                <w:color w:val="auto"/>
                <w:spacing w:val="5"/>
                <w:highlight w:val="none"/>
              </w:rPr>
              <w:t>参加者签名</w:t>
            </w:r>
          </w:p>
        </w:tc>
        <w:tc>
          <w:tcPr>
            <w:tcW w:w="1823" w:type="dxa"/>
            <w:tcBorders>
              <w:top w:val="single" w:color="000000" w:sz="4" w:space="0"/>
              <w:left w:val="single" w:color="000000" w:sz="4" w:space="0"/>
              <w:bottom w:val="single" w:color="000000" w:sz="4" w:space="0"/>
              <w:right w:val="single" w:color="000000" w:sz="4" w:space="0"/>
            </w:tcBorders>
            <w:noWrap w:val="0"/>
            <w:vAlign w:val="top"/>
          </w:tcPr>
          <w:p w14:paraId="5AD394D0">
            <w:pPr>
              <w:pStyle w:val="95"/>
              <w:spacing w:before="62" w:line="218" w:lineRule="auto"/>
              <w:ind w:left="597"/>
              <w:rPr>
                <w:color w:val="auto"/>
                <w:highlight w:val="none"/>
              </w:rPr>
            </w:pPr>
            <w:r>
              <w:rPr>
                <w:color w:val="auto"/>
                <w:spacing w:val="6"/>
                <w:highlight w:val="none"/>
              </w:rPr>
              <w:t>请假事由</w:t>
            </w:r>
          </w:p>
        </w:tc>
      </w:tr>
      <w:tr w14:paraId="0ACFE59F">
        <w:tblPrEx>
          <w:tblCellMar>
            <w:top w:w="0" w:type="dxa"/>
            <w:left w:w="0" w:type="dxa"/>
            <w:bottom w:w="0" w:type="dxa"/>
            <w:right w:w="0" w:type="dxa"/>
          </w:tblCellMar>
        </w:tblPrEx>
        <w:trPr>
          <w:trHeight w:val="580" w:hRule="atLeast"/>
        </w:trPr>
        <w:tc>
          <w:tcPr>
            <w:tcW w:w="1074" w:type="dxa"/>
            <w:tcBorders>
              <w:top w:val="single" w:color="000000" w:sz="4" w:space="0"/>
              <w:left w:val="single" w:color="000000" w:sz="4" w:space="0"/>
              <w:bottom w:val="single" w:color="000000" w:sz="4" w:space="0"/>
              <w:right w:val="single" w:color="000000" w:sz="4" w:space="0"/>
            </w:tcBorders>
            <w:noWrap w:val="0"/>
            <w:vAlign w:val="top"/>
          </w:tcPr>
          <w:p w14:paraId="004FF810">
            <w:pPr>
              <w:pStyle w:val="95"/>
              <w:spacing w:before="241" w:line="182" w:lineRule="auto"/>
              <w:ind w:left="474"/>
              <w:rPr>
                <w:color w:val="auto"/>
                <w:highlight w:val="none"/>
              </w:rPr>
            </w:pPr>
            <w:r>
              <w:rPr>
                <w:color w:val="auto"/>
                <w:highlight w:val="none"/>
              </w:rPr>
              <w:t>1</w:t>
            </w:r>
          </w:p>
        </w:tc>
        <w:tc>
          <w:tcPr>
            <w:tcW w:w="1489" w:type="dxa"/>
            <w:tcBorders>
              <w:top w:val="single" w:color="000000" w:sz="4" w:space="0"/>
              <w:left w:val="single" w:color="000000" w:sz="4" w:space="0"/>
              <w:bottom w:val="single" w:color="000000" w:sz="4" w:space="0"/>
              <w:right w:val="single" w:color="000000" w:sz="4" w:space="0"/>
            </w:tcBorders>
            <w:noWrap w:val="0"/>
            <w:vAlign w:val="top"/>
          </w:tcPr>
          <w:p w14:paraId="489A2145">
            <w:pPr>
              <w:snapToGrid w:val="0"/>
              <w:rPr>
                <w:rFonts w:ascii="Arial" w:hAnsi="Arial"/>
                <w:color w:val="auto"/>
                <w:highlight w:val="none"/>
              </w:rPr>
            </w:pPr>
          </w:p>
        </w:tc>
        <w:tc>
          <w:tcPr>
            <w:tcW w:w="1978" w:type="dxa"/>
            <w:tcBorders>
              <w:top w:val="single" w:color="000000" w:sz="4" w:space="0"/>
              <w:left w:val="single" w:color="000000" w:sz="4" w:space="0"/>
              <w:bottom w:val="single" w:color="000000" w:sz="4" w:space="0"/>
              <w:right w:val="single" w:color="000000" w:sz="4" w:space="0"/>
            </w:tcBorders>
            <w:noWrap w:val="0"/>
            <w:vAlign w:val="top"/>
          </w:tcPr>
          <w:p w14:paraId="53E7EAE8">
            <w:pPr>
              <w:snapToGrid w:val="0"/>
              <w:rPr>
                <w:rFonts w:ascii="Arial" w:hAnsi="Arial"/>
                <w:color w:val="auto"/>
                <w:highlight w:val="none"/>
              </w:rPr>
            </w:pPr>
          </w:p>
        </w:tc>
        <w:tc>
          <w:tcPr>
            <w:tcW w:w="1828" w:type="dxa"/>
            <w:tcBorders>
              <w:top w:val="single" w:color="000000" w:sz="4" w:space="0"/>
              <w:left w:val="single" w:color="000000" w:sz="4" w:space="0"/>
              <w:bottom w:val="single" w:color="000000" w:sz="4" w:space="0"/>
              <w:right w:val="single" w:color="000000" w:sz="4" w:space="0"/>
            </w:tcBorders>
            <w:noWrap w:val="0"/>
            <w:vAlign w:val="top"/>
          </w:tcPr>
          <w:p w14:paraId="213C721B">
            <w:pPr>
              <w:snapToGrid w:val="0"/>
              <w:rPr>
                <w:rFonts w:ascii="Arial" w:hAnsi="Arial"/>
                <w:color w:val="auto"/>
                <w:highlight w:val="none"/>
              </w:rPr>
            </w:pPr>
          </w:p>
        </w:tc>
        <w:tc>
          <w:tcPr>
            <w:tcW w:w="1938" w:type="dxa"/>
            <w:tcBorders>
              <w:top w:val="single" w:color="000000" w:sz="4" w:space="0"/>
              <w:left w:val="single" w:color="000000" w:sz="4" w:space="0"/>
              <w:bottom w:val="single" w:color="000000" w:sz="4" w:space="0"/>
              <w:right w:val="single" w:color="000000" w:sz="4" w:space="0"/>
            </w:tcBorders>
            <w:noWrap w:val="0"/>
            <w:vAlign w:val="top"/>
          </w:tcPr>
          <w:p w14:paraId="38CD2AA1">
            <w:pPr>
              <w:snapToGrid w:val="0"/>
              <w:rPr>
                <w:rFonts w:ascii="Arial" w:hAnsi="Arial"/>
                <w:color w:val="auto"/>
                <w:highlight w:val="none"/>
              </w:rPr>
            </w:pPr>
          </w:p>
        </w:tc>
        <w:tc>
          <w:tcPr>
            <w:tcW w:w="1823" w:type="dxa"/>
            <w:tcBorders>
              <w:top w:val="single" w:color="000000" w:sz="4" w:space="0"/>
              <w:left w:val="single" w:color="000000" w:sz="4" w:space="0"/>
              <w:bottom w:val="single" w:color="000000" w:sz="4" w:space="0"/>
              <w:right w:val="single" w:color="000000" w:sz="4" w:space="0"/>
            </w:tcBorders>
            <w:noWrap w:val="0"/>
            <w:vAlign w:val="top"/>
          </w:tcPr>
          <w:p w14:paraId="04B514E9">
            <w:pPr>
              <w:snapToGrid w:val="0"/>
              <w:rPr>
                <w:rFonts w:ascii="Arial" w:hAnsi="Arial"/>
                <w:color w:val="auto"/>
                <w:highlight w:val="none"/>
              </w:rPr>
            </w:pPr>
          </w:p>
        </w:tc>
      </w:tr>
      <w:tr w14:paraId="4D006C1E">
        <w:tblPrEx>
          <w:tblCellMar>
            <w:top w:w="0" w:type="dxa"/>
            <w:left w:w="0" w:type="dxa"/>
            <w:bottom w:w="0" w:type="dxa"/>
            <w:right w:w="0" w:type="dxa"/>
          </w:tblCellMar>
        </w:tblPrEx>
        <w:trPr>
          <w:trHeight w:val="599" w:hRule="atLeast"/>
        </w:trPr>
        <w:tc>
          <w:tcPr>
            <w:tcW w:w="1074" w:type="dxa"/>
            <w:tcBorders>
              <w:top w:val="single" w:color="000000" w:sz="4" w:space="0"/>
              <w:left w:val="single" w:color="000000" w:sz="4" w:space="0"/>
              <w:bottom w:val="single" w:color="000000" w:sz="4" w:space="0"/>
              <w:right w:val="single" w:color="000000" w:sz="4" w:space="0"/>
            </w:tcBorders>
            <w:noWrap w:val="0"/>
            <w:vAlign w:val="top"/>
          </w:tcPr>
          <w:p w14:paraId="77678D49">
            <w:pPr>
              <w:pStyle w:val="95"/>
              <w:spacing w:before="252" w:line="182" w:lineRule="auto"/>
              <w:ind w:left="474"/>
              <w:rPr>
                <w:color w:val="auto"/>
                <w:highlight w:val="none"/>
              </w:rPr>
            </w:pPr>
            <w:r>
              <w:rPr>
                <w:color w:val="auto"/>
                <w:highlight w:val="none"/>
              </w:rPr>
              <w:t>2</w:t>
            </w:r>
          </w:p>
        </w:tc>
        <w:tc>
          <w:tcPr>
            <w:tcW w:w="1489" w:type="dxa"/>
            <w:tcBorders>
              <w:top w:val="single" w:color="000000" w:sz="4" w:space="0"/>
              <w:left w:val="single" w:color="000000" w:sz="4" w:space="0"/>
              <w:bottom w:val="single" w:color="000000" w:sz="4" w:space="0"/>
              <w:right w:val="single" w:color="000000" w:sz="4" w:space="0"/>
            </w:tcBorders>
            <w:noWrap w:val="0"/>
            <w:vAlign w:val="top"/>
          </w:tcPr>
          <w:p w14:paraId="366DD382">
            <w:pPr>
              <w:snapToGrid w:val="0"/>
              <w:rPr>
                <w:rFonts w:ascii="Arial" w:hAnsi="Arial"/>
                <w:color w:val="auto"/>
                <w:highlight w:val="none"/>
              </w:rPr>
            </w:pPr>
          </w:p>
        </w:tc>
        <w:tc>
          <w:tcPr>
            <w:tcW w:w="1978" w:type="dxa"/>
            <w:tcBorders>
              <w:top w:val="single" w:color="000000" w:sz="4" w:space="0"/>
              <w:left w:val="single" w:color="000000" w:sz="4" w:space="0"/>
              <w:bottom w:val="single" w:color="000000" w:sz="4" w:space="0"/>
              <w:right w:val="single" w:color="000000" w:sz="4" w:space="0"/>
            </w:tcBorders>
            <w:noWrap w:val="0"/>
            <w:vAlign w:val="top"/>
          </w:tcPr>
          <w:p w14:paraId="004360FA">
            <w:pPr>
              <w:snapToGrid w:val="0"/>
              <w:rPr>
                <w:rFonts w:ascii="Arial" w:hAnsi="Arial"/>
                <w:color w:val="auto"/>
                <w:highlight w:val="none"/>
              </w:rPr>
            </w:pPr>
          </w:p>
        </w:tc>
        <w:tc>
          <w:tcPr>
            <w:tcW w:w="1828" w:type="dxa"/>
            <w:tcBorders>
              <w:top w:val="single" w:color="000000" w:sz="4" w:space="0"/>
              <w:left w:val="single" w:color="000000" w:sz="4" w:space="0"/>
              <w:bottom w:val="single" w:color="000000" w:sz="4" w:space="0"/>
              <w:right w:val="single" w:color="000000" w:sz="4" w:space="0"/>
            </w:tcBorders>
            <w:noWrap w:val="0"/>
            <w:vAlign w:val="top"/>
          </w:tcPr>
          <w:p w14:paraId="3DBC3C87">
            <w:pPr>
              <w:snapToGrid w:val="0"/>
              <w:rPr>
                <w:rFonts w:ascii="Arial" w:hAnsi="Arial"/>
                <w:color w:val="auto"/>
                <w:highlight w:val="none"/>
              </w:rPr>
            </w:pPr>
          </w:p>
        </w:tc>
        <w:tc>
          <w:tcPr>
            <w:tcW w:w="1938" w:type="dxa"/>
            <w:tcBorders>
              <w:top w:val="single" w:color="000000" w:sz="4" w:space="0"/>
              <w:left w:val="single" w:color="000000" w:sz="4" w:space="0"/>
              <w:bottom w:val="single" w:color="000000" w:sz="4" w:space="0"/>
              <w:right w:val="single" w:color="000000" w:sz="4" w:space="0"/>
            </w:tcBorders>
            <w:noWrap w:val="0"/>
            <w:vAlign w:val="top"/>
          </w:tcPr>
          <w:p w14:paraId="765C9017">
            <w:pPr>
              <w:snapToGrid w:val="0"/>
              <w:rPr>
                <w:rFonts w:ascii="Arial" w:hAnsi="Arial"/>
                <w:color w:val="auto"/>
                <w:highlight w:val="none"/>
              </w:rPr>
            </w:pPr>
          </w:p>
        </w:tc>
        <w:tc>
          <w:tcPr>
            <w:tcW w:w="1823" w:type="dxa"/>
            <w:tcBorders>
              <w:top w:val="single" w:color="000000" w:sz="4" w:space="0"/>
              <w:left w:val="single" w:color="000000" w:sz="4" w:space="0"/>
              <w:bottom w:val="single" w:color="000000" w:sz="4" w:space="0"/>
              <w:right w:val="single" w:color="000000" w:sz="4" w:space="0"/>
            </w:tcBorders>
            <w:noWrap w:val="0"/>
            <w:vAlign w:val="top"/>
          </w:tcPr>
          <w:p w14:paraId="1DA470CD">
            <w:pPr>
              <w:snapToGrid w:val="0"/>
              <w:rPr>
                <w:rFonts w:ascii="Arial" w:hAnsi="Arial"/>
                <w:color w:val="auto"/>
                <w:highlight w:val="none"/>
              </w:rPr>
            </w:pPr>
          </w:p>
        </w:tc>
      </w:tr>
      <w:tr w14:paraId="5CCFE2B7">
        <w:tblPrEx>
          <w:tblCellMar>
            <w:top w:w="0" w:type="dxa"/>
            <w:left w:w="0" w:type="dxa"/>
            <w:bottom w:w="0" w:type="dxa"/>
            <w:right w:w="0" w:type="dxa"/>
          </w:tblCellMar>
        </w:tblPrEx>
        <w:trPr>
          <w:trHeight w:val="599" w:hRule="atLeast"/>
        </w:trPr>
        <w:tc>
          <w:tcPr>
            <w:tcW w:w="1074" w:type="dxa"/>
            <w:tcBorders>
              <w:top w:val="single" w:color="000000" w:sz="4" w:space="0"/>
              <w:left w:val="single" w:color="000000" w:sz="4" w:space="0"/>
              <w:bottom w:val="single" w:color="000000" w:sz="4" w:space="0"/>
              <w:right w:val="single" w:color="000000" w:sz="4" w:space="0"/>
            </w:tcBorders>
            <w:noWrap w:val="0"/>
            <w:vAlign w:val="top"/>
          </w:tcPr>
          <w:p w14:paraId="13EC73DF">
            <w:pPr>
              <w:pStyle w:val="95"/>
              <w:spacing w:before="253" w:line="182" w:lineRule="auto"/>
              <w:ind w:left="474"/>
              <w:rPr>
                <w:color w:val="auto"/>
                <w:highlight w:val="none"/>
              </w:rPr>
            </w:pPr>
            <w:r>
              <w:rPr>
                <w:color w:val="auto"/>
                <w:highlight w:val="none"/>
              </w:rPr>
              <w:t>3</w:t>
            </w:r>
          </w:p>
        </w:tc>
        <w:tc>
          <w:tcPr>
            <w:tcW w:w="1489" w:type="dxa"/>
            <w:tcBorders>
              <w:top w:val="single" w:color="000000" w:sz="4" w:space="0"/>
              <w:left w:val="single" w:color="000000" w:sz="4" w:space="0"/>
              <w:bottom w:val="single" w:color="000000" w:sz="4" w:space="0"/>
              <w:right w:val="single" w:color="000000" w:sz="4" w:space="0"/>
            </w:tcBorders>
            <w:noWrap w:val="0"/>
            <w:vAlign w:val="top"/>
          </w:tcPr>
          <w:p w14:paraId="2D194BAB">
            <w:pPr>
              <w:snapToGrid w:val="0"/>
              <w:rPr>
                <w:rFonts w:ascii="Arial" w:hAnsi="Arial"/>
                <w:color w:val="auto"/>
                <w:highlight w:val="none"/>
              </w:rPr>
            </w:pPr>
          </w:p>
        </w:tc>
        <w:tc>
          <w:tcPr>
            <w:tcW w:w="1978" w:type="dxa"/>
            <w:tcBorders>
              <w:top w:val="single" w:color="000000" w:sz="4" w:space="0"/>
              <w:left w:val="single" w:color="000000" w:sz="4" w:space="0"/>
              <w:bottom w:val="single" w:color="000000" w:sz="4" w:space="0"/>
              <w:right w:val="single" w:color="000000" w:sz="4" w:space="0"/>
            </w:tcBorders>
            <w:noWrap w:val="0"/>
            <w:vAlign w:val="top"/>
          </w:tcPr>
          <w:p w14:paraId="5EF88E1D">
            <w:pPr>
              <w:snapToGrid w:val="0"/>
              <w:rPr>
                <w:rFonts w:ascii="Arial" w:hAnsi="Arial"/>
                <w:color w:val="auto"/>
                <w:highlight w:val="none"/>
              </w:rPr>
            </w:pPr>
          </w:p>
        </w:tc>
        <w:tc>
          <w:tcPr>
            <w:tcW w:w="1828" w:type="dxa"/>
            <w:tcBorders>
              <w:top w:val="single" w:color="000000" w:sz="4" w:space="0"/>
              <w:left w:val="single" w:color="000000" w:sz="4" w:space="0"/>
              <w:bottom w:val="single" w:color="000000" w:sz="4" w:space="0"/>
              <w:right w:val="single" w:color="000000" w:sz="4" w:space="0"/>
            </w:tcBorders>
            <w:noWrap w:val="0"/>
            <w:vAlign w:val="top"/>
          </w:tcPr>
          <w:p w14:paraId="410C7D22">
            <w:pPr>
              <w:snapToGrid w:val="0"/>
              <w:rPr>
                <w:rFonts w:ascii="Arial" w:hAnsi="Arial"/>
                <w:color w:val="auto"/>
                <w:highlight w:val="none"/>
              </w:rPr>
            </w:pPr>
          </w:p>
        </w:tc>
        <w:tc>
          <w:tcPr>
            <w:tcW w:w="1938" w:type="dxa"/>
            <w:tcBorders>
              <w:top w:val="single" w:color="000000" w:sz="4" w:space="0"/>
              <w:left w:val="single" w:color="000000" w:sz="4" w:space="0"/>
              <w:bottom w:val="single" w:color="000000" w:sz="4" w:space="0"/>
              <w:right w:val="single" w:color="000000" w:sz="4" w:space="0"/>
            </w:tcBorders>
            <w:noWrap w:val="0"/>
            <w:vAlign w:val="top"/>
          </w:tcPr>
          <w:p w14:paraId="11274537">
            <w:pPr>
              <w:snapToGrid w:val="0"/>
              <w:rPr>
                <w:rFonts w:ascii="Arial" w:hAnsi="Arial"/>
                <w:color w:val="auto"/>
                <w:highlight w:val="none"/>
              </w:rPr>
            </w:pPr>
          </w:p>
        </w:tc>
        <w:tc>
          <w:tcPr>
            <w:tcW w:w="1823" w:type="dxa"/>
            <w:tcBorders>
              <w:top w:val="single" w:color="000000" w:sz="4" w:space="0"/>
              <w:left w:val="single" w:color="000000" w:sz="4" w:space="0"/>
              <w:bottom w:val="single" w:color="000000" w:sz="4" w:space="0"/>
              <w:right w:val="single" w:color="000000" w:sz="4" w:space="0"/>
            </w:tcBorders>
            <w:noWrap w:val="0"/>
            <w:vAlign w:val="top"/>
          </w:tcPr>
          <w:p w14:paraId="18D2FEE8">
            <w:pPr>
              <w:snapToGrid w:val="0"/>
              <w:rPr>
                <w:rFonts w:ascii="Arial" w:hAnsi="Arial"/>
                <w:color w:val="auto"/>
                <w:highlight w:val="none"/>
              </w:rPr>
            </w:pPr>
          </w:p>
        </w:tc>
      </w:tr>
      <w:tr w14:paraId="1932CC50">
        <w:tblPrEx>
          <w:tblCellMar>
            <w:top w:w="0" w:type="dxa"/>
            <w:left w:w="0" w:type="dxa"/>
            <w:bottom w:w="0" w:type="dxa"/>
            <w:right w:w="0" w:type="dxa"/>
          </w:tblCellMar>
        </w:tblPrEx>
        <w:trPr>
          <w:trHeight w:val="590" w:hRule="atLeast"/>
        </w:trPr>
        <w:tc>
          <w:tcPr>
            <w:tcW w:w="1074" w:type="dxa"/>
            <w:tcBorders>
              <w:top w:val="single" w:color="000000" w:sz="4" w:space="0"/>
              <w:left w:val="single" w:color="000000" w:sz="4" w:space="0"/>
              <w:bottom w:val="single" w:color="000000" w:sz="4" w:space="0"/>
              <w:right w:val="single" w:color="000000" w:sz="4" w:space="0"/>
            </w:tcBorders>
            <w:noWrap w:val="0"/>
            <w:vAlign w:val="top"/>
          </w:tcPr>
          <w:p w14:paraId="12FEE45C">
            <w:pPr>
              <w:pStyle w:val="95"/>
              <w:spacing w:before="244" w:line="182" w:lineRule="auto"/>
              <w:ind w:left="474"/>
              <w:rPr>
                <w:color w:val="auto"/>
                <w:highlight w:val="none"/>
              </w:rPr>
            </w:pPr>
            <w:r>
              <w:rPr>
                <w:color w:val="auto"/>
                <w:highlight w:val="none"/>
              </w:rPr>
              <w:t>4</w:t>
            </w:r>
          </w:p>
        </w:tc>
        <w:tc>
          <w:tcPr>
            <w:tcW w:w="1489" w:type="dxa"/>
            <w:tcBorders>
              <w:top w:val="single" w:color="000000" w:sz="4" w:space="0"/>
              <w:left w:val="single" w:color="000000" w:sz="4" w:space="0"/>
              <w:bottom w:val="single" w:color="000000" w:sz="4" w:space="0"/>
              <w:right w:val="single" w:color="000000" w:sz="4" w:space="0"/>
            </w:tcBorders>
            <w:noWrap w:val="0"/>
            <w:vAlign w:val="top"/>
          </w:tcPr>
          <w:p w14:paraId="3C210572">
            <w:pPr>
              <w:snapToGrid w:val="0"/>
              <w:rPr>
                <w:rFonts w:ascii="Arial" w:hAnsi="Arial"/>
                <w:color w:val="auto"/>
                <w:highlight w:val="none"/>
              </w:rPr>
            </w:pPr>
          </w:p>
        </w:tc>
        <w:tc>
          <w:tcPr>
            <w:tcW w:w="1978" w:type="dxa"/>
            <w:tcBorders>
              <w:top w:val="single" w:color="000000" w:sz="4" w:space="0"/>
              <w:left w:val="single" w:color="000000" w:sz="4" w:space="0"/>
              <w:bottom w:val="single" w:color="000000" w:sz="4" w:space="0"/>
              <w:right w:val="single" w:color="000000" w:sz="4" w:space="0"/>
            </w:tcBorders>
            <w:noWrap w:val="0"/>
            <w:vAlign w:val="top"/>
          </w:tcPr>
          <w:p w14:paraId="06526438">
            <w:pPr>
              <w:snapToGrid w:val="0"/>
              <w:rPr>
                <w:rFonts w:ascii="Arial" w:hAnsi="Arial"/>
                <w:color w:val="auto"/>
                <w:highlight w:val="none"/>
              </w:rPr>
            </w:pPr>
          </w:p>
        </w:tc>
        <w:tc>
          <w:tcPr>
            <w:tcW w:w="1828" w:type="dxa"/>
            <w:tcBorders>
              <w:top w:val="single" w:color="000000" w:sz="4" w:space="0"/>
              <w:left w:val="single" w:color="000000" w:sz="4" w:space="0"/>
              <w:bottom w:val="single" w:color="000000" w:sz="4" w:space="0"/>
              <w:right w:val="single" w:color="000000" w:sz="4" w:space="0"/>
            </w:tcBorders>
            <w:noWrap w:val="0"/>
            <w:vAlign w:val="top"/>
          </w:tcPr>
          <w:p w14:paraId="078CE9B0">
            <w:pPr>
              <w:snapToGrid w:val="0"/>
              <w:rPr>
                <w:rFonts w:ascii="Arial" w:hAnsi="Arial"/>
                <w:color w:val="auto"/>
                <w:highlight w:val="none"/>
              </w:rPr>
            </w:pPr>
          </w:p>
        </w:tc>
        <w:tc>
          <w:tcPr>
            <w:tcW w:w="1938" w:type="dxa"/>
            <w:tcBorders>
              <w:top w:val="single" w:color="000000" w:sz="4" w:space="0"/>
              <w:left w:val="single" w:color="000000" w:sz="4" w:space="0"/>
              <w:bottom w:val="single" w:color="000000" w:sz="4" w:space="0"/>
              <w:right w:val="single" w:color="000000" w:sz="4" w:space="0"/>
            </w:tcBorders>
            <w:noWrap w:val="0"/>
            <w:vAlign w:val="top"/>
          </w:tcPr>
          <w:p w14:paraId="3FC97809">
            <w:pPr>
              <w:snapToGrid w:val="0"/>
              <w:rPr>
                <w:rFonts w:ascii="Arial" w:hAnsi="Arial"/>
                <w:color w:val="auto"/>
                <w:highlight w:val="none"/>
              </w:rPr>
            </w:pPr>
          </w:p>
        </w:tc>
        <w:tc>
          <w:tcPr>
            <w:tcW w:w="1823" w:type="dxa"/>
            <w:tcBorders>
              <w:top w:val="single" w:color="000000" w:sz="4" w:space="0"/>
              <w:left w:val="single" w:color="000000" w:sz="4" w:space="0"/>
              <w:bottom w:val="single" w:color="000000" w:sz="4" w:space="0"/>
              <w:right w:val="single" w:color="000000" w:sz="4" w:space="0"/>
            </w:tcBorders>
            <w:noWrap w:val="0"/>
            <w:vAlign w:val="top"/>
          </w:tcPr>
          <w:p w14:paraId="6E39ADC9">
            <w:pPr>
              <w:snapToGrid w:val="0"/>
              <w:rPr>
                <w:rFonts w:ascii="Arial" w:hAnsi="Arial"/>
                <w:color w:val="auto"/>
                <w:highlight w:val="none"/>
              </w:rPr>
            </w:pPr>
          </w:p>
        </w:tc>
      </w:tr>
      <w:tr w14:paraId="535B960C">
        <w:tblPrEx>
          <w:tblCellMar>
            <w:top w:w="0" w:type="dxa"/>
            <w:left w:w="0" w:type="dxa"/>
            <w:bottom w:w="0" w:type="dxa"/>
            <w:right w:w="0" w:type="dxa"/>
          </w:tblCellMar>
        </w:tblPrEx>
        <w:trPr>
          <w:trHeight w:val="599" w:hRule="atLeast"/>
        </w:trPr>
        <w:tc>
          <w:tcPr>
            <w:tcW w:w="1074" w:type="dxa"/>
            <w:tcBorders>
              <w:top w:val="single" w:color="000000" w:sz="4" w:space="0"/>
              <w:left w:val="single" w:color="000000" w:sz="4" w:space="0"/>
              <w:bottom w:val="single" w:color="000000" w:sz="4" w:space="0"/>
              <w:right w:val="single" w:color="000000" w:sz="4" w:space="0"/>
            </w:tcBorders>
            <w:noWrap w:val="0"/>
            <w:vAlign w:val="top"/>
          </w:tcPr>
          <w:p w14:paraId="3AB3ED88">
            <w:pPr>
              <w:pStyle w:val="95"/>
              <w:spacing w:before="256" w:line="180" w:lineRule="auto"/>
              <w:ind w:left="474"/>
              <w:rPr>
                <w:color w:val="auto"/>
                <w:highlight w:val="none"/>
              </w:rPr>
            </w:pPr>
            <w:r>
              <w:rPr>
                <w:color w:val="auto"/>
                <w:highlight w:val="none"/>
              </w:rPr>
              <w:t>5</w:t>
            </w:r>
          </w:p>
        </w:tc>
        <w:tc>
          <w:tcPr>
            <w:tcW w:w="1489" w:type="dxa"/>
            <w:tcBorders>
              <w:top w:val="single" w:color="000000" w:sz="4" w:space="0"/>
              <w:left w:val="single" w:color="000000" w:sz="4" w:space="0"/>
              <w:bottom w:val="single" w:color="000000" w:sz="4" w:space="0"/>
              <w:right w:val="single" w:color="000000" w:sz="4" w:space="0"/>
            </w:tcBorders>
            <w:noWrap w:val="0"/>
            <w:vAlign w:val="top"/>
          </w:tcPr>
          <w:p w14:paraId="691A9A0D">
            <w:pPr>
              <w:snapToGrid w:val="0"/>
              <w:rPr>
                <w:rFonts w:ascii="Arial" w:hAnsi="Arial"/>
                <w:color w:val="auto"/>
                <w:highlight w:val="none"/>
              </w:rPr>
            </w:pPr>
          </w:p>
        </w:tc>
        <w:tc>
          <w:tcPr>
            <w:tcW w:w="1978" w:type="dxa"/>
            <w:tcBorders>
              <w:top w:val="single" w:color="000000" w:sz="4" w:space="0"/>
              <w:left w:val="single" w:color="000000" w:sz="4" w:space="0"/>
              <w:bottom w:val="single" w:color="000000" w:sz="4" w:space="0"/>
              <w:right w:val="single" w:color="000000" w:sz="4" w:space="0"/>
            </w:tcBorders>
            <w:noWrap w:val="0"/>
            <w:vAlign w:val="top"/>
          </w:tcPr>
          <w:p w14:paraId="2852E39D">
            <w:pPr>
              <w:snapToGrid w:val="0"/>
              <w:rPr>
                <w:rFonts w:ascii="Arial" w:hAnsi="Arial"/>
                <w:color w:val="auto"/>
                <w:highlight w:val="none"/>
              </w:rPr>
            </w:pPr>
          </w:p>
        </w:tc>
        <w:tc>
          <w:tcPr>
            <w:tcW w:w="1828" w:type="dxa"/>
            <w:tcBorders>
              <w:top w:val="single" w:color="000000" w:sz="4" w:space="0"/>
              <w:left w:val="single" w:color="000000" w:sz="4" w:space="0"/>
              <w:bottom w:val="single" w:color="000000" w:sz="4" w:space="0"/>
              <w:right w:val="single" w:color="000000" w:sz="4" w:space="0"/>
            </w:tcBorders>
            <w:noWrap w:val="0"/>
            <w:vAlign w:val="top"/>
          </w:tcPr>
          <w:p w14:paraId="5EC5BBBE">
            <w:pPr>
              <w:snapToGrid w:val="0"/>
              <w:rPr>
                <w:rFonts w:ascii="Arial" w:hAnsi="Arial"/>
                <w:color w:val="auto"/>
                <w:highlight w:val="none"/>
              </w:rPr>
            </w:pPr>
          </w:p>
        </w:tc>
        <w:tc>
          <w:tcPr>
            <w:tcW w:w="1938" w:type="dxa"/>
            <w:tcBorders>
              <w:top w:val="single" w:color="000000" w:sz="4" w:space="0"/>
              <w:left w:val="single" w:color="000000" w:sz="4" w:space="0"/>
              <w:bottom w:val="single" w:color="000000" w:sz="4" w:space="0"/>
              <w:right w:val="single" w:color="000000" w:sz="4" w:space="0"/>
            </w:tcBorders>
            <w:noWrap w:val="0"/>
            <w:vAlign w:val="top"/>
          </w:tcPr>
          <w:p w14:paraId="1D6DF1C9">
            <w:pPr>
              <w:snapToGrid w:val="0"/>
              <w:rPr>
                <w:rFonts w:ascii="Arial" w:hAnsi="Arial"/>
                <w:color w:val="auto"/>
                <w:highlight w:val="none"/>
              </w:rPr>
            </w:pPr>
          </w:p>
        </w:tc>
        <w:tc>
          <w:tcPr>
            <w:tcW w:w="1823" w:type="dxa"/>
            <w:tcBorders>
              <w:top w:val="single" w:color="000000" w:sz="4" w:space="0"/>
              <w:left w:val="single" w:color="000000" w:sz="4" w:space="0"/>
              <w:bottom w:val="single" w:color="000000" w:sz="4" w:space="0"/>
              <w:right w:val="single" w:color="000000" w:sz="4" w:space="0"/>
            </w:tcBorders>
            <w:noWrap w:val="0"/>
            <w:vAlign w:val="top"/>
          </w:tcPr>
          <w:p w14:paraId="39D51198">
            <w:pPr>
              <w:snapToGrid w:val="0"/>
              <w:rPr>
                <w:rFonts w:ascii="Arial" w:hAnsi="Arial"/>
                <w:color w:val="auto"/>
                <w:highlight w:val="none"/>
              </w:rPr>
            </w:pPr>
          </w:p>
        </w:tc>
      </w:tr>
      <w:tr w14:paraId="2F0C5ADD">
        <w:tblPrEx>
          <w:tblCellMar>
            <w:top w:w="0" w:type="dxa"/>
            <w:left w:w="0" w:type="dxa"/>
            <w:bottom w:w="0" w:type="dxa"/>
            <w:right w:w="0" w:type="dxa"/>
          </w:tblCellMar>
        </w:tblPrEx>
        <w:trPr>
          <w:trHeight w:val="599" w:hRule="atLeast"/>
        </w:trPr>
        <w:tc>
          <w:tcPr>
            <w:tcW w:w="1074" w:type="dxa"/>
            <w:tcBorders>
              <w:top w:val="single" w:color="000000" w:sz="4" w:space="0"/>
              <w:left w:val="single" w:color="000000" w:sz="4" w:space="0"/>
              <w:bottom w:val="single" w:color="000000" w:sz="4" w:space="0"/>
              <w:right w:val="single" w:color="000000" w:sz="4" w:space="0"/>
            </w:tcBorders>
            <w:noWrap w:val="0"/>
            <w:vAlign w:val="top"/>
          </w:tcPr>
          <w:p w14:paraId="26D43339">
            <w:pPr>
              <w:pStyle w:val="95"/>
              <w:spacing w:before="255" w:line="182" w:lineRule="auto"/>
              <w:ind w:left="474"/>
              <w:rPr>
                <w:color w:val="auto"/>
                <w:highlight w:val="none"/>
              </w:rPr>
            </w:pPr>
            <w:r>
              <w:rPr>
                <w:color w:val="auto"/>
                <w:highlight w:val="none"/>
              </w:rPr>
              <w:t>6</w:t>
            </w:r>
          </w:p>
        </w:tc>
        <w:tc>
          <w:tcPr>
            <w:tcW w:w="1489" w:type="dxa"/>
            <w:tcBorders>
              <w:top w:val="single" w:color="000000" w:sz="4" w:space="0"/>
              <w:left w:val="single" w:color="000000" w:sz="4" w:space="0"/>
              <w:bottom w:val="single" w:color="000000" w:sz="4" w:space="0"/>
              <w:right w:val="single" w:color="000000" w:sz="4" w:space="0"/>
            </w:tcBorders>
            <w:noWrap w:val="0"/>
            <w:vAlign w:val="top"/>
          </w:tcPr>
          <w:p w14:paraId="352B4537">
            <w:pPr>
              <w:snapToGrid w:val="0"/>
              <w:rPr>
                <w:rFonts w:ascii="Arial" w:hAnsi="Arial"/>
                <w:color w:val="auto"/>
                <w:highlight w:val="none"/>
              </w:rPr>
            </w:pPr>
          </w:p>
        </w:tc>
        <w:tc>
          <w:tcPr>
            <w:tcW w:w="1978" w:type="dxa"/>
            <w:tcBorders>
              <w:top w:val="single" w:color="000000" w:sz="4" w:space="0"/>
              <w:left w:val="single" w:color="000000" w:sz="4" w:space="0"/>
              <w:bottom w:val="single" w:color="000000" w:sz="4" w:space="0"/>
              <w:right w:val="single" w:color="000000" w:sz="4" w:space="0"/>
            </w:tcBorders>
            <w:noWrap w:val="0"/>
            <w:vAlign w:val="top"/>
          </w:tcPr>
          <w:p w14:paraId="48DF0678">
            <w:pPr>
              <w:snapToGrid w:val="0"/>
              <w:rPr>
                <w:rFonts w:ascii="Arial" w:hAnsi="Arial"/>
                <w:color w:val="auto"/>
                <w:highlight w:val="none"/>
              </w:rPr>
            </w:pPr>
          </w:p>
        </w:tc>
        <w:tc>
          <w:tcPr>
            <w:tcW w:w="1828" w:type="dxa"/>
            <w:tcBorders>
              <w:top w:val="single" w:color="000000" w:sz="4" w:space="0"/>
              <w:left w:val="single" w:color="000000" w:sz="4" w:space="0"/>
              <w:bottom w:val="single" w:color="000000" w:sz="4" w:space="0"/>
              <w:right w:val="single" w:color="000000" w:sz="4" w:space="0"/>
            </w:tcBorders>
            <w:noWrap w:val="0"/>
            <w:vAlign w:val="top"/>
          </w:tcPr>
          <w:p w14:paraId="4327B279">
            <w:pPr>
              <w:snapToGrid w:val="0"/>
              <w:rPr>
                <w:rFonts w:ascii="Arial" w:hAnsi="Arial"/>
                <w:color w:val="auto"/>
                <w:highlight w:val="none"/>
              </w:rPr>
            </w:pPr>
          </w:p>
        </w:tc>
        <w:tc>
          <w:tcPr>
            <w:tcW w:w="1938" w:type="dxa"/>
            <w:tcBorders>
              <w:top w:val="single" w:color="000000" w:sz="4" w:space="0"/>
              <w:left w:val="single" w:color="000000" w:sz="4" w:space="0"/>
              <w:bottom w:val="single" w:color="000000" w:sz="4" w:space="0"/>
              <w:right w:val="single" w:color="000000" w:sz="4" w:space="0"/>
            </w:tcBorders>
            <w:noWrap w:val="0"/>
            <w:vAlign w:val="top"/>
          </w:tcPr>
          <w:p w14:paraId="539E0AA3">
            <w:pPr>
              <w:snapToGrid w:val="0"/>
              <w:rPr>
                <w:rFonts w:ascii="Arial" w:hAnsi="Arial"/>
                <w:color w:val="auto"/>
                <w:highlight w:val="none"/>
              </w:rPr>
            </w:pPr>
          </w:p>
        </w:tc>
        <w:tc>
          <w:tcPr>
            <w:tcW w:w="1823" w:type="dxa"/>
            <w:tcBorders>
              <w:top w:val="single" w:color="000000" w:sz="4" w:space="0"/>
              <w:left w:val="single" w:color="000000" w:sz="4" w:space="0"/>
              <w:bottom w:val="single" w:color="000000" w:sz="4" w:space="0"/>
              <w:right w:val="single" w:color="000000" w:sz="4" w:space="0"/>
            </w:tcBorders>
            <w:noWrap w:val="0"/>
            <w:vAlign w:val="top"/>
          </w:tcPr>
          <w:p w14:paraId="2ED40674">
            <w:pPr>
              <w:snapToGrid w:val="0"/>
              <w:rPr>
                <w:rFonts w:ascii="Arial" w:hAnsi="Arial"/>
                <w:color w:val="auto"/>
                <w:highlight w:val="none"/>
              </w:rPr>
            </w:pPr>
          </w:p>
        </w:tc>
      </w:tr>
      <w:tr w14:paraId="34261702">
        <w:tblPrEx>
          <w:tblCellMar>
            <w:top w:w="0" w:type="dxa"/>
            <w:left w:w="0" w:type="dxa"/>
            <w:bottom w:w="0" w:type="dxa"/>
            <w:right w:w="0" w:type="dxa"/>
          </w:tblCellMar>
        </w:tblPrEx>
        <w:trPr>
          <w:trHeight w:val="599" w:hRule="atLeast"/>
        </w:trPr>
        <w:tc>
          <w:tcPr>
            <w:tcW w:w="1074" w:type="dxa"/>
            <w:tcBorders>
              <w:top w:val="single" w:color="000000" w:sz="4" w:space="0"/>
              <w:left w:val="single" w:color="000000" w:sz="4" w:space="0"/>
              <w:bottom w:val="single" w:color="000000" w:sz="4" w:space="0"/>
              <w:right w:val="single" w:color="000000" w:sz="4" w:space="0"/>
            </w:tcBorders>
            <w:noWrap w:val="0"/>
            <w:vAlign w:val="top"/>
          </w:tcPr>
          <w:p w14:paraId="044F9795">
            <w:pPr>
              <w:pStyle w:val="95"/>
              <w:spacing w:before="257" w:line="180" w:lineRule="auto"/>
              <w:ind w:left="474"/>
              <w:rPr>
                <w:color w:val="auto"/>
                <w:highlight w:val="none"/>
              </w:rPr>
            </w:pPr>
            <w:r>
              <w:rPr>
                <w:color w:val="auto"/>
                <w:highlight w:val="none"/>
              </w:rPr>
              <w:t>7</w:t>
            </w:r>
          </w:p>
        </w:tc>
        <w:tc>
          <w:tcPr>
            <w:tcW w:w="1489" w:type="dxa"/>
            <w:tcBorders>
              <w:top w:val="single" w:color="000000" w:sz="4" w:space="0"/>
              <w:left w:val="single" w:color="000000" w:sz="4" w:space="0"/>
              <w:bottom w:val="single" w:color="000000" w:sz="4" w:space="0"/>
              <w:right w:val="single" w:color="000000" w:sz="4" w:space="0"/>
            </w:tcBorders>
            <w:noWrap w:val="0"/>
            <w:vAlign w:val="top"/>
          </w:tcPr>
          <w:p w14:paraId="59754BD1">
            <w:pPr>
              <w:snapToGrid w:val="0"/>
              <w:rPr>
                <w:rFonts w:ascii="Arial" w:hAnsi="Arial"/>
                <w:color w:val="auto"/>
                <w:highlight w:val="none"/>
              </w:rPr>
            </w:pPr>
          </w:p>
        </w:tc>
        <w:tc>
          <w:tcPr>
            <w:tcW w:w="1978" w:type="dxa"/>
            <w:tcBorders>
              <w:top w:val="single" w:color="000000" w:sz="4" w:space="0"/>
              <w:left w:val="single" w:color="000000" w:sz="4" w:space="0"/>
              <w:bottom w:val="single" w:color="000000" w:sz="4" w:space="0"/>
              <w:right w:val="single" w:color="000000" w:sz="4" w:space="0"/>
            </w:tcBorders>
            <w:noWrap w:val="0"/>
            <w:vAlign w:val="top"/>
          </w:tcPr>
          <w:p w14:paraId="7259171F">
            <w:pPr>
              <w:snapToGrid w:val="0"/>
              <w:rPr>
                <w:rFonts w:ascii="Arial" w:hAnsi="Arial"/>
                <w:color w:val="auto"/>
                <w:highlight w:val="none"/>
              </w:rPr>
            </w:pPr>
          </w:p>
        </w:tc>
        <w:tc>
          <w:tcPr>
            <w:tcW w:w="1828" w:type="dxa"/>
            <w:tcBorders>
              <w:top w:val="single" w:color="000000" w:sz="4" w:space="0"/>
              <w:left w:val="single" w:color="000000" w:sz="4" w:space="0"/>
              <w:bottom w:val="single" w:color="000000" w:sz="4" w:space="0"/>
              <w:right w:val="single" w:color="000000" w:sz="4" w:space="0"/>
            </w:tcBorders>
            <w:noWrap w:val="0"/>
            <w:vAlign w:val="top"/>
          </w:tcPr>
          <w:p w14:paraId="4255AE64">
            <w:pPr>
              <w:snapToGrid w:val="0"/>
              <w:rPr>
                <w:rFonts w:ascii="Arial" w:hAnsi="Arial"/>
                <w:color w:val="auto"/>
                <w:highlight w:val="none"/>
              </w:rPr>
            </w:pPr>
          </w:p>
        </w:tc>
        <w:tc>
          <w:tcPr>
            <w:tcW w:w="1938" w:type="dxa"/>
            <w:tcBorders>
              <w:top w:val="single" w:color="000000" w:sz="4" w:space="0"/>
              <w:left w:val="single" w:color="000000" w:sz="4" w:space="0"/>
              <w:bottom w:val="single" w:color="000000" w:sz="4" w:space="0"/>
              <w:right w:val="single" w:color="000000" w:sz="4" w:space="0"/>
            </w:tcBorders>
            <w:noWrap w:val="0"/>
            <w:vAlign w:val="top"/>
          </w:tcPr>
          <w:p w14:paraId="1015DA49">
            <w:pPr>
              <w:snapToGrid w:val="0"/>
              <w:rPr>
                <w:rFonts w:ascii="Arial" w:hAnsi="Arial"/>
                <w:color w:val="auto"/>
                <w:highlight w:val="none"/>
              </w:rPr>
            </w:pPr>
          </w:p>
        </w:tc>
        <w:tc>
          <w:tcPr>
            <w:tcW w:w="1823" w:type="dxa"/>
            <w:tcBorders>
              <w:top w:val="single" w:color="000000" w:sz="4" w:space="0"/>
              <w:left w:val="single" w:color="000000" w:sz="4" w:space="0"/>
              <w:bottom w:val="single" w:color="000000" w:sz="4" w:space="0"/>
              <w:right w:val="single" w:color="000000" w:sz="4" w:space="0"/>
            </w:tcBorders>
            <w:noWrap w:val="0"/>
            <w:vAlign w:val="top"/>
          </w:tcPr>
          <w:p w14:paraId="7A0223EB">
            <w:pPr>
              <w:snapToGrid w:val="0"/>
              <w:rPr>
                <w:rFonts w:ascii="Arial" w:hAnsi="Arial"/>
                <w:color w:val="auto"/>
                <w:highlight w:val="none"/>
              </w:rPr>
            </w:pPr>
          </w:p>
        </w:tc>
      </w:tr>
      <w:tr w14:paraId="119CC417">
        <w:tblPrEx>
          <w:tblCellMar>
            <w:top w:w="0" w:type="dxa"/>
            <w:left w:w="0" w:type="dxa"/>
            <w:bottom w:w="0" w:type="dxa"/>
            <w:right w:w="0" w:type="dxa"/>
          </w:tblCellMar>
        </w:tblPrEx>
        <w:trPr>
          <w:trHeight w:val="600" w:hRule="atLeast"/>
        </w:trPr>
        <w:tc>
          <w:tcPr>
            <w:tcW w:w="1074" w:type="dxa"/>
            <w:tcBorders>
              <w:top w:val="single" w:color="000000" w:sz="4" w:space="0"/>
              <w:left w:val="single" w:color="000000" w:sz="4" w:space="0"/>
              <w:bottom w:val="single" w:color="000000" w:sz="4" w:space="0"/>
              <w:right w:val="single" w:color="000000" w:sz="4" w:space="0"/>
            </w:tcBorders>
            <w:noWrap w:val="0"/>
            <w:vAlign w:val="top"/>
          </w:tcPr>
          <w:p w14:paraId="1E5B2FEF">
            <w:pPr>
              <w:pStyle w:val="95"/>
              <w:spacing w:before="257" w:line="182" w:lineRule="auto"/>
              <w:ind w:left="474"/>
              <w:rPr>
                <w:color w:val="auto"/>
                <w:highlight w:val="none"/>
              </w:rPr>
            </w:pPr>
            <w:r>
              <w:rPr>
                <w:color w:val="auto"/>
                <w:highlight w:val="none"/>
              </w:rPr>
              <w:t>8</w:t>
            </w:r>
          </w:p>
        </w:tc>
        <w:tc>
          <w:tcPr>
            <w:tcW w:w="1489" w:type="dxa"/>
            <w:tcBorders>
              <w:top w:val="single" w:color="000000" w:sz="4" w:space="0"/>
              <w:left w:val="single" w:color="000000" w:sz="4" w:space="0"/>
              <w:bottom w:val="single" w:color="000000" w:sz="4" w:space="0"/>
              <w:right w:val="single" w:color="000000" w:sz="4" w:space="0"/>
            </w:tcBorders>
            <w:noWrap w:val="0"/>
            <w:vAlign w:val="top"/>
          </w:tcPr>
          <w:p w14:paraId="6EDB32DF">
            <w:pPr>
              <w:snapToGrid w:val="0"/>
              <w:rPr>
                <w:rFonts w:ascii="Arial" w:hAnsi="Arial"/>
                <w:color w:val="auto"/>
                <w:highlight w:val="none"/>
              </w:rPr>
            </w:pPr>
          </w:p>
        </w:tc>
        <w:tc>
          <w:tcPr>
            <w:tcW w:w="1978" w:type="dxa"/>
            <w:tcBorders>
              <w:top w:val="single" w:color="000000" w:sz="4" w:space="0"/>
              <w:left w:val="single" w:color="000000" w:sz="4" w:space="0"/>
              <w:bottom w:val="single" w:color="000000" w:sz="4" w:space="0"/>
              <w:right w:val="single" w:color="000000" w:sz="4" w:space="0"/>
            </w:tcBorders>
            <w:noWrap w:val="0"/>
            <w:vAlign w:val="top"/>
          </w:tcPr>
          <w:p w14:paraId="0B5DA100">
            <w:pPr>
              <w:snapToGrid w:val="0"/>
              <w:rPr>
                <w:rFonts w:ascii="Arial" w:hAnsi="Arial"/>
                <w:color w:val="auto"/>
                <w:highlight w:val="none"/>
              </w:rPr>
            </w:pPr>
          </w:p>
        </w:tc>
        <w:tc>
          <w:tcPr>
            <w:tcW w:w="1828" w:type="dxa"/>
            <w:tcBorders>
              <w:top w:val="single" w:color="000000" w:sz="4" w:space="0"/>
              <w:left w:val="single" w:color="000000" w:sz="4" w:space="0"/>
              <w:bottom w:val="single" w:color="000000" w:sz="4" w:space="0"/>
              <w:right w:val="single" w:color="000000" w:sz="4" w:space="0"/>
            </w:tcBorders>
            <w:noWrap w:val="0"/>
            <w:vAlign w:val="top"/>
          </w:tcPr>
          <w:p w14:paraId="74A89D86">
            <w:pPr>
              <w:snapToGrid w:val="0"/>
              <w:rPr>
                <w:rFonts w:ascii="Arial" w:hAnsi="Arial"/>
                <w:color w:val="auto"/>
                <w:highlight w:val="none"/>
              </w:rPr>
            </w:pPr>
          </w:p>
        </w:tc>
        <w:tc>
          <w:tcPr>
            <w:tcW w:w="1938" w:type="dxa"/>
            <w:tcBorders>
              <w:top w:val="single" w:color="000000" w:sz="4" w:space="0"/>
              <w:left w:val="single" w:color="000000" w:sz="4" w:space="0"/>
              <w:bottom w:val="single" w:color="000000" w:sz="4" w:space="0"/>
              <w:right w:val="single" w:color="000000" w:sz="4" w:space="0"/>
            </w:tcBorders>
            <w:noWrap w:val="0"/>
            <w:vAlign w:val="top"/>
          </w:tcPr>
          <w:p w14:paraId="29BF76E9">
            <w:pPr>
              <w:snapToGrid w:val="0"/>
              <w:rPr>
                <w:rFonts w:ascii="Arial" w:hAnsi="Arial"/>
                <w:color w:val="auto"/>
                <w:highlight w:val="none"/>
              </w:rPr>
            </w:pPr>
          </w:p>
        </w:tc>
        <w:tc>
          <w:tcPr>
            <w:tcW w:w="1823" w:type="dxa"/>
            <w:tcBorders>
              <w:top w:val="single" w:color="000000" w:sz="4" w:space="0"/>
              <w:left w:val="single" w:color="000000" w:sz="4" w:space="0"/>
              <w:bottom w:val="single" w:color="000000" w:sz="4" w:space="0"/>
              <w:right w:val="single" w:color="000000" w:sz="4" w:space="0"/>
            </w:tcBorders>
            <w:noWrap w:val="0"/>
            <w:vAlign w:val="top"/>
          </w:tcPr>
          <w:p w14:paraId="47017A56">
            <w:pPr>
              <w:snapToGrid w:val="0"/>
              <w:rPr>
                <w:rFonts w:ascii="Arial" w:hAnsi="Arial"/>
                <w:color w:val="auto"/>
                <w:highlight w:val="none"/>
              </w:rPr>
            </w:pPr>
          </w:p>
        </w:tc>
      </w:tr>
      <w:tr w14:paraId="4D1A1C6F">
        <w:tblPrEx>
          <w:tblCellMar>
            <w:top w:w="0" w:type="dxa"/>
            <w:left w:w="0" w:type="dxa"/>
            <w:bottom w:w="0" w:type="dxa"/>
            <w:right w:w="0" w:type="dxa"/>
          </w:tblCellMar>
        </w:tblPrEx>
        <w:trPr>
          <w:trHeight w:val="590" w:hRule="atLeast"/>
        </w:trPr>
        <w:tc>
          <w:tcPr>
            <w:tcW w:w="1074" w:type="dxa"/>
            <w:tcBorders>
              <w:top w:val="single" w:color="000000" w:sz="4" w:space="0"/>
              <w:left w:val="single" w:color="000000" w:sz="4" w:space="0"/>
              <w:bottom w:val="single" w:color="000000" w:sz="4" w:space="0"/>
              <w:right w:val="single" w:color="000000" w:sz="4" w:space="0"/>
            </w:tcBorders>
            <w:noWrap w:val="0"/>
            <w:vAlign w:val="top"/>
          </w:tcPr>
          <w:p w14:paraId="430D527A">
            <w:pPr>
              <w:pStyle w:val="95"/>
              <w:spacing w:before="247" w:line="182" w:lineRule="auto"/>
              <w:ind w:left="474"/>
              <w:rPr>
                <w:color w:val="auto"/>
                <w:highlight w:val="none"/>
              </w:rPr>
            </w:pPr>
            <w:r>
              <w:rPr>
                <w:color w:val="auto"/>
                <w:highlight w:val="none"/>
              </w:rPr>
              <w:t>9</w:t>
            </w:r>
          </w:p>
        </w:tc>
        <w:tc>
          <w:tcPr>
            <w:tcW w:w="1489" w:type="dxa"/>
            <w:tcBorders>
              <w:top w:val="single" w:color="000000" w:sz="4" w:space="0"/>
              <w:left w:val="single" w:color="000000" w:sz="4" w:space="0"/>
              <w:bottom w:val="single" w:color="000000" w:sz="4" w:space="0"/>
              <w:right w:val="single" w:color="000000" w:sz="4" w:space="0"/>
            </w:tcBorders>
            <w:noWrap w:val="0"/>
            <w:vAlign w:val="top"/>
          </w:tcPr>
          <w:p w14:paraId="5BCDCD05">
            <w:pPr>
              <w:snapToGrid w:val="0"/>
              <w:rPr>
                <w:rFonts w:ascii="Arial" w:hAnsi="Arial"/>
                <w:color w:val="auto"/>
                <w:highlight w:val="none"/>
              </w:rPr>
            </w:pPr>
          </w:p>
        </w:tc>
        <w:tc>
          <w:tcPr>
            <w:tcW w:w="1978" w:type="dxa"/>
            <w:tcBorders>
              <w:top w:val="single" w:color="000000" w:sz="4" w:space="0"/>
              <w:left w:val="single" w:color="000000" w:sz="4" w:space="0"/>
              <w:bottom w:val="single" w:color="000000" w:sz="4" w:space="0"/>
              <w:right w:val="single" w:color="000000" w:sz="4" w:space="0"/>
            </w:tcBorders>
            <w:noWrap w:val="0"/>
            <w:vAlign w:val="top"/>
          </w:tcPr>
          <w:p w14:paraId="4CF6FF66">
            <w:pPr>
              <w:snapToGrid w:val="0"/>
              <w:rPr>
                <w:rFonts w:ascii="Arial" w:hAnsi="Arial"/>
                <w:color w:val="auto"/>
                <w:highlight w:val="none"/>
              </w:rPr>
            </w:pPr>
          </w:p>
        </w:tc>
        <w:tc>
          <w:tcPr>
            <w:tcW w:w="1828" w:type="dxa"/>
            <w:tcBorders>
              <w:top w:val="single" w:color="000000" w:sz="4" w:space="0"/>
              <w:left w:val="single" w:color="000000" w:sz="4" w:space="0"/>
              <w:bottom w:val="single" w:color="000000" w:sz="4" w:space="0"/>
              <w:right w:val="single" w:color="000000" w:sz="4" w:space="0"/>
            </w:tcBorders>
            <w:noWrap w:val="0"/>
            <w:vAlign w:val="top"/>
          </w:tcPr>
          <w:p w14:paraId="7E8B7746">
            <w:pPr>
              <w:snapToGrid w:val="0"/>
              <w:rPr>
                <w:rFonts w:ascii="Arial" w:hAnsi="Arial"/>
                <w:color w:val="auto"/>
                <w:highlight w:val="none"/>
              </w:rPr>
            </w:pPr>
          </w:p>
        </w:tc>
        <w:tc>
          <w:tcPr>
            <w:tcW w:w="1938" w:type="dxa"/>
            <w:tcBorders>
              <w:top w:val="single" w:color="000000" w:sz="4" w:space="0"/>
              <w:left w:val="single" w:color="000000" w:sz="4" w:space="0"/>
              <w:bottom w:val="single" w:color="000000" w:sz="4" w:space="0"/>
              <w:right w:val="single" w:color="000000" w:sz="4" w:space="0"/>
            </w:tcBorders>
            <w:noWrap w:val="0"/>
            <w:vAlign w:val="top"/>
          </w:tcPr>
          <w:p w14:paraId="511983B9">
            <w:pPr>
              <w:snapToGrid w:val="0"/>
              <w:rPr>
                <w:rFonts w:ascii="Arial" w:hAnsi="Arial"/>
                <w:color w:val="auto"/>
                <w:highlight w:val="none"/>
              </w:rPr>
            </w:pPr>
          </w:p>
        </w:tc>
        <w:tc>
          <w:tcPr>
            <w:tcW w:w="1823" w:type="dxa"/>
            <w:tcBorders>
              <w:top w:val="single" w:color="000000" w:sz="4" w:space="0"/>
              <w:left w:val="single" w:color="000000" w:sz="4" w:space="0"/>
              <w:bottom w:val="single" w:color="000000" w:sz="4" w:space="0"/>
              <w:right w:val="single" w:color="000000" w:sz="4" w:space="0"/>
            </w:tcBorders>
            <w:noWrap w:val="0"/>
            <w:vAlign w:val="top"/>
          </w:tcPr>
          <w:p w14:paraId="64B234A1">
            <w:pPr>
              <w:snapToGrid w:val="0"/>
              <w:rPr>
                <w:rFonts w:ascii="Arial" w:hAnsi="Arial"/>
                <w:color w:val="auto"/>
                <w:highlight w:val="none"/>
              </w:rPr>
            </w:pPr>
          </w:p>
        </w:tc>
      </w:tr>
      <w:tr w14:paraId="33D8C88C">
        <w:tblPrEx>
          <w:tblCellMar>
            <w:top w:w="0" w:type="dxa"/>
            <w:left w:w="0" w:type="dxa"/>
            <w:bottom w:w="0" w:type="dxa"/>
            <w:right w:w="0" w:type="dxa"/>
          </w:tblCellMar>
        </w:tblPrEx>
        <w:trPr>
          <w:trHeight w:val="599" w:hRule="atLeast"/>
        </w:trPr>
        <w:tc>
          <w:tcPr>
            <w:tcW w:w="1074" w:type="dxa"/>
            <w:tcBorders>
              <w:top w:val="single" w:color="000000" w:sz="4" w:space="0"/>
              <w:left w:val="single" w:color="000000" w:sz="4" w:space="0"/>
              <w:bottom w:val="single" w:color="000000" w:sz="4" w:space="0"/>
              <w:right w:val="single" w:color="000000" w:sz="4" w:space="0"/>
            </w:tcBorders>
            <w:noWrap w:val="0"/>
            <w:vAlign w:val="top"/>
          </w:tcPr>
          <w:p w14:paraId="0F36340D">
            <w:pPr>
              <w:pStyle w:val="95"/>
              <w:spacing w:before="256" w:line="182" w:lineRule="auto"/>
              <w:ind w:left="425"/>
              <w:rPr>
                <w:color w:val="auto"/>
                <w:highlight w:val="none"/>
              </w:rPr>
            </w:pPr>
            <w:r>
              <w:rPr>
                <w:color w:val="auto"/>
                <w:spacing w:val="-6"/>
                <w:highlight w:val="none"/>
              </w:rPr>
              <w:t>10</w:t>
            </w:r>
          </w:p>
        </w:tc>
        <w:tc>
          <w:tcPr>
            <w:tcW w:w="1489" w:type="dxa"/>
            <w:tcBorders>
              <w:top w:val="single" w:color="000000" w:sz="4" w:space="0"/>
              <w:left w:val="single" w:color="000000" w:sz="4" w:space="0"/>
              <w:bottom w:val="single" w:color="000000" w:sz="4" w:space="0"/>
              <w:right w:val="single" w:color="000000" w:sz="4" w:space="0"/>
            </w:tcBorders>
            <w:noWrap w:val="0"/>
            <w:vAlign w:val="top"/>
          </w:tcPr>
          <w:p w14:paraId="7AC42D73">
            <w:pPr>
              <w:snapToGrid w:val="0"/>
              <w:rPr>
                <w:rFonts w:ascii="Arial" w:hAnsi="Arial"/>
                <w:color w:val="auto"/>
                <w:highlight w:val="none"/>
              </w:rPr>
            </w:pPr>
          </w:p>
        </w:tc>
        <w:tc>
          <w:tcPr>
            <w:tcW w:w="1978" w:type="dxa"/>
            <w:tcBorders>
              <w:top w:val="single" w:color="000000" w:sz="4" w:space="0"/>
              <w:left w:val="single" w:color="000000" w:sz="4" w:space="0"/>
              <w:bottom w:val="single" w:color="000000" w:sz="4" w:space="0"/>
              <w:right w:val="single" w:color="000000" w:sz="4" w:space="0"/>
            </w:tcBorders>
            <w:noWrap w:val="0"/>
            <w:vAlign w:val="top"/>
          </w:tcPr>
          <w:p w14:paraId="7B8E9853">
            <w:pPr>
              <w:snapToGrid w:val="0"/>
              <w:rPr>
                <w:rFonts w:ascii="Arial" w:hAnsi="Arial"/>
                <w:color w:val="auto"/>
                <w:highlight w:val="none"/>
              </w:rPr>
            </w:pPr>
          </w:p>
        </w:tc>
        <w:tc>
          <w:tcPr>
            <w:tcW w:w="1828" w:type="dxa"/>
            <w:tcBorders>
              <w:top w:val="single" w:color="000000" w:sz="4" w:space="0"/>
              <w:left w:val="single" w:color="000000" w:sz="4" w:space="0"/>
              <w:bottom w:val="single" w:color="000000" w:sz="4" w:space="0"/>
              <w:right w:val="single" w:color="000000" w:sz="4" w:space="0"/>
            </w:tcBorders>
            <w:noWrap w:val="0"/>
            <w:vAlign w:val="top"/>
          </w:tcPr>
          <w:p w14:paraId="2023ABBA">
            <w:pPr>
              <w:snapToGrid w:val="0"/>
              <w:rPr>
                <w:rFonts w:ascii="Arial" w:hAnsi="Arial"/>
                <w:color w:val="auto"/>
                <w:highlight w:val="none"/>
              </w:rPr>
            </w:pPr>
          </w:p>
        </w:tc>
        <w:tc>
          <w:tcPr>
            <w:tcW w:w="1938" w:type="dxa"/>
            <w:tcBorders>
              <w:top w:val="single" w:color="000000" w:sz="4" w:space="0"/>
              <w:left w:val="single" w:color="000000" w:sz="4" w:space="0"/>
              <w:bottom w:val="single" w:color="000000" w:sz="4" w:space="0"/>
              <w:right w:val="single" w:color="000000" w:sz="4" w:space="0"/>
            </w:tcBorders>
            <w:noWrap w:val="0"/>
            <w:vAlign w:val="top"/>
          </w:tcPr>
          <w:p w14:paraId="0A3490E6">
            <w:pPr>
              <w:snapToGrid w:val="0"/>
              <w:rPr>
                <w:rFonts w:ascii="Arial" w:hAnsi="Arial"/>
                <w:color w:val="auto"/>
                <w:highlight w:val="none"/>
              </w:rPr>
            </w:pPr>
          </w:p>
        </w:tc>
        <w:tc>
          <w:tcPr>
            <w:tcW w:w="1823" w:type="dxa"/>
            <w:tcBorders>
              <w:top w:val="single" w:color="000000" w:sz="4" w:space="0"/>
              <w:left w:val="single" w:color="000000" w:sz="4" w:space="0"/>
              <w:bottom w:val="single" w:color="000000" w:sz="4" w:space="0"/>
              <w:right w:val="single" w:color="000000" w:sz="4" w:space="0"/>
            </w:tcBorders>
            <w:noWrap w:val="0"/>
            <w:vAlign w:val="top"/>
          </w:tcPr>
          <w:p w14:paraId="759418B6">
            <w:pPr>
              <w:snapToGrid w:val="0"/>
              <w:rPr>
                <w:rFonts w:ascii="Arial" w:hAnsi="Arial"/>
                <w:color w:val="auto"/>
                <w:highlight w:val="none"/>
              </w:rPr>
            </w:pPr>
          </w:p>
        </w:tc>
      </w:tr>
      <w:tr w14:paraId="7809AE56">
        <w:tblPrEx>
          <w:tblCellMar>
            <w:top w:w="0" w:type="dxa"/>
            <w:left w:w="0" w:type="dxa"/>
            <w:bottom w:w="0" w:type="dxa"/>
            <w:right w:w="0" w:type="dxa"/>
          </w:tblCellMar>
        </w:tblPrEx>
        <w:trPr>
          <w:trHeight w:val="590" w:hRule="atLeast"/>
        </w:trPr>
        <w:tc>
          <w:tcPr>
            <w:tcW w:w="1074" w:type="dxa"/>
            <w:tcBorders>
              <w:top w:val="single" w:color="000000" w:sz="4" w:space="0"/>
              <w:left w:val="single" w:color="000000" w:sz="4" w:space="0"/>
              <w:bottom w:val="single" w:color="000000" w:sz="4" w:space="0"/>
              <w:right w:val="single" w:color="000000" w:sz="4" w:space="0"/>
            </w:tcBorders>
            <w:noWrap w:val="0"/>
            <w:vAlign w:val="top"/>
          </w:tcPr>
          <w:p w14:paraId="3636EC15">
            <w:pPr>
              <w:pStyle w:val="95"/>
              <w:spacing w:before="247" w:line="182" w:lineRule="auto"/>
              <w:ind w:left="425"/>
              <w:rPr>
                <w:color w:val="auto"/>
                <w:highlight w:val="none"/>
              </w:rPr>
            </w:pPr>
            <w:r>
              <w:rPr>
                <w:color w:val="auto"/>
                <w:spacing w:val="-6"/>
                <w:highlight w:val="none"/>
              </w:rPr>
              <w:t>11</w:t>
            </w:r>
          </w:p>
        </w:tc>
        <w:tc>
          <w:tcPr>
            <w:tcW w:w="1489" w:type="dxa"/>
            <w:tcBorders>
              <w:top w:val="single" w:color="000000" w:sz="4" w:space="0"/>
              <w:left w:val="single" w:color="000000" w:sz="4" w:space="0"/>
              <w:bottom w:val="single" w:color="000000" w:sz="4" w:space="0"/>
              <w:right w:val="single" w:color="000000" w:sz="4" w:space="0"/>
            </w:tcBorders>
            <w:noWrap w:val="0"/>
            <w:vAlign w:val="top"/>
          </w:tcPr>
          <w:p w14:paraId="2C0D6B76">
            <w:pPr>
              <w:snapToGrid w:val="0"/>
              <w:rPr>
                <w:rFonts w:ascii="Arial" w:hAnsi="Arial"/>
                <w:color w:val="auto"/>
                <w:highlight w:val="none"/>
              </w:rPr>
            </w:pPr>
          </w:p>
        </w:tc>
        <w:tc>
          <w:tcPr>
            <w:tcW w:w="1978" w:type="dxa"/>
            <w:tcBorders>
              <w:top w:val="single" w:color="000000" w:sz="4" w:space="0"/>
              <w:left w:val="single" w:color="000000" w:sz="4" w:space="0"/>
              <w:bottom w:val="single" w:color="000000" w:sz="4" w:space="0"/>
              <w:right w:val="single" w:color="000000" w:sz="4" w:space="0"/>
            </w:tcBorders>
            <w:noWrap w:val="0"/>
            <w:vAlign w:val="top"/>
          </w:tcPr>
          <w:p w14:paraId="2D7E0D49">
            <w:pPr>
              <w:snapToGrid w:val="0"/>
              <w:rPr>
                <w:rFonts w:ascii="Arial" w:hAnsi="Arial"/>
                <w:color w:val="auto"/>
                <w:highlight w:val="none"/>
              </w:rPr>
            </w:pPr>
          </w:p>
        </w:tc>
        <w:tc>
          <w:tcPr>
            <w:tcW w:w="1828" w:type="dxa"/>
            <w:tcBorders>
              <w:top w:val="single" w:color="000000" w:sz="4" w:space="0"/>
              <w:left w:val="single" w:color="000000" w:sz="4" w:space="0"/>
              <w:bottom w:val="single" w:color="000000" w:sz="4" w:space="0"/>
              <w:right w:val="single" w:color="000000" w:sz="4" w:space="0"/>
            </w:tcBorders>
            <w:noWrap w:val="0"/>
            <w:vAlign w:val="top"/>
          </w:tcPr>
          <w:p w14:paraId="771ECD46">
            <w:pPr>
              <w:snapToGrid w:val="0"/>
              <w:rPr>
                <w:rFonts w:ascii="Arial" w:hAnsi="Arial"/>
                <w:color w:val="auto"/>
                <w:highlight w:val="none"/>
              </w:rPr>
            </w:pPr>
          </w:p>
        </w:tc>
        <w:tc>
          <w:tcPr>
            <w:tcW w:w="1938" w:type="dxa"/>
            <w:tcBorders>
              <w:top w:val="single" w:color="000000" w:sz="4" w:space="0"/>
              <w:left w:val="single" w:color="000000" w:sz="4" w:space="0"/>
              <w:bottom w:val="single" w:color="000000" w:sz="4" w:space="0"/>
              <w:right w:val="single" w:color="000000" w:sz="4" w:space="0"/>
            </w:tcBorders>
            <w:noWrap w:val="0"/>
            <w:vAlign w:val="top"/>
          </w:tcPr>
          <w:p w14:paraId="35EDB784">
            <w:pPr>
              <w:snapToGrid w:val="0"/>
              <w:rPr>
                <w:rFonts w:ascii="Arial" w:hAnsi="Arial"/>
                <w:color w:val="auto"/>
                <w:highlight w:val="none"/>
              </w:rPr>
            </w:pPr>
          </w:p>
        </w:tc>
        <w:tc>
          <w:tcPr>
            <w:tcW w:w="1823" w:type="dxa"/>
            <w:tcBorders>
              <w:top w:val="single" w:color="000000" w:sz="4" w:space="0"/>
              <w:left w:val="single" w:color="000000" w:sz="4" w:space="0"/>
              <w:bottom w:val="single" w:color="000000" w:sz="4" w:space="0"/>
              <w:right w:val="single" w:color="000000" w:sz="4" w:space="0"/>
            </w:tcBorders>
            <w:noWrap w:val="0"/>
            <w:vAlign w:val="top"/>
          </w:tcPr>
          <w:p w14:paraId="7C6B576B">
            <w:pPr>
              <w:snapToGrid w:val="0"/>
              <w:rPr>
                <w:rFonts w:ascii="Arial" w:hAnsi="Arial"/>
                <w:color w:val="auto"/>
                <w:highlight w:val="none"/>
              </w:rPr>
            </w:pPr>
          </w:p>
        </w:tc>
      </w:tr>
      <w:tr w14:paraId="1E34CFB7">
        <w:tblPrEx>
          <w:tblCellMar>
            <w:top w:w="0" w:type="dxa"/>
            <w:left w:w="0" w:type="dxa"/>
            <w:bottom w:w="0" w:type="dxa"/>
            <w:right w:w="0" w:type="dxa"/>
          </w:tblCellMar>
        </w:tblPrEx>
        <w:trPr>
          <w:trHeight w:val="599" w:hRule="atLeast"/>
        </w:trPr>
        <w:tc>
          <w:tcPr>
            <w:tcW w:w="1074" w:type="dxa"/>
            <w:tcBorders>
              <w:top w:val="single" w:color="000000" w:sz="4" w:space="0"/>
              <w:left w:val="single" w:color="000000" w:sz="4" w:space="0"/>
              <w:bottom w:val="single" w:color="000000" w:sz="4" w:space="0"/>
              <w:right w:val="single" w:color="000000" w:sz="4" w:space="0"/>
            </w:tcBorders>
            <w:noWrap w:val="0"/>
            <w:vAlign w:val="top"/>
          </w:tcPr>
          <w:p w14:paraId="1D2C6ACC">
            <w:pPr>
              <w:pStyle w:val="95"/>
              <w:spacing w:before="257" w:line="182" w:lineRule="auto"/>
              <w:ind w:left="425"/>
              <w:rPr>
                <w:color w:val="auto"/>
                <w:highlight w:val="none"/>
              </w:rPr>
            </w:pPr>
            <w:r>
              <w:rPr>
                <w:color w:val="auto"/>
                <w:spacing w:val="-6"/>
                <w:highlight w:val="none"/>
              </w:rPr>
              <w:t>12</w:t>
            </w:r>
          </w:p>
        </w:tc>
        <w:tc>
          <w:tcPr>
            <w:tcW w:w="1489" w:type="dxa"/>
            <w:tcBorders>
              <w:top w:val="single" w:color="000000" w:sz="4" w:space="0"/>
              <w:left w:val="single" w:color="000000" w:sz="4" w:space="0"/>
              <w:bottom w:val="single" w:color="000000" w:sz="4" w:space="0"/>
              <w:right w:val="single" w:color="000000" w:sz="4" w:space="0"/>
            </w:tcBorders>
            <w:noWrap w:val="0"/>
            <w:vAlign w:val="top"/>
          </w:tcPr>
          <w:p w14:paraId="2B1949EE">
            <w:pPr>
              <w:snapToGrid w:val="0"/>
              <w:rPr>
                <w:rFonts w:ascii="Arial" w:hAnsi="Arial"/>
                <w:color w:val="auto"/>
                <w:highlight w:val="none"/>
              </w:rPr>
            </w:pPr>
          </w:p>
        </w:tc>
        <w:tc>
          <w:tcPr>
            <w:tcW w:w="1978" w:type="dxa"/>
            <w:tcBorders>
              <w:top w:val="single" w:color="000000" w:sz="4" w:space="0"/>
              <w:left w:val="single" w:color="000000" w:sz="4" w:space="0"/>
              <w:bottom w:val="single" w:color="000000" w:sz="4" w:space="0"/>
              <w:right w:val="single" w:color="000000" w:sz="4" w:space="0"/>
            </w:tcBorders>
            <w:noWrap w:val="0"/>
            <w:vAlign w:val="top"/>
          </w:tcPr>
          <w:p w14:paraId="380AE52A">
            <w:pPr>
              <w:snapToGrid w:val="0"/>
              <w:rPr>
                <w:rFonts w:ascii="Arial" w:hAnsi="Arial"/>
                <w:color w:val="auto"/>
                <w:highlight w:val="none"/>
              </w:rPr>
            </w:pPr>
          </w:p>
        </w:tc>
        <w:tc>
          <w:tcPr>
            <w:tcW w:w="1828" w:type="dxa"/>
            <w:tcBorders>
              <w:top w:val="single" w:color="000000" w:sz="4" w:space="0"/>
              <w:left w:val="single" w:color="000000" w:sz="4" w:space="0"/>
              <w:bottom w:val="single" w:color="000000" w:sz="4" w:space="0"/>
              <w:right w:val="single" w:color="000000" w:sz="4" w:space="0"/>
            </w:tcBorders>
            <w:noWrap w:val="0"/>
            <w:vAlign w:val="top"/>
          </w:tcPr>
          <w:p w14:paraId="46874A84">
            <w:pPr>
              <w:snapToGrid w:val="0"/>
              <w:rPr>
                <w:rFonts w:ascii="Arial" w:hAnsi="Arial"/>
                <w:color w:val="auto"/>
                <w:highlight w:val="none"/>
              </w:rPr>
            </w:pPr>
          </w:p>
        </w:tc>
        <w:tc>
          <w:tcPr>
            <w:tcW w:w="1938" w:type="dxa"/>
            <w:tcBorders>
              <w:top w:val="single" w:color="000000" w:sz="4" w:space="0"/>
              <w:left w:val="single" w:color="000000" w:sz="4" w:space="0"/>
              <w:bottom w:val="single" w:color="000000" w:sz="4" w:space="0"/>
              <w:right w:val="single" w:color="000000" w:sz="4" w:space="0"/>
            </w:tcBorders>
            <w:noWrap w:val="0"/>
            <w:vAlign w:val="top"/>
          </w:tcPr>
          <w:p w14:paraId="40F72871">
            <w:pPr>
              <w:snapToGrid w:val="0"/>
              <w:rPr>
                <w:rFonts w:ascii="Arial" w:hAnsi="Arial"/>
                <w:color w:val="auto"/>
                <w:highlight w:val="none"/>
              </w:rPr>
            </w:pPr>
          </w:p>
        </w:tc>
        <w:tc>
          <w:tcPr>
            <w:tcW w:w="1823" w:type="dxa"/>
            <w:tcBorders>
              <w:top w:val="single" w:color="000000" w:sz="4" w:space="0"/>
              <w:left w:val="single" w:color="000000" w:sz="4" w:space="0"/>
              <w:bottom w:val="single" w:color="000000" w:sz="4" w:space="0"/>
              <w:right w:val="single" w:color="000000" w:sz="4" w:space="0"/>
            </w:tcBorders>
            <w:noWrap w:val="0"/>
            <w:vAlign w:val="top"/>
          </w:tcPr>
          <w:p w14:paraId="6CE33368">
            <w:pPr>
              <w:snapToGrid w:val="0"/>
              <w:rPr>
                <w:rFonts w:ascii="Arial" w:hAnsi="Arial"/>
                <w:color w:val="auto"/>
                <w:highlight w:val="none"/>
              </w:rPr>
            </w:pPr>
          </w:p>
        </w:tc>
      </w:tr>
      <w:tr w14:paraId="6950EAE4">
        <w:tblPrEx>
          <w:tblCellMar>
            <w:top w:w="0" w:type="dxa"/>
            <w:left w:w="0" w:type="dxa"/>
            <w:bottom w:w="0" w:type="dxa"/>
            <w:right w:w="0" w:type="dxa"/>
          </w:tblCellMar>
        </w:tblPrEx>
        <w:trPr>
          <w:trHeight w:val="599" w:hRule="atLeast"/>
        </w:trPr>
        <w:tc>
          <w:tcPr>
            <w:tcW w:w="1074" w:type="dxa"/>
            <w:tcBorders>
              <w:top w:val="single" w:color="000000" w:sz="4" w:space="0"/>
              <w:left w:val="single" w:color="000000" w:sz="4" w:space="0"/>
              <w:bottom w:val="single" w:color="000000" w:sz="4" w:space="0"/>
              <w:right w:val="single" w:color="000000" w:sz="4" w:space="0"/>
            </w:tcBorders>
            <w:noWrap w:val="0"/>
            <w:vAlign w:val="top"/>
          </w:tcPr>
          <w:p w14:paraId="230571B4">
            <w:pPr>
              <w:pStyle w:val="95"/>
              <w:spacing w:before="258" w:line="182" w:lineRule="auto"/>
              <w:ind w:left="425"/>
              <w:rPr>
                <w:color w:val="auto"/>
                <w:highlight w:val="none"/>
              </w:rPr>
            </w:pPr>
            <w:r>
              <w:rPr>
                <w:color w:val="auto"/>
                <w:spacing w:val="-6"/>
                <w:highlight w:val="none"/>
              </w:rPr>
              <w:t>13</w:t>
            </w:r>
          </w:p>
        </w:tc>
        <w:tc>
          <w:tcPr>
            <w:tcW w:w="1489" w:type="dxa"/>
            <w:tcBorders>
              <w:top w:val="single" w:color="000000" w:sz="4" w:space="0"/>
              <w:left w:val="single" w:color="000000" w:sz="4" w:space="0"/>
              <w:bottom w:val="single" w:color="000000" w:sz="4" w:space="0"/>
              <w:right w:val="single" w:color="000000" w:sz="4" w:space="0"/>
            </w:tcBorders>
            <w:noWrap w:val="0"/>
            <w:vAlign w:val="top"/>
          </w:tcPr>
          <w:p w14:paraId="564A989F">
            <w:pPr>
              <w:snapToGrid w:val="0"/>
              <w:rPr>
                <w:rFonts w:ascii="Arial" w:hAnsi="Arial"/>
                <w:color w:val="auto"/>
                <w:highlight w:val="none"/>
              </w:rPr>
            </w:pPr>
          </w:p>
        </w:tc>
        <w:tc>
          <w:tcPr>
            <w:tcW w:w="1978" w:type="dxa"/>
            <w:tcBorders>
              <w:top w:val="single" w:color="000000" w:sz="4" w:space="0"/>
              <w:left w:val="single" w:color="000000" w:sz="4" w:space="0"/>
              <w:bottom w:val="single" w:color="000000" w:sz="4" w:space="0"/>
              <w:right w:val="single" w:color="000000" w:sz="4" w:space="0"/>
            </w:tcBorders>
            <w:noWrap w:val="0"/>
            <w:vAlign w:val="top"/>
          </w:tcPr>
          <w:p w14:paraId="1118A5BD">
            <w:pPr>
              <w:snapToGrid w:val="0"/>
              <w:rPr>
                <w:rFonts w:ascii="Arial" w:hAnsi="Arial"/>
                <w:color w:val="auto"/>
                <w:highlight w:val="none"/>
              </w:rPr>
            </w:pPr>
          </w:p>
        </w:tc>
        <w:tc>
          <w:tcPr>
            <w:tcW w:w="1828" w:type="dxa"/>
            <w:tcBorders>
              <w:top w:val="single" w:color="000000" w:sz="4" w:space="0"/>
              <w:left w:val="single" w:color="000000" w:sz="4" w:space="0"/>
              <w:bottom w:val="single" w:color="000000" w:sz="4" w:space="0"/>
              <w:right w:val="single" w:color="000000" w:sz="4" w:space="0"/>
            </w:tcBorders>
            <w:noWrap w:val="0"/>
            <w:vAlign w:val="top"/>
          </w:tcPr>
          <w:p w14:paraId="5657FEF1">
            <w:pPr>
              <w:snapToGrid w:val="0"/>
              <w:rPr>
                <w:rFonts w:ascii="Arial" w:hAnsi="Arial"/>
                <w:color w:val="auto"/>
                <w:highlight w:val="none"/>
              </w:rPr>
            </w:pPr>
          </w:p>
        </w:tc>
        <w:tc>
          <w:tcPr>
            <w:tcW w:w="1938" w:type="dxa"/>
            <w:tcBorders>
              <w:top w:val="single" w:color="000000" w:sz="4" w:space="0"/>
              <w:left w:val="single" w:color="000000" w:sz="4" w:space="0"/>
              <w:bottom w:val="single" w:color="000000" w:sz="4" w:space="0"/>
              <w:right w:val="single" w:color="000000" w:sz="4" w:space="0"/>
            </w:tcBorders>
            <w:noWrap w:val="0"/>
            <w:vAlign w:val="top"/>
          </w:tcPr>
          <w:p w14:paraId="36062CBF">
            <w:pPr>
              <w:snapToGrid w:val="0"/>
              <w:rPr>
                <w:rFonts w:ascii="Arial" w:hAnsi="Arial"/>
                <w:color w:val="auto"/>
                <w:highlight w:val="none"/>
              </w:rPr>
            </w:pPr>
          </w:p>
        </w:tc>
        <w:tc>
          <w:tcPr>
            <w:tcW w:w="1823" w:type="dxa"/>
            <w:tcBorders>
              <w:top w:val="single" w:color="000000" w:sz="4" w:space="0"/>
              <w:left w:val="single" w:color="000000" w:sz="4" w:space="0"/>
              <w:bottom w:val="single" w:color="000000" w:sz="4" w:space="0"/>
              <w:right w:val="single" w:color="000000" w:sz="4" w:space="0"/>
            </w:tcBorders>
            <w:noWrap w:val="0"/>
            <w:vAlign w:val="top"/>
          </w:tcPr>
          <w:p w14:paraId="156824F3">
            <w:pPr>
              <w:snapToGrid w:val="0"/>
              <w:rPr>
                <w:rFonts w:ascii="Arial" w:hAnsi="Arial"/>
                <w:color w:val="auto"/>
                <w:highlight w:val="none"/>
              </w:rPr>
            </w:pPr>
          </w:p>
        </w:tc>
      </w:tr>
      <w:tr w14:paraId="3E2E5041">
        <w:tblPrEx>
          <w:tblCellMar>
            <w:top w:w="0" w:type="dxa"/>
            <w:left w:w="0" w:type="dxa"/>
            <w:bottom w:w="0" w:type="dxa"/>
            <w:right w:w="0" w:type="dxa"/>
          </w:tblCellMar>
        </w:tblPrEx>
        <w:trPr>
          <w:trHeight w:val="599" w:hRule="atLeast"/>
        </w:trPr>
        <w:tc>
          <w:tcPr>
            <w:tcW w:w="1074" w:type="dxa"/>
            <w:tcBorders>
              <w:top w:val="single" w:color="000000" w:sz="4" w:space="0"/>
              <w:left w:val="single" w:color="000000" w:sz="4" w:space="0"/>
              <w:bottom w:val="single" w:color="000000" w:sz="4" w:space="0"/>
              <w:right w:val="single" w:color="000000" w:sz="4" w:space="0"/>
            </w:tcBorders>
            <w:noWrap w:val="0"/>
            <w:vAlign w:val="top"/>
          </w:tcPr>
          <w:p w14:paraId="4AF2D57E">
            <w:pPr>
              <w:pStyle w:val="95"/>
              <w:spacing w:before="259" w:line="182" w:lineRule="auto"/>
              <w:ind w:left="425"/>
              <w:rPr>
                <w:color w:val="auto"/>
                <w:highlight w:val="none"/>
              </w:rPr>
            </w:pPr>
            <w:r>
              <w:rPr>
                <w:color w:val="auto"/>
                <w:spacing w:val="-6"/>
                <w:highlight w:val="none"/>
              </w:rPr>
              <w:t>14</w:t>
            </w:r>
          </w:p>
        </w:tc>
        <w:tc>
          <w:tcPr>
            <w:tcW w:w="1489" w:type="dxa"/>
            <w:tcBorders>
              <w:top w:val="single" w:color="000000" w:sz="4" w:space="0"/>
              <w:left w:val="single" w:color="000000" w:sz="4" w:space="0"/>
              <w:bottom w:val="single" w:color="000000" w:sz="4" w:space="0"/>
              <w:right w:val="single" w:color="000000" w:sz="4" w:space="0"/>
            </w:tcBorders>
            <w:noWrap w:val="0"/>
            <w:vAlign w:val="top"/>
          </w:tcPr>
          <w:p w14:paraId="5FD61790">
            <w:pPr>
              <w:snapToGrid w:val="0"/>
              <w:rPr>
                <w:rFonts w:ascii="Arial" w:hAnsi="Arial"/>
                <w:color w:val="auto"/>
                <w:highlight w:val="none"/>
              </w:rPr>
            </w:pPr>
          </w:p>
        </w:tc>
        <w:tc>
          <w:tcPr>
            <w:tcW w:w="1978" w:type="dxa"/>
            <w:tcBorders>
              <w:top w:val="single" w:color="000000" w:sz="4" w:space="0"/>
              <w:left w:val="single" w:color="000000" w:sz="4" w:space="0"/>
              <w:bottom w:val="single" w:color="000000" w:sz="4" w:space="0"/>
              <w:right w:val="single" w:color="000000" w:sz="4" w:space="0"/>
            </w:tcBorders>
            <w:noWrap w:val="0"/>
            <w:vAlign w:val="top"/>
          </w:tcPr>
          <w:p w14:paraId="5473A230">
            <w:pPr>
              <w:snapToGrid w:val="0"/>
              <w:rPr>
                <w:rFonts w:ascii="Arial" w:hAnsi="Arial"/>
                <w:color w:val="auto"/>
                <w:highlight w:val="none"/>
              </w:rPr>
            </w:pPr>
          </w:p>
        </w:tc>
        <w:tc>
          <w:tcPr>
            <w:tcW w:w="1828" w:type="dxa"/>
            <w:tcBorders>
              <w:top w:val="single" w:color="000000" w:sz="4" w:space="0"/>
              <w:left w:val="single" w:color="000000" w:sz="4" w:space="0"/>
              <w:bottom w:val="single" w:color="000000" w:sz="4" w:space="0"/>
              <w:right w:val="single" w:color="000000" w:sz="4" w:space="0"/>
            </w:tcBorders>
            <w:noWrap w:val="0"/>
            <w:vAlign w:val="top"/>
          </w:tcPr>
          <w:p w14:paraId="23CA180D">
            <w:pPr>
              <w:snapToGrid w:val="0"/>
              <w:rPr>
                <w:rFonts w:ascii="Arial" w:hAnsi="Arial"/>
                <w:color w:val="auto"/>
                <w:highlight w:val="none"/>
              </w:rPr>
            </w:pPr>
          </w:p>
        </w:tc>
        <w:tc>
          <w:tcPr>
            <w:tcW w:w="1938" w:type="dxa"/>
            <w:tcBorders>
              <w:top w:val="single" w:color="000000" w:sz="4" w:space="0"/>
              <w:left w:val="single" w:color="000000" w:sz="4" w:space="0"/>
              <w:bottom w:val="single" w:color="000000" w:sz="4" w:space="0"/>
              <w:right w:val="single" w:color="000000" w:sz="4" w:space="0"/>
            </w:tcBorders>
            <w:noWrap w:val="0"/>
            <w:vAlign w:val="top"/>
          </w:tcPr>
          <w:p w14:paraId="57228177">
            <w:pPr>
              <w:snapToGrid w:val="0"/>
              <w:rPr>
                <w:rFonts w:ascii="Arial" w:hAnsi="Arial"/>
                <w:color w:val="auto"/>
                <w:highlight w:val="none"/>
              </w:rPr>
            </w:pPr>
          </w:p>
        </w:tc>
        <w:tc>
          <w:tcPr>
            <w:tcW w:w="1823" w:type="dxa"/>
            <w:tcBorders>
              <w:top w:val="single" w:color="000000" w:sz="4" w:space="0"/>
              <w:left w:val="single" w:color="000000" w:sz="4" w:space="0"/>
              <w:bottom w:val="single" w:color="000000" w:sz="4" w:space="0"/>
              <w:right w:val="single" w:color="000000" w:sz="4" w:space="0"/>
            </w:tcBorders>
            <w:noWrap w:val="0"/>
            <w:vAlign w:val="top"/>
          </w:tcPr>
          <w:p w14:paraId="696F1974">
            <w:pPr>
              <w:snapToGrid w:val="0"/>
              <w:rPr>
                <w:rFonts w:ascii="Arial" w:hAnsi="Arial"/>
                <w:color w:val="auto"/>
                <w:highlight w:val="none"/>
              </w:rPr>
            </w:pPr>
          </w:p>
        </w:tc>
      </w:tr>
      <w:tr w14:paraId="48CA6D78">
        <w:tblPrEx>
          <w:tblCellMar>
            <w:top w:w="0" w:type="dxa"/>
            <w:left w:w="0" w:type="dxa"/>
            <w:bottom w:w="0" w:type="dxa"/>
            <w:right w:w="0" w:type="dxa"/>
          </w:tblCellMar>
        </w:tblPrEx>
        <w:trPr>
          <w:trHeight w:val="590" w:hRule="atLeast"/>
        </w:trPr>
        <w:tc>
          <w:tcPr>
            <w:tcW w:w="1074" w:type="dxa"/>
            <w:tcBorders>
              <w:top w:val="single" w:color="000000" w:sz="4" w:space="0"/>
              <w:left w:val="single" w:color="000000" w:sz="4" w:space="0"/>
              <w:bottom w:val="single" w:color="000000" w:sz="4" w:space="0"/>
              <w:right w:val="single" w:color="000000" w:sz="4" w:space="0"/>
            </w:tcBorders>
            <w:noWrap w:val="0"/>
            <w:vAlign w:val="top"/>
          </w:tcPr>
          <w:p w14:paraId="0D7B702F">
            <w:pPr>
              <w:pStyle w:val="95"/>
              <w:spacing w:before="250" w:line="182" w:lineRule="auto"/>
              <w:ind w:left="425"/>
              <w:rPr>
                <w:color w:val="auto"/>
                <w:highlight w:val="none"/>
              </w:rPr>
            </w:pPr>
            <w:r>
              <w:rPr>
                <w:color w:val="auto"/>
                <w:spacing w:val="-6"/>
                <w:highlight w:val="none"/>
              </w:rPr>
              <w:t>15</w:t>
            </w:r>
          </w:p>
        </w:tc>
        <w:tc>
          <w:tcPr>
            <w:tcW w:w="1489" w:type="dxa"/>
            <w:tcBorders>
              <w:top w:val="single" w:color="000000" w:sz="4" w:space="0"/>
              <w:left w:val="single" w:color="000000" w:sz="4" w:space="0"/>
              <w:bottom w:val="single" w:color="000000" w:sz="4" w:space="0"/>
              <w:right w:val="single" w:color="000000" w:sz="4" w:space="0"/>
            </w:tcBorders>
            <w:noWrap w:val="0"/>
            <w:vAlign w:val="top"/>
          </w:tcPr>
          <w:p w14:paraId="728D52CF">
            <w:pPr>
              <w:snapToGrid w:val="0"/>
              <w:rPr>
                <w:rFonts w:ascii="Arial" w:hAnsi="Arial"/>
                <w:color w:val="auto"/>
                <w:highlight w:val="none"/>
              </w:rPr>
            </w:pPr>
          </w:p>
        </w:tc>
        <w:tc>
          <w:tcPr>
            <w:tcW w:w="1978" w:type="dxa"/>
            <w:tcBorders>
              <w:top w:val="single" w:color="000000" w:sz="4" w:space="0"/>
              <w:left w:val="single" w:color="000000" w:sz="4" w:space="0"/>
              <w:bottom w:val="single" w:color="000000" w:sz="4" w:space="0"/>
              <w:right w:val="single" w:color="000000" w:sz="4" w:space="0"/>
            </w:tcBorders>
            <w:noWrap w:val="0"/>
            <w:vAlign w:val="top"/>
          </w:tcPr>
          <w:p w14:paraId="18956931">
            <w:pPr>
              <w:snapToGrid w:val="0"/>
              <w:rPr>
                <w:rFonts w:ascii="Arial" w:hAnsi="Arial"/>
                <w:color w:val="auto"/>
                <w:highlight w:val="none"/>
              </w:rPr>
            </w:pPr>
          </w:p>
        </w:tc>
        <w:tc>
          <w:tcPr>
            <w:tcW w:w="1828" w:type="dxa"/>
            <w:tcBorders>
              <w:top w:val="single" w:color="000000" w:sz="4" w:space="0"/>
              <w:left w:val="single" w:color="000000" w:sz="4" w:space="0"/>
              <w:bottom w:val="single" w:color="000000" w:sz="4" w:space="0"/>
              <w:right w:val="single" w:color="000000" w:sz="4" w:space="0"/>
            </w:tcBorders>
            <w:noWrap w:val="0"/>
            <w:vAlign w:val="top"/>
          </w:tcPr>
          <w:p w14:paraId="383C1C87">
            <w:pPr>
              <w:snapToGrid w:val="0"/>
              <w:rPr>
                <w:rFonts w:ascii="Arial" w:hAnsi="Arial"/>
                <w:color w:val="auto"/>
                <w:highlight w:val="none"/>
              </w:rPr>
            </w:pPr>
          </w:p>
        </w:tc>
        <w:tc>
          <w:tcPr>
            <w:tcW w:w="1938" w:type="dxa"/>
            <w:tcBorders>
              <w:top w:val="single" w:color="000000" w:sz="4" w:space="0"/>
              <w:left w:val="single" w:color="000000" w:sz="4" w:space="0"/>
              <w:bottom w:val="single" w:color="000000" w:sz="4" w:space="0"/>
              <w:right w:val="single" w:color="000000" w:sz="4" w:space="0"/>
            </w:tcBorders>
            <w:noWrap w:val="0"/>
            <w:vAlign w:val="top"/>
          </w:tcPr>
          <w:p w14:paraId="1DD57901">
            <w:pPr>
              <w:snapToGrid w:val="0"/>
              <w:rPr>
                <w:rFonts w:ascii="Arial" w:hAnsi="Arial"/>
                <w:color w:val="auto"/>
                <w:highlight w:val="none"/>
              </w:rPr>
            </w:pPr>
          </w:p>
        </w:tc>
        <w:tc>
          <w:tcPr>
            <w:tcW w:w="1823" w:type="dxa"/>
            <w:tcBorders>
              <w:top w:val="single" w:color="000000" w:sz="4" w:space="0"/>
              <w:left w:val="single" w:color="000000" w:sz="4" w:space="0"/>
              <w:bottom w:val="single" w:color="000000" w:sz="4" w:space="0"/>
              <w:right w:val="single" w:color="000000" w:sz="4" w:space="0"/>
            </w:tcBorders>
            <w:noWrap w:val="0"/>
            <w:vAlign w:val="top"/>
          </w:tcPr>
          <w:p w14:paraId="33D26620">
            <w:pPr>
              <w:snapToGrid w:val="0"/>
              <w:rPr>
                <w:rFonts w:ascii="Arial" w:hAnsi="Arial"/>
                <w:color w:val="auto"/>
                <w:highlight w:val="none"/>
              </w:rPr>
            </w:pPr>
          </w:p>
        </w:tc>
      </w:tr>
      <w:tr w14:paraId="1CEDEE97">
        <w:tblPrEx>
          <w:tblCellMar>
            <w:top w:w="0" w:type="dxa"/>
            <w:left w:w="0" w:type="dxa"/>
            <w:bottom w:w="0" w:type="dxa"/>
            <w:right w:w="0" w:type="dxa"/>
          </w:tblCellMar>
        </w:tblPrEx>
        <w:trPr>
          <w:trHeight w:val="599" w:hRule="atLeast"/>
        </w:trPr>
        <w:tc>
          <w:tcPr>
            <w:tcW w:w="1074" w:type="dxa"/>
            <w:tcBorders>
              <w:top w:val="single" w:color="000000" w:sz="4" w:space="0"/>
              <w:left w:val="single" w:color="000000" w:sz="4" w:space="0"/>
              <w:bottom w:val="single" w:color="000000" w:sz="4" w:space="0"/>
              <w:right w:val="single" w:color="000000" w:sz="4" w:space="0"/>
            </w:tcBorders>
            <w:noWrap w:val="0"/>
            <w:vAlign w:val="top"/>
          </w:tcPr>
          <w:p w14:paraId="0191A578">
            <w:pPr>
              <w:pStyle w:val="95"/>
              <w:spacing w:before="260" w:line="182" w:lineRule="auto"/>
              <w:ind w:left="425"/>
              <w:rPr>
                <w:color w:val="auto"/>
                <w:highlight w:val="none"/>
              </w:rPr>
            </w:pPr>
            <w:r>
              <w:rPr>
                <w:color w:val="auto"/>
                <w:spacing w:val="-6"/>
                <w:highlight w:val="none"/>
              </w:rPr>
              <w:t>17</w:t>
            </w:r>
          </w:p>
        </w:tc>
        <w:tc>
          <w:tcPr>
            <w:tcW w:w="1489" w:type="dxa"/>
            <w:tcBorders>
              <w:top w:val="single" w:color="000000" w:sz="4" w:space="0"/>
              <w:left w:val="single" w:color="000000" w:sz="4" w:space="0"/>
              <w:bottom w:val="single" w:color="000000" w:sz="4" w:space="0"/>
              <w:right w:val="single" w:color="000000" w:sz="4" w:space="0"/>
            </w:tcBorders>
            <w:noWrap w:val="0"/>
            <w:vAlign w:val="top"/>
          </w:tcPr>
          <w:p w14:paraId="49CD618A">
            <w:pPr>
              <w:snapToGrid w:val="0"/>
              <w:rPr>
                <w:rFonts w:ascii="Arial" w:hAnsi="Arial"/>
                <w:color w:val="auto"/>
                <w:highlight w:val="none"/>
              </w:rPr>
            </w:pPr>
          </w:p>
        </w:tc>
        <w:tc>
          <w:tcPr>
            <w:tcW w:w="1978" w:type="dxa"/>
            <w:tcBorders>
              <w:top w:val="single" w:color="000000" w:sz="4" w:space="0"/>
              <w:left w:val="single" w:color="000000" w:sz="4" w:space="0"/>
              <w:bottom w:val="single" w:color="000000" w:sz="4" w:space="0"/>
              <w:right w:val="single" w:color="000000" w:sz="4" w:space="0"/>
            </w:tcBorders>
            <w:noWrap w:val="0"/>
            <w:vAlign w:val="top"/>
          </w:tcPr>
          <w:p w14:paraId="23E61771">
            <w:pPr>
              <w:snapToGrid w:val="0"/>
              <w:rPr>
                <w:rFonts w:ascii="Arial" w:hAnsi="Arial"/>
                <w:color w:val="auto"/>
                <w:highlight w:val="none"/>
              </w:rPr>
            </w:pPr>
          </w:p>
        </w:tc>
        <w:tc>
          <w:tcPr>
            <w:tcW w:w="1828" w:type="dxa"/>
            <w:tcBorders>
              <w:top w:val="single" w:color="000000" w:sz="4" w:space="0"/>
              <w:left w:val="single" w:color="000000" w:sz="4" w:space="0"/>
              <w:bottom w:val="single" w:color="000000" w:sz="4" w:space="0"/>
              <w:right w:val="single" w:color="000000" w:sz="4" w:space="0"/>
            </w:tcBorders>
            <w:noWrap w:val="0"/>
            <w:vAlign w:val="top"/>
          </w:tcPr>
          <w:p w14:paraId="74E6306F">
            <w:pPr>
              <w:snapToGrid w:val="0"/>
              <w:rPr>
                <w:rFonts w:ascii="Arial" w:hAnsi="Arial"/>
                <w:color w:val="auto"/>
                <w:highlight w:val="none"/>
              </w:rPr>
            </w:pPr>
          </w:p>
        </w:tc>
        <w:tc>
          <w:tcPr>
            <w:tcW w:w="1938" w:type="dxa"/>
            <w:tcBorders>
              <w:top w:val="single" w:color="000000" w:sz="4" w:space="0"/>
              <w:left w:val="single" w:color="000000" w:sz="4" w:space="0"/>
              <w:bottom w:val="single" w:color="000000" w:sz="4" w:space="0"/>
              <w:right w:val="single" w:color="000000" w:sz="4" w:space="0"/>
            </w:tcBorders>
            <w:noWrap w:val="0"/>
            <w:vAlign w:val="top"/>
          </w:tcPr>
          <w:p w14:paraId="4E865DA0">
            <w:pPr>
              <w:snapToGrid w:val="0"/>
              <w:rPr>
                <w:rFonts w:ascii="Arial" w:hAnsi="Arial"/>
                <w:color w:val="auto"/>
                <w:highlight w:val="none"/>
              </w:rPr>
            </w:pPr>
          </w:p>
        </w:tc>
        <w:tc>
          <w:tcPr>
            <w:tcW w:w="1823" w:type="dxa"/>
            <w:tcBorders>
              <w:top w:val="single" w:color="000000" w:sz="4" w:space="0"/>
              <w:left w:val="single" w:color="000000" w:sz="4" w:space="0"/>
              <w:bottom w:val="single" w:color="000000" w:sz="4" w:space="0"/>
              <w:right w:val="single" w:color="000000" w:sz="4" w:space="0"/>
            </w:tcBorders>
            <w:noWrap w:val="0"/>
            <w:vAlign w:val="top"/>
          </w:tcPr>
          <w:p w14:paraId="2ACE01BD">
            <w:pPr>
              <w:snapToGrid w:val="0"/>
              <w:rPr>
                <w:rFonts w:ascii="Arial" w:hAnsi="Arial"/>
                <w:color w:val="auto"/>
                <w:highlight w:val="none"/>
              </w:rPr>
            </w:pPr>
          </w:p>
        </w:tc>
      </w:tr>
      <w:tr w14:paraId="287AD8FE">
        <w:tblPrEx>
          <w:tblCellMar>
            <w:top w:w="0" w:type="dxa"/>
            <w:left w:w="0" w:type="dxa"/>
            <w:bottom w:w="0" w:type="dxa"/>
            <w:right w:w="0" w:type="dxa"/>
          </w:tblCellMar>
        </w:tblPrEx>
        <w:trPr>
          <w:trHeight w:val="600" w:hRule="atLeast"/>
        </w:trPr>
        <w:tc>
          <w:tcPr>
            <w:tcW w:w="1074" w:type="dxa"/>
            <w:tcBorders>
              <w:top w:val="single" w:color="000000" w:sz="4" w:space="0"/>
              <w:left w:val="single" w:color="000000" w:sz="4" w:space="0"/>
              <w:bottom w:val="single" w:color="000000" w:sz="4" w:space="0"/>
              <w:right w:val="single" w:color="000000" w:sz="4" w:space="0"/>
            </w:tcBorders>
            <w:noWrap w:val="0"/>
            <w:vAlign w:val="top"/>
          </w:tcPr>
          <w:p w14:paraId="7C53BCF1">
            <w:pPr>
              <w:pStyle w:val="95"/>
              <w:spacing w:before="261" w:line="182" w:lineRule="auto"/>
              <w:ind w:left="425"/>
              <w:rPr>
                <w:color w:val="auto"/>
                <w:highlight w:val="none"/>
              </w:rPr>
            </w:pPr>
            <w:r>
              <w:rPr>
                <w:color w:val="auto"/>
                <w:spacing w:val="-6"/>
                <w:highlight w:val="none"/>
              </w:rPr>
              <w:t>18</w:t>
            </w:r>
          </w:p>
        </w:tc>
        <w:tc>
          <w:tcPr>
            <w:tcW w:w="1489" w:type="dxa"/>
            <w:tcBorders>
              <w:top w:val="single" w:color="000000" w:sz="4" w:space="0"/>
              <w:left w:val="single" w:color="000000" w:sz="4" w:space="0"/>
              <w:bottom w:val="single" w:color="000000" w:sz="4" w:space="0"/>
              <w:right w:val="single" w:color="000000" w:sz="4" w:space="0"/>
            </w:tcBorders>
            <w:noWrap w:val="0"/>
            <w:vAlign w:val="top"/>
          </w:tcPr>
          <w:p w14:paraId="03225C89">
            <w:pPr>
              <w:snapToGrid w:val="0"/>
              <w:rPr>
                <w:rFonts w:ascii="Arial" w:hAnsi="Arial"/>
                <w:color w:val="auto"/>
                <w:highlight w:val="none"/>
              </w:rPr>
            </w:pPr>
          </w:p>
        </w:tc>
        <w:tc>
          <w:tcPr>
            <w:tcW w:w="1978" w:type="dxa"/>
            <w:tcBorders>
              <w:top w:val="single" w:color="000000" w:sz="4" w:space="0"/>
              <w:left w:val="single" w:color="000000" w:sz="4" w:space="0"/>
              <w:bottom w:val="single" w:color="000000" w:sz="4" w:space="0"/>
              <w:right w:val="single" w:color="000000" w:sz="4" w:space="0"/>
            </w:tcBorders>
            <w:noWrap w:val="0"/>
            <w:vAlign w:val="top"/>
          </w:tcPr>
          <w:p w14:paraId="500AADB6">
            <w:pPr>
              <w:snapToGrid w:val="0"/>
              <w:rPr>
                <w:rFonts w:ascii="Arial" w:hAnsi="Arial"/>
                <w:color w:val="auto"/>
                <w:highlight w:val="none"/>
              </w:rPr>
            </w:pPr>
          </w:p>
        </w:tc>
        <w:tc>
          <w:tcPr>
            <w:tcW w:w="1828" w:type="dxa"/>
            <w:tcBorders>
              <w:top w:val="single" w:color="000000" w:sz="4" w:space="0"/>
              <w:left w:val="single" w:color="000000" w:sz="4" w:space="0"/>
              <w:bottom w:val="single" w:color="000000" w:sz="4" w:space="0"/>
              <w:right w:val="single" w:color="000000" w:sz="4" w:space="0"/>
            </w:tcBorders>
            <w:noWrap w:val="0"/>
            <w:vAlign w:val="top"/>
          </w:tcPr>
          <w:p w14:paraId="03CAED71">
            <w:pPr>
              <w:snapToGrid w:val="0"/>
              <w:rPr>
                <w:rFonts w:ascii="Arial" w:hAnsi="Arial"/>
                <w:color w:val="auto"/>
                <w:highlight w:val="none"/>
              </w:rPr>
            </w:pPr>
          </w:p>
        </w:tc>
        <w:tc>
          <w:tcPr>
            <w:tcW w:w="1938" w:type="dxa"/>
            <w:tcBorders>
              <w:top w:val="single" w:color="000000" w:sz="4" w:space="0"/>
              <w:left w:val="single" w:color="000000" w:sz="4" w:space="0"/>
              <w:bottom w:val="single" w:color="000000" w:sz="4" w:space="0"/>
              <w:right w:val="single" w:color="000000" w:sz="4" w:space="0"/>
            </w:tcBorders>
            <w:noWrap w:val="0"/>
            <w:vAlign w:val="top"/>
          </w:tcPr>
          <w:p w14:paraId="725F9F98">
            <w:pPr>
              <w:snapToGrid w:val="0"/>
              <w:rPr>
                <w:rFonts w:ascii="Arial" w:hAnsi="Arial"/>
                <w:color w:val="auto"/>
                <w:highlight w:val="none"/>
              </w:rPr>
            </w:pPr>
          </w:p>
        </w:tc>
        <w:tc>
          <w:tcPr>
            <w:tcW w:w="1823" w:type="dxa"/>
            <w:tcBorders>
              <w:top w:val="single" w:color="000000" w:sz="4" w:space="0"/>
              <w:left w:val="single" w:color="000000" w:sz="4" w:space="0"/>
              <w:bottom w:val="single" w:color="000000" w:sz="4" w:space="0"/>
              <w:right w:val="single" w:color="000000" w:sz="4" w:space="0"/>
            </w:tcBorders>
            <w:noWrap w:val="0"/>
            <w:vAlign w:val="top"/>
          </w:tcPr>
          <w:p w14:paraId="2B018CD0">
            <w:pPr>
              <w:snapToGrid w:val="0"/>
              <w:rPr>
                <w:rFonts w:ascii="Arial" w:hAnsi="Arial"/>
                <w:color w:val="auto"/>
                <w:highlight w:val="none"/>
              </w:rPr>
            </w:pPr>
          </w:p>
        </w:tc>
      </w:tr>
      <w:tr w14:paraId="303DC43C">
        <w:tblPrEx>
          <w:tblCellMar>
            <w:top w:w="0" w:type="dxa"/>
            <w:left w:w="0" w:type="dxa"/>
            <w:bottom w:w="0" w:type="dxa"/>
            <w:right w:w="0" w:type="dxa"/>
          </w:tblCellMar>
        </w:tblPrEx>
        <w:trPr>
          <w:trHeight w:val="595" w:hRule="atLeast"/>
        </w:trPr>
        <w:tc>
          <w:tcPr>
            <w:tcW w:w="1074" w:type="dxa"/>
            <w:tcBorders>
              <w:top w:val="single" w:color="000000" w:sz="4" w:space="0"/>
              <w:left w:val="single" w:color="000000" w:sz="4" w:space="0"/>
              <w:bottom w:val="single" w:color="000000" w:sz="4" w:space="0"/>
              <w:right w:val="single" w:color="000000" w:sz="4" w:space="0"/>
            </w:tcBorders>
            <w:noWrap w:val="0"/>
            <w:vAlign w:val="top"/>
          </w:tcPr>
          <w:p w14:paraId="39A117BF">
            <w:pPr>
              <w:pStyle w:val="95"/>
              <w:spacing w:before="251" w:line="182" w:lineRule="auto"/>
              <w:ind w:left="425"/>
              <w:rPr>
                <w:color w:val="auto"/>
                <w:highlight w:val="none"/>
              </w:rPr>
            </w:pPr>
            <w:r>
              <w:rPr>
                <w:color w:val="auto"/>
                <w:spacing w:val="-6"/>
                <w:highlight w:val="none"/>
              </w:rPr>
              <w:t>19</w:t>
            </w:r>
          </w:p>
        </w:tc>
        <w:tc>
          <w:tcPr>
            <w:tcW w:w="1489" w:type="dxa"/>
            <w:tcBorders>
              <w:top w:val="single" w:color="000000" w:sz="4" w:space="0"/>
              <w:left w:val="single" w:color="000000" w:sz="4" w:space="0"/>
              <w:bottom w:val="single" w:color="000000" w:sz="4" w:space="0"/>
              <w:right w:val="single" w:color="000000" w:sz="4" w:space="0"/>
            </w:tcBorders>
            <w:noWrap w:val="0"/>
            <w:vAlign w:val="top"/>
          </w:tcPr>
          <w:p w14:paraId="057B8C37">
            <w:pPr>
              <w:snapToGrid w:val="0"/>
              <w:rPr>
                <w:rFonts w:ascii="Arial" w:hAnsi="Arial"/>
                <w:color w:val="auto"/>
                <w:highlight w:val="none"/>
              </w:rPr>
            </w:pPr>
          </w:p>
        </w:tc>
        <w:tc>
          <w:tcPr>
            <w:tcW w:w="1978" w:type="dxa"/>
            <w:tcBorders>
              <w:top w:val="single" w:color="000000" w:sz="4" w:space="0"/>
              <w:left w:val="single" w:color="000000" w:sz="4" w:space="0"/>
              <w:bottom w:val="single" w:color="000000" w:sz="4" w:space="0"/>
              <w:right w:val="single" w:color="000000" w:sz="4" w:space="0"/>
            </w:tcBorders>
            <w:noWrap w:val="0"/>
            <w:vAlign w:val="top"/>
          </w:tcPr>
          <w:p w14:paraId="6848A63D">
            <w:pPr>
              <w:snapToGrid w:val="0"/>
              <w:rPr>
                <w:rFonts w:ascii="Arial" w:hAnsi="Arial"/>
                <w:color w:val="auto"/>
                <w:highlight w:val="none"/>
              </w:rPr>
            </w:pPr>
          </w:p>
        </w:tc>
        <w:tc>
          <w:tcPr>
            <w:tcW w:w="1828" w:type="dxa"/>
            <w:tcBorders>
              <w:top w:val="single" w:color="000000" w:sz="4" w:space="0"/>
              <w:left w:val="single" w:color="000000" w:sz="4" w:space="0"/>
              <w:bottom w:val="single" w:color="000000" w:sz="4" w:space="0"/>
              <w:right w:val="single" w:color="000000" w:sz="4" w:space="0"/>
            </w:tcBorders>
            <w:noWrap w:val="0"/>
            <w:vAlign w:val="top"/>
          </w:tcPr>
          <w:p w14:paraId="0D45AF2C">
            <w:pPr>
              <w:snapToGrid w:val="0"/>
              <w:rPr>
                <w:rFonts w:ascii="Arial" w:hAnsi="Arial"/>
                <w:color w:val="auto"/>
                <w:highlight w:val="none"/>
              </w:rPr>
            </w:pPr>
          </w:p>
        </w:tc>
        <w:tc>
          <w:tcPr>
            <w:tcW w:w="1938" w:type="dxa"/>
            <w:tcBorders>
              <w:top w:val="single" w:color="000000" w:sz="4" w:space="0"/>
              <w:left w:val="single" w:color="000000" w:sz="4" w:space="0"/>
              <w:bottom w:val="single" w:color="000000" w:sz="4" w:space="0"/>
              <w:right w:val="single" w:color="000000" w:sz="4" w:space="0"/>
            </w:tcBorders>
            <w:noWrap w:val="0"/>
            <w:vAlign w:val="top"/>
          </w:tcPr>
          <w:p w14:paraId="5EA88CE1">
            <w:pPr>
              <w:snapToGrid w:val="0"/>
              <w:rPr>
                <w:rFonts w:ascii="Arial" w:hAnsi="Arial"/>
                <w:color w:val="auto"/>
                <w:highlight w:val="none"/>
              </w:rPr>
            </w:pPr>
          </w:p>
        </w:tc>
        <w:tc>
          <w:tcPr>
            <w:tcW w:w="1823" w:type="dxa"/>
            <w:tcBorders>
              <w:top w:val="single" w:color="000000" w:sz="4" w:space="0"/>
              <w:left w:val="single" w:color="000000" w:sz="4" w:space="0"/>
              <w:bottom w:val="single" w:color="000000" w:sz="4" w:space="0"/>
              <w:right w:val="single" w:color="000000" w:sz="4" w:space="0"/>
            </w:tcBorders>
            <w:noWrap w:val="0"/>
            <w:vAlign w:val="top"/>
          </w:tcPr>
          <w:p w14:paraId="4A2F9E06">
            <w:pPr>
              <w:snapToGrid w:val="0"/>
              <w:rPr>
                <w:rFonts w:ascii="Arial" w:hAnsi="Arial"/>
                <w:color w:val="auto"/>
                <w:highlight w:val="none"/>
              </w:rPr>
            </w:pPr>
          </w:p>
        </w:tc>
      </w:tr>
    </w:tbl>
    <w:p w14:paraId="43E69375">
      <w:pPr>
        <w:pStyle w:val="15"/>
        <w:spacing w:line="173" w:lineRule="exact"/>
        <w:rPr>
          <w:color w:val="auto"/>
          <w:sz w:val="15"/>
          <w:highlight w:val="none"/>
        </w:rPr>
        <w:sectPr>
          <w:headerReference r:id="rId45" w:type="first"/>
          <w:footerReference r:id="rId48" w:type="first"/>
          <w:headerReference r:id="rId43" w:type="default"/>
          <w:footerReference r:id="rId46" w:type="default"/>
          <w:headerReference r:id="rId44" w:type="even"/>
          <w:footerReference r:id="rId47" w:type="even"/>
          <w:footnotePr>
            <w:pos w:val="beneathText"/>
          </w:footnotePr>
          <w:pgSz w:w="11560" w:h="16490"/>
          <w:pgMar w:top="400" w:right="551" w:bottom="762" w:left="1349" w:header="0" w:footer="524" w:gutter="0"/>
          <w:pgNumType w:fmt="decimal"/>
          <w:cols w:space="720" w:num="1"/>
          <w:docGrid w:linePitch="360" w:charSpace="0"/>
        </w:sectPr>
      </w:pPr>
    </w:p>
    <w:p w14:paraId="239A084B">
      <w:pPr>
        <w:spacing w:before="168" w:line="237" w:lineRule="auto"/>
        <w:ind w:left="23"/>
        <w:rPr>
          <w:rFonts w:ascii="宋体" w:hAnsi="宋体" w:cs="宋体"/>
          <w:color w:val="auto"/>
          <w:spacing w:val="2"/>
          <w:sz w:val="24"/>
          <w:highlight w:val="none"/>
        </w:rPr>
      </w:pPr>
      <w:r>
        <w:rPr>
          <w:rFonts w:ascii="黑体" w:hAnsi="黑体" w:eastAsia="黑体" w:cs="黑体"/>
          <w:b/>
          <w:bCs/>
          <w:color w:val="auto"/>
          <w:spacing w:val="-4"/>
          <w:sz w:val="24"/>
          <w:highlight w:val="none"/>
        </w:rPr>
        <w:t>附件六</w:t>
      </w:r>
    </w:p>
    <w:p w14:paraId="5DBBE50A">
      <w:pPr>
        <w:spacing w:before="154" w:line="216" w:lineRule="auto"/>
        <w:ind w:left="3935"/>
        <w:rPr>
          <w:rFonts w:ascii="宋体" w:hAnsi="宋体" w:cs="宋体"/>
          <w:color w:val="auto"/>
          <w:sz w:val="24"/>
          <w:highlight w:val="none"/>
        </w:rPr>
      </w:pPr>
      <w:r>
        <w:rPr>
          <w:rFonts w:ascii="宋体" w:hAnsi="宋体" w:cs="宋体"/>
          <w:color w:val="auto"/>
          <w:spacing w:val="2"/>
          <w:sz w:val="24"/>
          <w:highlight w:val="none"/>
        </w:rPr>
        <w:t>《维序服务报价单》</w:t>
      </w:r>
    </w:p>
    <w:p w14:paraId="5B7EFF44">
      <w:pPr>
        <w:pStyle w:val="15"/>
        <w:spacing w:line="348" w:lineRule="auto"/>
        <w:rPr>
          <w:rFonts w:ascii="宋体" w:hAnsi="宋体" w:cs="宋体"/>
          <w:color w:val="auto"/>
          <w:highlight w:val="none"/>
        </w:rPr>
      </w:pPr>
    </w:p>
    <w:p w14:paraId="599AA2F5">
      <w:pPr>
        <w:spacing w:before="78" w:line="218" w:lineRule="auto"/>
        <w:ind w:left="44"/>
        <w:rPr>
          <w:rFonts w:hint="default" w:ascii="宋体" w:hAnsi="宋体" w:eastAsia="宋体" w:cs="宋体"/>
          <w:color w:val="auto"/>
          <w:sz w:val="24"/>
          <w:highlight w:val="none"/>
          <w:lang w:val="en-US" w:eastAsia="zh-CN"/>
        </w:rPr>
      </w:pPr>
      <w:r>
        <w:rPr>
          <w:rFonts w:ascii="宋体" w:hAnsi="宋体" w:cs="宋体"/>
          <w:color w:val="auto"/>
          <w:spacing w:val="-10"/>
          <w:sz w:val="24"/>
          <w:highlight w:val="none"/>
        </w:rPr>
        <w:t>公司名称：</w:t>
      </w:r>
      <w:r>
        <w:rPr>
          <w:rFonts w:hint="eastAsia" w:ascii="宋体" w:hAnsi="宋体" w:cs="宋体"/>
          <w:color w:val="auto"/>
          <w:spacing w:val="-10"/>
          <w:sz w:val="24"/>
          <w:highlight w:val="none"/>
          <w:lang w:val="en-US" w:eastAsia="zh-CN"/>
        </w:rPr>
        <w:t xml:space="preserve">  </w:t>
      </w:r>
    </w:p>
    <w:p w14:paraId="017C60BF">
      <w:pPr>
        <w:spacing w:line="138" w:lineRule="exact"/>
        <w:rPr>
          <w:rFonts w:ascii="宋体" w:hAnsi="宋体" w:cs="宋体"/>
          <w:color w:val="auto"/>
          <w:sz w:val="24"/>
          <w:highlight w:val="none"/>
        </w:rPr>
      </w:pPr>
    </w:p>
    <w:tbl>
      <w:tblPr>
        <w:tblStyle w:val="42"/>
        <w:tblW w:w="0" w:type="auto"/>
        <w:tblInd w:w="5" w:type="dxa"/>
        <w:tblLayout w:type="fixed"/>
        <w:tblCellMar>
          <w:top w:w="0" w:type="dxa"/>
          <w:left w:w="0" w:type="dxa"/>
          <w:bottom w:w="0" w:type="dxa"/>
          <w:right w:w="0" w:type="dxa"/>
        </w:tblCellMar>
      </w:tblPr>
      <w:tblGrid>
        <w:gridCol w:w="680"/>
        <w:gridCol w:w="1304"/>
        <w:gridCol w:w="1674"/>
        <w:gridCol w:w="686"/>
        <w:gridCol w:w="1104"/>
        <w:gridCol w:w="1836"/>
        <w:gridCol w:w="2361"/>
      </w:tblGrid>
      <w:tr w14:paraId="3EB3888E">
        <w:tblPrEx>
          <w:tblCellMar>
            <w:top w:w="0" w:type="dxa"/>
            <w:left w:w="0" w:type="dxa"/>
            <w:bottom w:w="0" w:type="dxa"/>
            <w:right w:w="0" w:type="dxa"/>
          </w:tblCellMar>
        </w:tblPrEx>
        <w:trPr>
          <w:trHeight w:val="661" w:hRule="atLeast"/>
        </w:trPr>
        <w:tc>
          <w:tcPr>
            <w:tcW w:w="9645" w:type="dxa"/>
            <w:gridSpan w:val="7"/>
            <w:tcBorders>
              <w:top w:val="single" w:color="000000" w:sz="4" w:space="0"/>
              <w:left w:val="single" w:color="000000" w:sz="4" w:space="0"/>
              <w:bottom w:val="single" w:color="000000" w:sz="4" w:space="0"/>
              <w:right w:val="single" w:color="000000" w:sz="4" w:space="0"/>
            </w:tcBorders>
            <w:noWrap w:val="0"/>
            <w:vAlign w:val="top"/>
          </w:tcPr>
          <w:p w14:paraId="03148AC9">
            <w:pPr>
              <w:pStyle w:val="95"/>
              <w:spacing w:before="184" w:line="218" w:lineRule="auto"/>
              <w:ind w:left="4555"/>
              <w:rPr>
                <w:color w:val="auto"/>
                <w:highlight w:val="none"/>
              </w:rPr>
            </w:pPr>
            <w:r>
              <w:rPr>
                <w:color w:val="auto"/>
                <w:sz w:val="22"/>
                <w:szCs w:val="22"/>
                <w:highlight w:val="none"/>
              </w:rPr>
              <w:t>一、项目概况</w:t>
            </w:r>
          </w:p>
        </w:tc>
      </w:tr>
      <w:tr w14:paraId="12E09CDE">
        <w:tblPrEx>
          <w:tblCellMar>
            <w:top w:w="0" w:type="dxa"/>
            <w:left w:w="0" w:type="dxa"/>
            <w:bottom w:w="0" w:type="dxa"/>
            <w:right w:w="0" w:type="dxa"/>
          </w:tblCellMar>
        </w:tblPrEx>
        <w:trPr>
          <w:trHeight w:val="689" w:hRule="atLeast"/>
        </w:trPr>
        <w:tc>
          <w:tcPr>
            <w:tcW w:w="1984" w:type="dxa"/>
            <w:gridSpan w:val="2"/>
            <w:tcBorders>
              <w:top w:val="single" w:color="000000" w:sz="4" w:space="0"/>
              <w:left w:val="single" w:color="000000" w:sz="4" w:space="0"/>
              <w:bottom w:val="single" w:color="000000" w:sz="4" w:space="0"/>
              <w:right w:val="single" w:color="000000" w:sz="4" w:space="0"/>
            </w:tcBorders>
            <w:noWrap w:val="0"/>
            <w:vAlign w:val="top"/>
          </w:tcPr>
          <w:p w14:paraId="0630CD70">
            <w:pPr>
              <w:pStyle w:val="95"/>
              <w:spacing w:before="199" w:line="218" w:lineRule="auto"/>
              <w:ind w:left="595"/>
              <w:rPr>
                <w:color w:val="auto"/>
                <w:highlight w:val="none"/>
              </w:rPr>
            </w:pPr>
            <w:r>
              <w:rPr>
                <w:color w:val="auto"/>
                <w:spacing w:val="4"/>
                <w:sz w:val="22"/>
                <w:szCs w:val="22"/>
                <w:highlight w:val="none"/>
              </w:rPr>
              <w:t>项目明确</w:t>
            </w:r>
          </w:p>
        </w:tc>
        <w:tc>
          <w:tcPr>
            <w:tcW w:w="2360" w:type="dxa"/>
            <w:gridSpan w:val="2"/>
            <w:tcBorders>
              <w:top w:val="single" w:color="000000" w:sz="4" w:space="0"/>
              <w:left w:val="single" w:color="000000" w:sz="4" w:space="0"/>
              <w:bottom w:val="single" w:color="000000" w:sz="4" w:space="0"/>
              <w:right w:val="single" w:color="000000" w:sz="4" w:space="0"/>
            </w:tcBorders>
            <w:noWrap w:val="0"/>
            <w:vAlign w:val="top"/>
          </w:tcPr>
          <w:p w14:paraId="0682641B">
            <w:pPr>
              <w:snapToGrid w:val="0"/>
              <w:rPr>
                <w:rFonts w:ascii="Arial" w:hAnsi="Arial"/>
                <w:color w:val="auto"/>
                <w:sz w:val="22"/>
                <w:szCs w:val="22"/>
                <w:highlight w:val="none"/>
              </w:rPr>
            </w:pPr>
          </w:p>
        </w:tc>
        <w:tc>
          <w:tcPr>
            <w:tcW w:w="2940" w:type="dxa"/>
            <w:gridSpan w:val="2"/>
            <w:tcBorders>
              <w:top w:val="single" w:color="000000" w:sz="4" w:space="0"/>
              <w:left w:val="single" w:color="000000" w:sz="4" w:space="0"/>
              <w:bottom w:val="single" w:color="000000" w:sz="4" w:space="0"/>
              <w:right w:val="single" w:color="000000" w:sz="4" w:space="0"/>
            </w:tcBorders>
            <w:noWrap w:val="0"/>
            <w:vAlign w:val="top"/>
          </w:tcPr>
          <w:p w14:paraId="5282D2EA">
            <w:pPr>
              <w:pStyle w:val="95"/>
              <w:spacing w:before="199" w:line="218" w:lineRule="auto"/>
              <w:ind w:left="1314"/>
              <w:rPr>
                <w:color w:val="auto"/>
                <w:highlight w:val="none"/>
              </w:rPr>
            </w:pPr>
            <w:r>
              <w:rPr>
                <w:color w:val="auto"/>
                <w:spacing w:val="4"/>
                <w:sz w:val="22"/>
                <w:szCs w:val="22"/>
                <w:highlight w:val="none"/>
              </w:rPr>
              <w:t>区域</w:t>
            </w:r>
          </w:p>
        </w:tc>
        <w:tc>
          <w:tcPr>
            <w:tcW w:w="2361" w:type="dxa"/>
            <w:tcBorders>
              <w:top w:val="single" w:color="000000" w:sz="4" w:space="0"/>
              <w:left w:val="single" w:color="000000" w:sz="4" w:space="0"/>
              <w:bottom w:val="single" w:color="000000" w:sz="4" w:space="0"/>
              <w:right w:val="single" w:color="000000" w:sz="4" w:space="0"/>
            </w:tcBorders>
            <w:noWrap w:val="0"/>
            <w:vAlign w:val="top"/>
          </w:tcPr>
          <w:p w14:paraId="6BECDA77">
            <w:pPr>
              <w:snapToGrid w:val="0"/>
              <w:rPr>
                <w:rFonts w:ascii="Arial" w:hAnsi="Arial"/>
                <w:color w:val="auto"/>
                <w:sz w:val="22"/>
                <w:szCs w:val="22"/>
                <w:highlight w:val="none"/>
              </w:rPr>
            </w:pPr>
          </w:p>
        </w:tc>
      </w:tr>
      <w:tr w14:paraId="19587EA4">
        <w:tblPrEx>
          <w:tblCellMar>
            <w:top w:w="0" w:type="dxa"/>
            <w:left w:w="0" w:type="dxa"/>
            <w:bottom w:w="0" w:type="dxa"/>
            <w:right w:w="0" w:type="dxa"/>
          </w:tblCellMar>
        </w:tblPrEx>
        <w:trPr>
          <w:trHeight w:val="676" w:hRule="atLeast"/>
        </w:trPr>
        <w:tc>
          <w:tcPr>
            <w:tcW w:w="1984" w:type="dxa"/>
            <w:gridSpan w:val="2"/>
            <w:tcBorders>
              <w:top w:val="single" w:color="000000" w:sz="4" w:space="0"/>
              <w:left w:val="single" w:color="000000" w:sz="4" w:space="0"/>
              <w:bottom w:val="single" w:color="000000" w:sz="4" w:space="0"/>
              <w:right w:val="single" w:color="000000" w:sz="4" w:space="0"/>
            </w:tcBorders>
            <w:noWrap w:val="0"/>
            <w:vAlign w:val="top"/>
          </w:tcPr>
          <w:p w14:paraId="33C4E1AF">
            <w:pPr>
              <w:pStyle w:val="95"/>
              <w:spacing w:before="189" w:line="218" w:lineRule="auto"/>
              <w:ind w:left="595"/>
              <w:rPr>
                <w:color w:val="auto"/>
                <w:highlight w:val="none"/>
              </w:rPr>
            </w:pPr>
            <w:r>
              <w:rPr>
                <w:color w:val="auto"/>
                <w:spacing w:val="3"/>
                <w:sz w:val="22"/>
                <w:szCs w:val="22"/>
                <w:highlight w:val="none"/>
              </w:rPr>
              <w:t>服务面积</w:t>
            </w:r>
          </w:p>
        </w:tc>
        <w:tc>
          <w:tcPr>
            <w:tcW w:w="2360" w:type="dxa"/>
            <w:gridSpan w:val="2"/>
            <w:tcBorders>
              <w:top w:val="single" w:color="000000" w:sz="4" w:space="0"/>
              <w:left w:val="single" w:color="000000" w:sz="4" w:space="0"/>
              <w:bottom w:val="single" w:color="000000" w:sz="4" w:space="0"/>
              <w:right w:val="single" w:color="000000" w:sz="4" w:space="0"/>
            </w:tcBorders>
            <w:noWrap w:val="0"/>
            <w:vAlign w:val="top"/>
          </w:tcPr>
          <w:p w14:paraId="586E578C">
            <w:pPr>
              <w:snapToGrid w:val="0"/>
              <w:rPr>
                <w:rFonts w:ascii="Arial" w:hAnsi="Arial"/>
                <w:color w:val="auto"/>
                <w:sz w:val="22"/>
                <w:szCs w:val="22"/>
                <w:highlight w:val="none"/>
              </w:rPr>
            </w:pPr>
          </w:p>
        </w:tc>
        <w:tc>
          <w:tcPr>
            <w:tcW w:w="2940" w:type="dxa"/>
            <w:gridSpan w:val="2"/>
            <w:tcBorders>
              <w:top w:val="single" w:color="000000" w:sz="4" w:space="0"/>
              <w:left w:val="single" w:color="000000" w:sz="4" w:space="0"/>
              <w:bottom w:val="single" w:color="000000" w:sz="4" w:space="0"/>
              <w:right w:val="single" w:color="000000" w:sz="4" w:space="0"/>
            </w:tcBorders>
            <w:noWrap w:val="0"/>
            <w:vAlign w:val="top"/>
          </w:tcPr>
          <w:p w14:paraId="05124109">
            <w:pPr>
              <w:pStyle w:val="95"/>
              <w:spacing w:before="189" w:line="218" w:lineRule="auto"/>
              <w:ind w:left="874"/>
              <w:rPr>
                <w:color w:val="auto"/>
                <w:highlight w:val="none"/>
              </w:rPr>
            </w:pPr>
            <w:r>
              <w:rPr>
                <w:color w:val="auto"/>
                <w:spacing w:val="-2"/>
                <w:sz w:val="22"/>
                <w:szCs w:val="22"/>
                <w:highlight w:val="none"/>
              </w:rPr>
              <w:t>服务人数总计</w:t>
            </w:r>
          </w:p>
        </w:tc>
        <w:tc>
          <w:tcPr>
            <w:tcW w:w="2361" w:type="dxa"/>
            <w:tcBorders>
              <w:top w:val="single" w:color="000000" w:sz="4" w:space="0"/>
              <w:left w:val="single" w:color="000000" w:sz="4" w:space="0"/>
              <w:bottom w:val="single" w:color="000000" w:sz="4" w:space="0"/>
              <w:right w:val="single" w:color="000000" w:sz="4" w:space="0"/>
            </w:tcBorders>
            <w:noWrap w:val="0"/>
            <w:vAlign w:val="top"/>
          </w:tcPr>
          <w:p w14:paraId="7E030385">
            <w:pPr>
              <w:pStyle w:val="95"/>
              <w:spacing w:before="244" w:line="182" w:lineRule="auto"/>
              <w:ind w:left="1277"/>
              <w:rPr>
                <w:color w:val="auto"/>
                <w:spacing w:val="-7"/>
                <w:sz w:val="22"/>
                <w:szCs w:val="22"/>
                <w:highlight w:val="none"/>
              </w:rPr>
            </w:pPr>
          </w:p>
        </w:tc>
      </w:tr>
      <w:tr w14:paraId="5F4D19C6">
        <w:tblPrEx>
          <w:tblCellMar>
            <w:top w:w="0" w:type="dxa"/>
            <w:left w:w="0" w:type="dxa"/>
            <w:bottom w:w="0" w:type="dxa"/>
            <w:right w:w="0" w:type="dxa"/>
          </w:tblCellMar>
        </w:tblPrEx>
        <w:trPr>
          <w:trHeight w:val="666" w:hRule="atLeast"/>
        </w:trPr>
        <w:tc>
          <w:tcPr>
            <w:tcW w:w="9645" w:type="dxa"/>
            <w:gridSpan w:val="7"/>
            <w:tcBorders>
              <w:top w:val="single" w:color="000000" w:sz="4" w:space="0"/>
              <w:left w:val="single" w:color="000000" w:sz="4" w:space="0"/>
              <w:bottom w:val="single" w:color="000000" w:sz="4" w:space="0"/>
              <w:right w:val="single" w:color="000000" w:sz="4" w:space="0"/>
            </w:tcBorders>
            <w:noWrap w:val="0"/>
            <w:vAlign w:val="top"/>
          </w:tcPr>
          <w:p w14:paraId="32DDC17F">
            <w:pPr>
              <w:pStyle w:val="95"/>
              <w:spacing w:before="188" w:line="216" w:lineRule="auto"/>
              <w:ind w:left="4445"/>
              <w:rPr>
                <w:color w:val="auto"/>
                <w:highlight w:val="none"/>
              </w:rPr>
            </w:pPr>
            <w:r>
              <w:rPr>
                <w:color w:val="auto"/>
                <w:spacing w:val="1"/>
                <w:sz w:val="22"/>
                <w:szCs w:val="22"/>
                <w:highlight w:val="none"/>
              </w:rPr>
              <w:t>二、报价汇总表</w:t>
            </w:r>
          </w:p>
        </w:tc>
      </w:tr>
      <w:tr w14:paraId="746EF4C0">
        <w:tblPrEx>
          <w:tblCellMar>
            <w:top w:w="0" w:type="dxa"/>
            <w:left w:w="0" w:type="dxa"/>
            <w:bottom w:w="0" w:type="dxa"/>
            <w:right w:w="0" w:type="dxa"/>
          </w:tblCellMar>
        </w:tblPrEx>
        <w:trPr>
          <w:trHeight w:val="676" w:hRule="atLeast"/>
        </w:trPr>
        <w:tc>
          <w:tcPr>
            <w:tcW w:w="680" w:type="dxa"/>
            <w:tcBorders>
              <w:top w:val="single" w:color="000000" w:sz="4" w:space="0"/>
              <w:left w:val="single" w:color="000000" w:sz="4" w:space="0"/>
              <w:bottom w:val="single" w:color="000000" w:sz="4" w:space="0"/>
              <w:right w:val="single" w:color="000000" w:sz="4" w:space="0"/>
            </w:tcBorders>
            <w:noWrap w:val="0"/>
            <w:vAlign w:val="top"/>
          </w:tcPr>
          <w:p w14:paraId="65D2DDD8">
            <w:pPr>
              <w:pStyle w:val="95"/>
              <w:spacing w:before="188" w:line="216" w:lineRule="auto"/>
              <w:ind w:left="125"/>
              <w:rPr>
                <w:color w:val="auto"/>
                <w:highlight w:val="none"/>
              </w:rPr>
            </w:pPr>
            <w:r>
              <w:rPr>
                <w:color w:val="auto"/>
                <w:spacing w:val="-2"/>
                <w:sz w:val="22"/>
                <w:szCs w:val="22"/>
                <w:highlight w:val="none"/>
              </w:rPr>
              <w:t>报价</w:t>
            </w:r>
          </w:p>
        </w:tc>
        <w:tc>
          <w:tcPr>
            <w:tcW w:w="1304" w:type="dxa"/>
            <w:tcBorders>
              <w:top w:val="single" w:color="000000" w:sz="4" w:space="0"/>
              <w:left w:val="single" w:color="000000" w:sz="4" w:space="0"/>
              <w:bottom w:val="single" w:color="000000" w:sz="4" w:space="0"/>
              <w:right w:val="single" w:color="000000" w:sz="4" w:space="0"/>
            </w:tcBorders>
            <w:noWrap w:val="0"/>
            <w:vAlign w:val="top"/>
          </w:tcPr>
          <w:p w14:paraId="258160C8">
            <w:pPr>
              <w:pStyle w:val="95"/>
              <w:spacing w:before="190" w:line="218" w:lineRule="auto"/>
              <w:ind w:left="471"/>
              <w:rPr>
                <w:color w:val="auto"/>
                <w:highlight w:val="none"/>
              </w:rPr>
            </w:pPr>
            <w:r>
              <w:rPr>
                <w:color w:val="auto"/>
                <w:spacing w:val="4"/>
                <w:sz w:val="22"/>
                <w:szCs w:val="22"/>
                <w:highlight w:val="none"/>
              </w:rPr>
              <w:t>区域</w:t>
            </w:r>
          </w:p>
        </w:tc>
        <w:tc>
          <w:tcPr>
            <w:tcW w:w="1674" w:type="dxa"/>
            <w:tcBorders>
              <w:top w:val="single" w:color="000000" w:sz="4" w:space="0"/>
              <w:left w:val="single" w:color="000000" w:sz="4" w:space="0"/>
              <w:bottom w:val="single" w:color="000000" w:sz="4" w:space="0"/>
              <w:right w:val="single" w:color="000000" w:sz="4" w:space="0"/>
            </w:tcBorders>
            <w:noWrap w:val="0"/>
            <w:vAlign w:val="top"/>
          </w:tcPr>
          <w:p w14:paraId="4FEB935B">
            <w:pPr>
              <w:pStyle w:val="95"/>
              <w:spacing w:before="190" w:line="218" w:lineRule="auto"/>
              <w:ind w:left="652"/>
              <w:rPr>
                <w:color w:val="auto"/>
                <w:highlight w:val="none"/>
              </w:rPr>
            </w:pPr>
            <w:r>
              <w:rPr>
                <w:color w:val="auto"/>
                <w:spacing w:val="-3"/>
                <w:sz w:val="22"/>
                <w:szCs w:val="22"/>
                <w:highlight w:val="none"/>
              </w:rPr>
              <w:t>标准</w:t>
            </w:r>
          </w:p>
        </w:tc>
        <w:tc>
          <w:tcPr>
            <w:tcW w:w="1790" w:type="dxa"/>
            <w:gridSpan w:val="2"/>
            <w:tcBorders>
              <w:top w:val="single" w:color="000000" w:sz="4" w:space="0"/>
              <w:left w:val="single" w:color="000000" w:sz="4" w:space="0"/>
              <w:bottom w:val="single" w:color="000000" w:sz="4" w:space="0"/>
              <w:right w:val="single" w:color="000000" w:sz="4" w:space="0"/>
            </w:tcBorders>
            <w:noWrap w:val="0"/>
            <w:vAlign w:val="top"/>
          </w:tcPr>
          <w:p w14:paraId="05C6C099">
            <w:pPr>
              <w:pStyle w:val="95"/>
              <w:spacing w:before="190" w:line="218" w:lineRule="auto"/>
              <w:ind w:left="714"/>
              <w:rPr>
                <w:color w:val="auto"/>
                <w:highlight w:val="none"/>
              </w:rPr>
            </w:pPr>
            <w:r>
              <w:rPr>
                <w:color w:val="auto"/>
                <w:spacing w:val="-6"/>
                <w:sz w:val="22"/>
                <w:szCs w:val="22"/>
                <w:highlight w:val="none"/>
              </w:rPr>
              <w:t>项 目</w:t>
            </w:r>
          </w:p>
        </w:tc>
        <w:tc>
          <w:tcPr>
            <w:tcW w:w="1836" w:type="dxa"/>
            <w:tcBorders>
              <w:top w:val="single" w:color="000000" w:sz="4" w:space="0"/>
              <w:left w:val="single" w:color="000000" w:sz="4" w:space="0"/>
              <w:bottom w:val="single" w:color="000000" w:sz="4" w:space="0"/>
              <w:right w:val="single" w:color="000000" w:sz="4" w:space="0"/>
            </w:tcBorders>
            <w:noWrap w:val="0"/>
            <w:vAlign w:val="top"/>
          </w:tcPr>
          <w:p w14:paraId="0AFDF37D">
            <w:pPr>
              <w:pStyle w:val="95"/>
              <w:spacing w:before="28" w:line="232" w:lineRule="auto"/>
              <w:ind w:left="405" w:right="364" w:firstLine="110"/>
              <w:rPr>
                <w:color w:val="auto"/>
                <w:highlight w:val="none"/>
              </w:rPr>
            </w:pPr>
            <w:r>
              <w:rPr>
                <w:color w:val="auto"/>
                <w:spacing w:val="2"/>
                <w:sz w:val="22"/>
                <w:szCs w:val="22"/>
                <w:highlight w:val="none"/>
              </w:rPr>
              <w:t>综合单价</w:t>
            </w:r>
            <w:r>
              <w:rPr>
                <w:color w:val="auto"/>
                <w:sz w:val="22"/>
                <w:szCs w:val="22"/>
                <w:highlight w:val="none"/>
              </w:rPr>
              <w:t xml:space="preserve">  </w:t>
            </w:r>
            <w:r>
              <w:rPr>
                <w:color w:val="auto"/>
                <w:spacing w:val="6"/>
                <w:sz w:val="22"/>
                <w:szCs w:val="22"/>
                <w:highlight w:val="none"/>
              </w:rPr>
              <w:t>(元/人/月)</w:t>
            </w:r>
          </w:p>
        </w:tc>
        <w:tc>
          <w:tcPr>
            <w:tcW w:w="2361" w:type="dxa"/>
            <w:tcBorders>
              <w:top w:val="single" w:color="000000" w:sz="4" w:space="0"/>
              <w:left w:val="single" w:color="000000" w:sz="4" w:space="0"/>
              <w:bottom w:val="single" w:color="000000" w:sz="4" w:space="0"/>
              <w:right w:val="single" w:color="000000" w:sz="4" w:space="0"/>
            </w:tcBorders>
            <w:noWrap w:val="0"/>
            <w:vAlign w:val="top"/>
          </w:tcPr>
          <w:p w14:paraId="4CCD57AF">
            <w:pPr>
              <w:pStyle w:val="95"/>
              <w:spacing w:before="191" w:line="220" w:lineRule="auto"/>
              <w:ind w:left="1167"/>
              <w:rPr>
                <w:color w:val="auto"/>
                <w:highlight w:val="none"/>
              </w:rPr>
            </w:pPr>
            <w:r>
              <w:rPr>
                <w:color w:val="auto"/>
                <w:spacing w:val="5"/>
                <w:sz w:val="22"/>
                <w:szCs w:val="22"/>
                <w:highlight w:val="none"/>
              </w:rPr>
              <w:t>备注</w:t>
            </w:r>
          </w:p>
        </w:tc>
      </w:tr>
      <w:tr w14:paraId="3F54CB05">
        <w:tblPrEx>
          <w:tblCellMar>
            <w:top w:w="0" w:type="dxa"/>
            <w:left w:w="0" w:type="dxa"/>
            <w:bottom w:w="0" w:type="dxa"/>
            <w:right w:w="0" w:type="dxa"/>
          </w:tblCellMar>
        </w:tblPrEx>
        <w:trPr>
          <w:trHeight w:val="925" w:hRule="atLeast"/>
        </w:trPr>
        <w:tc>
          <w:tcPr>
            <w:tcW w:w="680" w:type="dxa"/>
            <w:vMerge w:val="restart"/>
            <w:tcBorders>
              <w:top w:val="single" w:color="000000" w:sz="4" w:space="0"/>
              <w:left w:val="single" w:color="000000" w:sz="4" w:space="0"/>
              <w:right w:val="single" w:color="000000" w:sz="4" w:space="0"/>
            </w:tcBorders>
            <w:noWrap w:val="0"/>
            <w:vAlign w:val="top"/>
          </w:tcPr>
          <w:p w14:paraId="3DA589B8">
            <w:pPr>
              <w:pStyle w:val="95"/>
              <w:spacing w:before="258" w:line="199" w:lineRule="auto"/>
              <w:ind w:left="3550"/>
              <w:rPr>
                <w:color w:val="auto"/>
                <w:highlight w:val="none"/>
              </w:rPr>
            </w:pPr>
            <w:r>
              <w:rPr>
                <w:color w:val="auto"/>
                <w:sz w:val="22"/>
                <w:szCs w:val="22"/>
                <w:highlight w:val="none"/>
              </w:rPr>
              <w:t>合</w:t>
            </w:r>
            <w:r>
              <w:rPr>
                <w:color w:val="auto"/>
                <w:spacing w:val="-26"/>
                <w:sz w:val="22"/>
                <w:szCs w:val="22"/>
                <w:highlight w:val="none"/>
              </w:rPr>
              <w:t xml:space="preserve"> </w:t>
            </w:r>
            <w:r>
              <w:rPr>
                <w:color w:val="auto"/>
                <w:sz w:val="22"/>
                <w:szCs w:val="22"/>
                <w:highlight w:val="none"/>
              </w:rPr>
              <w:t>同</w:t>
            </w:r>
            <w:r>
              <w:rPr>
                <w:color w:val="auto"/>
                <w:spacing w:val="-26"/>
                <w:sz w:val="22"/>
                <w:szCs w:val="22"/>
                <w:highlight w:val="none"/>
              </w:rPr>
              <w:t xml:space="preserve"> </w:t>
            </w:r>
            <w:r>
              <w:rPr>
                <w:color w:val="auto"/>
                <w:sz w:val="22"/>
                <w:szCs w:val="22"/>
                <w:highlight w:val="none"/>
              </w:rPr>
              <w:t>报</w:t>
            </w:r>
            <w:r>
              <w:rPr>
                <w:color w:val="auto"/>
                <w:spacing w:val="-25"/>
                <w:sz w:val="22"/>
                <w:szCs w:val="22"/>
                <w:highlight w:val="none"/>
              </w:rPr>
              <w:t xml:space="preserve"> </w:t>
            </w:r>
            <w:r>
              <w:rPr>
                <w:color w:val="auto"/>
                <w:sz w:val="22"/>
                <w:szCs w:val="22"/>
                <w:highlight w:val="none"/>
              </w:rPr>
              <w:t>价</w:t>
            </w:r>
          </w:p>
        </w:tc>
        <w:tc>
          <w:tcPr>
            <w:tcW w:w="1304" w:type="dxa"/>
            <w:vMerge w:val="restart"/>
            <w:tcBorders>
              <w:top w:val="single" w:color="000000" w:sz="4" w:space="0"/>
              <w:left w:val="single" w:color="000000" w:sz="4" w:space="0"/>
              <w:right w:val="single" w:color="000000" w:sz="4" w:space="0"/>
            </w:tcBorders>
            <w:noWrap w:val="0"/>
            <w:vAlign w:val="top"/>
          </w:tcPr>
          <w:p w14:paraId="782F24D2">
            <w:pPr>
              <w:snapToGrid w:val="0"/>
              <w:rPr>
                <w:rFonts w:ascii="Arial" w:hAnsi="Arial"/>
                <w:color w:val="auto"/>
                <w:sz w:val="22"/>
                <w:szCs w:val="22"/>
                <w:highlight w:val="none"/>
              </w:rPr>
            </w:pPr>
          </w:p>
        </w:tc>
        <w:tc>
          <w:tcPr>
            <w:tcW w:w="1674" w:type="dxa"/>
            <w:vMerge w:val="restart"/>
            <w:tcBorders>
              <w:top w:val="single" w:color="000000" w:sz="4" w:space="0"/>
              <w:left w:val="single" w:color="000000" w:sz="4" w:space="0"/>
              <w:right w:val="single" w:color="000000" w:sz="4" w:space="0"/>
            </w:tcBorders>
            <w:noWrap w:val="0"/>
            <w:vAlign w:val="top"/>
          </w:tcPr>
          <w:p w14:paraId="20635FBF">
            <w:pPr>
              <w:snapToGrid w:val="0"/>
              <w:spacing w:line="271" w:lineRule="auto"/>
              <w:rPr>
                <w:rFonts w:ascii="Arial" w:hAnsi="Arial"/>
                <w:color w:val="auto"/>
                <w:highlight w:val="none"/>
              </w:rPr>
            </w:pPr>
          </w:p>
          <w:p w14:paraId="69EB4FDB">
            <w:pPr>
              <w:spacing w:line="271" w:lineRule="auto"/>
              <w:rPr>
                <w:rFonts w:ascii="Arial" w:hAnsi="Arial"/>
                <w:color w:val="auto"/>
                <w:highlight w:val="none"/>
              </w:rPr>
            </w:pPr>
          </w:p>
          <w:p w14:paraId="285305B9">
            <w:pPr>
              <w:spacing w:line="271" w:lineRule="auto"/>
              <w:rPr>
                <w:rFonts w:ascii="Arial" w:hAnsi="Arial"/>
                <w:color w:val="auto"/>
                <w:highlight w:val="none"/>
              </w:rPr>
            </w:pPr>
          </w:p>
          <w:p w14:paraId="0C38D59F">
            <w:pPr>
              <w:spacing w:line="271" w:lineRule="auto"/>
              <w:rPr>
                <w:rFonts w:ascii="Arial" w:hAnsi="Arial"/>
                <w:color w:val="auto"/>
                <w:highlight w:val="none"/>
              </w:rPr>
            </w:pPr>
          </w:p>
          <w:p w14:paraId="15F4D4A0">
            <w:pPr>
              <w:pStyle w:val="95"/>
              <w:spacing w:before="72" w:line="218" w:lineRule="auto"/>
              <w:ind w:left="432"/>
              <w:rPr>
                <w:color w:val="auto"/>
                <w:highlight w:val="none"/>
              </w:rPr>
            </w:pPr>
            <w:r>
              <w:rPr>
                <w:color w:val="auto"/>
                <w:spacing w:val="-2"/>
                <w:sz w:val="22"/>
                <w:szCs w:val="22"/>
                <w:highlight w:val="none"/>
              </w:rPr>
              <w:t>普通岗位</w:t>
            </w:r>
          </w:p>
        </w:tc>
        <w:tc>
          <w:tcPr>
            <w:tcW w:w="1790" w:type="dxa"/>
            <w:gridSpan w:val="2"/>
            <w:tcBorders>
              <w:top w:val="single" w:color="000000" w:sz="4" w:space="0"/>
              <w:left w:val="single" w:color="000000" w:sz="4" w:space="0"/>
              <w:bottom w:val="single" w:color="000000" w:sz="4" w:space="0"/>
              <w:right w:val="single" w:color="000000" w:sz="4" w:space="0"/>
            </w:tcBorders>
            <w:noWrap w:val="0"/>
            <w:vAlign w:val="top"/>
          </w:tcPr>
          <w:p w14:paraId="2545B931">
            <w:pPr>
              <w:pStyle w:val="95"/>
              <w:spacing w:before="301" w:line="218" w:lineRule="auto"/>
              <w:ind w:left="384"/>
              <w:rPr>
                <w:color w:val="auto"/>
                <w:spacing w:val="-2"/>
                <w:sz w:val="22"/>
                <w:szCs w:val="22"/>
                <w:highlight w:val="none"/>
              </w:rPr>
            </w:pPr>
          </w:p>
        </w:tc>
        <w:tc>
          <w:tcPr>
            <w:tcW w:w="1836" w:type="dxa"/>
            <w:tcBorders>
              <w:top w:val="single" w:color="000000" w:sz="4" w:space="0"/>
              <w:left w:val="single" w:color="000000" w:sz="4" w:space="0"/>
              <w:bottom w:val="single" w:color="000000" w:sz="4" w:space="0"/>
              <w:right w:val="single" w:color="000000" w:sz="4" w:space="0"/>
            </w:tcBorders>
            <w:noWrap w:val="0"/>
            <w:vAlign w:val="top"/>
          </w:tcPr>
          <w:p w14:paraId="17E0114B">
            <w:pPr>
              <w:snapToGrid w:val="0"/>
              <w:spacing w:line="283" w:lineRule="auto"/>
              <w:rPr>
                <w:color w:val="auto"/>
                <w:highlight w:val="none"/>
              </w:rPr>
            </w:pPr>
          </w:p>
        </w:tc>
        <w:tc>
          <w:tcPr>
            <w:tcW w:w="2361" w:type="dxa"/>
            <w:tcBorders>
              <w:top w:val="single" w:color="000000" w:sz="4" w:space="0"/>
              <w:left w:val="single" w:color="000000" w:sz="4" w:space="0"/>
              <w:bottom w:val="single" w:color="000000" w:sz="4" w:space="0"/>
              <w:right w:val="single" w:color="000000" w:sz="4" w:space="0"/>
            </w:tcBorders>
            <w:noWrap w:val="0"/>
            <w:vAlign w:val="top"/>
          </w:tcPr>
          <w:p w14:paraId="459B21D5">
            <w:pPr>
              <w:snapToGrid w:val="0"/>
              <w:rPr>
                <w:rFonts w:hint="eastAsia" w:ascii="Arial" w:hAnsi="Arial"/>
                <w:color w:val="auto"/>
                <w:sz w:val="22"/>
                <w:szCs w:val="22"/>
                <w:highlight w:val="none"/>
              </w:rPr>
            </w:pPr>
          </w:p>
        </w:tc>
      </w:tr>
      <w:tr w14:paraId="101F07F3">
        <w:tblPrEx>
          <w:tblCellMar>
            <w:top w:w="0" w:type="dxa"/>
            <w:left w:w="0" w:type="dxa"/>
            <w:bottom w:w="0" w:type="dxa"/>
            <w:right w:w="0" w:type="dxa"/>
          </w:tblCellMar>
        </w:tblPrEx>
        <w:trPr>
          <w:trHeight w:val="1004" w:hRule="atLeast"/>
        </w:trPr>
        <w:tc>
          <w:tcPr>
            <w:tcW w:w="680" w:type="dxa"/>
            <w:vMerge w:val="continue"/>
            <w:tcBorders>
              <w:top w:val="single" w:color="000000" w:sz="4" w:space="0"/>
              <w:left w:val="single" w:color="000000" w:sz="4" w:space="0"/>
              <w:right w:val="single" w:color="000000" w:sz="4" w:space="0"/>
            </w:tcBorders>
            <w:noWrap w:val="0"/>
            <w:vAlign w:val="top"/>
          </w:tcPr>
          <w:p w14:paraId="476042BA">
            <w:pPr>
              <w:snapToGrid w:val="0"/>
              <w:rPr>
                <w:rFonts w:ascii="Arial" w:hAnsi="Arial"/>
                <w:color w:val="auto"/>
                <w:highlight w:val="none"/>
              </w:rPr>
            </w:pPr>
          </w:p>
        </w:tc>
        <w:tc>
          <w:tcPr>
            <w:tcW w:w="1304" w:type="dxa"/>
            <w:vMerge w:val="continue"/>
            <w:tcBorders>
              <w:top w:val="single" w:color="000000" w:sz="4" w:space="0"/>
              <w:left w:val="single" w:color="000000" w:sz="4" w:space="0"/>
              <w:right w:val="single" w:color="000000" w:sz="4" w:space="0"/>
            </w:tcBorders>
            <w:noWrap w:val="0"/>
            <w:vAlign w:val="top"/>
          </w:tcPr>
          <w:p w14:paraId="787856E4">
            <w:pPr>
              <w:snapToGrid w:val="0"/>
              <w:rPr>
                <w:rFonts w:ascii="Arial" w:hAnsi="Arial"/>
                <w:color w:val="auto"/>
                <w:highlight w:val="none"/>
              </w:rPr>
            </w:pPr>
          </w:p>
        </w:tc>
        <w:tc>
          <w:tcPr>
            <w:tcW w:w="1674" w:type="dxa"/>
            <w:vMerge w:val="continue"/>
            <w:tcBorders>
              <w:top w:val="single" w:color="000000" w:sz="4" w:space="0"/>
              <w:left w:val="single" w:color="000000" w:sz="4" w:space="0"/>
              <w:right w:val="single" w:color="000000" w:sz="4" w:space="0"/>
            </w:tcBorders>
            <w:noWrap w:val="0"/>
            <w:vAlign w:val="top"/>
          </w:tcPr>
          <w:p w14:paraId="35F5FB02">
            <w:pPr>
              <w:snapToGrid w:val="0"/>
              <w:rPr>
                <w:rFonts w:ascii="Arial" w:hAnsi="Arial"/>
                <w:color w:val="auto"/>
                <w:highlight w:val="none"/>
              </w:rPr>
            </w:pPr>
          </w:p>
        </w:tc>
        <w:tc>
          <w:tcPr>
            <w:tcW w:w="1790" w:type="dxa"/>
            <w:gridSpan w:val="2"/>
            <w:tcBorders>
              <w:top w:val="single" w:color="000000" w:sz="4" w:space="0"/>
              <w:left w:val="single" w:color="000000" w:sz="4" w:space="0"/>
              <w:bottom w:val="single" w:color="000000" w:sz="4" w:space="0"/>
              <w:right w:val="single" w:color="000000" w:sz="4" w:space="0"/>
            </w:tcBorders>
            <w:noWrap w:val="0"/>
            <w:vAlign w:val="top"/>
          </w:tcPr>
          <w:p w14:paraId="5953CA5F">
            <w:pPr>
              <w:snapToGrid w:val="0"/>
              <w:rPr>
                <w:rFonts w:ascii="Arial" w:hAnsi="Arial"/>
                <w:color w:val="auto"/>
                <w:highlight w:val="none"/>
              </w:rPr>
            </w:pPr>
          </w:p>
        </w:tc>
        <w:tc>
          <w:tcPr>
            <w:tcW w:w="1836" w:type="dxa"/>
            <w:tcBorders>
              <w:top w:val="single" w:color="000000" w:sz="4" w:space="0"/>
              <w:left w:val="single" w:color="000000" w:sz="4" w:space="0"/>
              <w:bottom w:val="single" w:color="000000" w:sz="4" w:space="0"/>
              <w:right w:val="single" w:color="000000" w:sz="4" w:space="0"/>
            </w:tcBorders>
            <w:noWrap w:val="0"/>
            <w:vAlign w:val="top"/>
          </w:tcPr>
          <w:p w14:paraId="56E5717E">
            <w:pPr>
              <w:snapToGrid w:val="0"/>
              <w:rPr>
                <w:rFonts w:ascii="Arial" w:hAnsi="Arial"/>
                <w:color w:val="auto"/>
                <w:highlight w:val="none"/>
              </w:rPr>
            </w:pPr>
          </w:p>
        </w:tc>
        <w:tc>
          <w:tcPr>
            <w:tcW w:w="2361" w:type="dxa"/>
            <w:tcBorders>
              <w:top w:val="single" w:color="000000" w:sz="4" w:space="0"/>
              <w:left w:val="single" w:color="000000" w:sz="4" w:space="0"/>
              <w:bottom w:val="single" w:color="000000" w:sz="4" w:space="0"/>
              <w:right w:val="single" w:color="000000" w:sz="4" w:space="0"/>
            </w:tcBorders>
            <w:noWrap w:val="0"/>
            <w:vAlign w:val="top"/>
          </w:tcPr>
          <w:p w14:paraId="1AC40353">
            <w:pPr>
              <w:snapToGrid w:val="0"/>
              <w:rPr>
                <w:rFonts w:ascii="Arial" w:hAnsi="Arial"/>
                <w:color w:val="auto"/>
                <w:highlight w:val="none"/>
              </w:rPr>
            </w:pPr>
          </w:p>
        </w:tc>
      </w:tr>
      <w:tr w14:paraId="2DF8DED7">
        <w:tblPrEx>
          <w:tblCellMar>
            <w:top w:w="0" w:type="dxa"/>
            <w:left w:w="0" w:type="dxa"/>
            <w:bottom w:w="0" w:type="dxa"/>
            <w:right w:w="0" w:type="dxa"/>
          </w:tblCellMar>
        </w:tblPrEx>
        <w:trPr>
          <w:trHeight w:val="936" w:hRule="atLeast"/>
        </w:trPr>
        <w:tc>
          <w:tcPr>
            <w:tcW w:w="680" w:type="dxa"/>
            <w:vMerge w:val="continue"/>
            <w:tcBorders>
              <w:top w:val="single" w:color="000000" w:sz="4" w:space="0"/>
              <w:left w:val="single" w:color="000000" w:sz="4" w:space="0"/>
              <w:right w:val="single" w:color="000000" w:sz="4" w:space="0"/>
            </w:tcBorders>
            <w:noWrap w:val="0"/>
            <w:vAlign w:val="top"/>
          </w:tcPr>
          <w:p w14:paraId="0851A4CA">
            <w:pPr>
              <w:snapToGrid w:val="0"/>
              <w:rPr>
                <w:rFonts w:ascii="Arial" w:hAnsi="Arial"/>
                <w:color w:val="auto"/>
                <w:highlight w:val="none"/>
              </w:rPr>
            </w:pPr>
          </w:p>
        </w:tc>
        <w:tc>
          <w:tcPr>
            <w:tcW w:w="1304" w:type="dxa"/>
            <w:vMerge w:val="continue"/>
            <w:tcBorders>
              <w:top w:val="single" w:color="000000" w:sz="4" w:space="0"/>
              <w:left w:val="single" w:color="000000" w:sz="4" w:space="0"/>
              <w:right w:val="single" w:color="000000" w:sz="4" w:space="0"/>
            </w:tcBorders>
            <w:noWrap w:val="0"/>
            <w:vAlign w:val="top"/>
          </w:tcPr>
          <w:p w14:paraId="58D9CEDE">
            <w:pPr>
              <w:snapToGrid w:val="0"/>
              <w:rPr>
                <w:rFonts w:ascii="Arial" w:hAnsi="Arial"/>
                <w:color w:val="auto"/>
                <w:highlight w:val="none"/>
              </w:rPr>
            </w:pPr>
          </w:p>
        </w:tc>
        <w:tc>
          <w:tcPr>
            <w:tcW w:w="1674" w:type="dxa"/>
            <w:vMerge w:val="continue"/>
            <w:tcBorders>
              <w:top w:val="single" w:color="000000" w:sz="4" w:space="0"/>
              <w:left w:val="single" w:color="000000" w:sz="4" w:space="0"/>
              <w:right w:val="single" w:color="000000" w:sz="4" w:space="0"/>
            </w:tcBorders>
            <w:noWrap w:val="0"/>
            <w:vAlign w:val="top"/>
          </w:tcPr>
          <w:p w14:paraId="76BDAA50">
            <w:pPr>
              <w:snapToGrid w:val="0"/>
              <w:rPr>
                <w:rFonts w:ascii="Arial" w:hAnsi="Arial"/>
                <w:color w:val="auto"/>
                <w:highlight w:val="none"/>
              </w:rPr>
            </w:pPr>
          </w:p>
        </w:tc>
        <w:tc>
          <w:tcPr>
            <w:tcW w:w="1790" w:type="dxa"/>
            <w:gridSpan w:val="2"/>
            <w:tcBorders>
              <w:top w:val="single" w:color="000000" w:sz="4" w:space="0"/>
              <w:left w:val="single" w:color="000000" w:sz="4" w:space="0"/>
              <w:bottom w:val="single" w:color="000000" w:sz="4" w:space="0"/>
              <w:right w:val="single" w:color="000000" w:sz="4" w:space="0"/>
            </w:tcBorders>
            <w:noWrap w:val="0"/>
            <w:vAlign w:val="top"/>
          </w:tcPr>
          <w:p w14:paraId="49BC669C">
            <w:pPr>
              <w:snapToGrid w:val="0"/>
              <w:rPr>
                <w:rFonts w:ascii="Arial" w:hAnsi="Arial"/>
                <w:color w:val="auto"/>
                <w:highlight w:val="none"/>
              </w:rPr>
            </w:pPr>
          </w:p>
        </w:tc>
        <w:tc>
          <w:tcPr>
            <w:tcW w:w="1836" w:type="dxa"/>
            <w:tcBorders>
              <w:top w:val="single" w:color="000000" w:sz="4" w:space="0"/>
              <w:left w:val="single" w:color="000000" w:sz="4" w:space="0"/>
              <w:bottom w:val="single" w:color="000000" w:sz="4" w:space="0"/>
              <w:right w:val="single" w:color="000000" w:sz="4" w:space="0"/>
            </w:tcBorders>
            <w:noWrap w:val="0"/>
            <w:vAlign w:val="top"/>
          </w:tcPr>
          <w:p w14:paraId="406623B2">
            <w:pPr>
              <w:snapToGrid w:val="0"/>
              <w:rPr>
                <w:rFonts w:ascii="Arial" w:hAnsi="Arial"/>
                <w:color w:val="auto"/>
                <w:highlight w:val="none"/>
              </w:rPr>
            </w:pPr>
          </w:p>
        </w:tc>
        <w:tc>
          <w:tcPr>
            <w:tcW w:w="2361" w:type="dxa"/>
            <w:tcBorders>
              <w:top w:val="single" w:color="000000" w:sz="4" w:space="0"/>
              <w:left w:val="single" w:color="000000" w:sz="4" w:space="0"/>
              <w:bottom w:val="single" w:color="000000" w:sz="4" w:space="0"/>
              <w:right w:val="single" w:color="000000" w:sz="4" w:space="0"/>
            </w:tcBorders>
            <w:noWrap w:val="0"/>
            <w:vAlign w:val="top"/>
          </w:tcPr>
          <w:p w14:paraId="7DC5D17F">
            <w:pPr>
              <w:snapToGrid w:val="0"/>
              <w:rPr>
                <w:rFonts w:ascii="Arial" w:hAnsi="Arial"/>
                <w:color w:val="auto"/>
                <w:highlight w:val="none"/>
              </w:rPr>
            </w:pPr>
          </w:p>
        </w:tc>
      </w:tr>
      <w:tr w14:paraId="274D33FE">
        <w:tblPrEx>
          <w:tblCellMar>
            <w:top w:w="0" w:type="dxa"/>
            <w:left w:w="0" w:type="dxa"/>
            <w:bottom w:w="0" w:type="dxa"/>
            <w:right w:w="0" w:type="dxa"/>
          </w:tblCellMar>
        </w:tblPrEx>
        <w:trPr>
          <w:trHeight w:val="948" w:hRule="atLeast"/>
        </w:trPr>
        <w:tc>
          <w:tcPr>
            <w:tcW w:w="680" w:type="dxa"/>
            <w:vMerge w:val="continue"/>
            <w:tcBorders>
              <w:top w:val="single" w:color="000000" w:sz="4" w:space="0"/>
              <w:left w:val="single" w:color="000000" w:sz="4" w:space="0"/>
              <w:right w:val="single" w:color="000000" w:sz="4" w:space="0"/>
            </w:tcBorders>
            <w:noWrap w:val="0"/>
            <w:vAlign w:val="top"/>
          </w:tcPr>
          <w:p w14:paraId="3406DFE7">
            <w:pPr>
              <w:snapToGrid w:val="0"/>
              <w:rPr>
                <w:rFonts w:ascii="Arial" w:hAnsi="Arial"/>
                <w:color w:val="auto"/>
                <w:highlight w:val="none"/>
              </w:rPr>
            </w:pPr>
          </w:p>
        </w:tc>
        <w:tc>
          <w:tcPr>
            <w:tcW w:w="1304" w:type="dxa"/>
            <w:vMerge w:val="continue"/>
            <w:tcBorders>
              <w:top w:val="single" w:color="000000" w:sz="4" w:space="0"/>
              <w:left w:val="single" w:color="000000" w:sz="4" w:space="0"/>
              <w:right w:val="single" w:color="000000" w:sz="4" w:space="0"/>
            </w:tcBorders>
            <w:noWrap w:val="0"/>
            <w:vAlign w:val="top"/>
          </w:tcPr>
          <w:p w14:paraId="5C5FA51C">
            <w:pPr>
              <w:snapToGrid w:val="0"/>
              <w:rPr>
                <w:rFonts w:ascii="Arial" w:hAnsi="Arial"/>
                <w:color w:val="auto"/>
                <w:highlight w:val="none"/>
              </w:rPr>
            </w:pPr>
          </w:p>
        </w:tc>
        <w:tc>
          <w:tcPr>
            <w:tcW w:w="1674" w:type="dxa"/>
            <w:vMerge w:val="restart"/>
            <w:tcBorders>
              <w:top w:val="single" w:color="000000" w:sz="4" w:space="0"/>
              <w:left w:val="single" w:color="000000" w:sz="4" w:space="0"/>
              <w:right w:val="single" w:color="000000" w:sz="4" w:space="0"/>
            </w:tcBorders>
            <w:noWrap w:val="0"/>
            <w:vAlign w:val="top"/>
          </w:tcPr>
          <w:p w14:paraId="0371B2AD">
            <w:pPr>
              <w:snapToGrid w:val="0"/>
              <w:spacing w:line="280" w:lineRule="auto"/>
              <w:jc w:val="center"/>
              <w:rPr>
                <w:rFonts w:ascii="Arial" w:hAnsi="Arial"/>
                <w:color w:val="auto"/>
                <w:highlight w:val="none"/>
              </w:rPr>
            </w:pPr>
          </w:p>
          <w:p w14:paraId="31C88E06">
            <w:pPr>
              <w:spacing w:line="280" w:lineRule="auto"/>
              <w:jc w:val="center"/>
              <w:rPr>
                <w:rFonts w:ascii="Arial" w:hAnsi="Arial"/>
                <w:color w:val="auto"/>
                <w:highlight w:val="none"/>
              </w:rPr>
            </w:pPr>
          </w:p>
          <w:p w14:paraId="26D9B4CF">
            <w:pPr>
              <w:spacing w:line="280" w:lineRule="auto"/>
              <w:jc w:val="center"/>
              <w:rPr>
                <w:rFonts w:ascii="Arial" w:hAnsi="Arial"/>
                <w:color w:val="auto"/>
                <w:highlight w:val="none"/>
              </w:rPr>
            </w:pPr>
          </w:p>
          <w:p w14:paraId="5C957518">
            <w:pPr>
              <w:pStyle w:val="95"/>
              <w:spacing w:before="72" w:line="218" w:lineRule="auto"/>
              <w:ind w:left="432"/>
              <w:rPr>
                <w:color w:val="auto"/>
                <w:highlight w:val="none"/>
              </w:rPr>
            </w:pPr>
            <w:r>
              <w:rPr>
                <w:color w:val="auto"/>
                <w:spacing w:val="-2"/>
                <w:sz w:val="22"/>
                <w:szCs w:val="22"/>
                <w:highlight w:val="none"/>
              </w:rPr>
              <w:t>特殊岗位</w:t>
            </w:r>
          </w:p>
        </w:tc>
        <w:tc>
          <w:tcPr>
            <w:tcW w:w="1790" w:type="dxa"/>
            <w:gridSpan w:val="2"/>
            <w:tcBorders>
              <w:top w:val="single" w:color="000000" w:sz="4" w:space="0"/>
              <w:left w:val="single" w:color="000000" w:sz="4" w:space="0"/>
              <w:bottom w:val="single" w:color="000000" w:sz="4" w:space="0"/>
              <w:right w:val="single" w:color="000000" w:sz="4" w:space="0"/>
            </w:tcBorders>
            <w:noWrap w:val="0"/>
            <w:vAlign w:val="top"/>
          </w:tcPr>
          <w:p w14:paraId="44B49E29">
            <w:pPr>
              <w:pStyle w:val="95"/>
              <w:spacing w:before="301" w:line="218" w:lineRule="auto"/>
              <w:jc w:val="center"/>
              <w:rPr>
                <w:color w:val="auto"/>
                <w:spacing w:val="-2"/>
                <w:sz w:val="22"/>
                <w:szCs w:val="22"/>
                <w:highlight w:val="none"/>
              </w:rPr>
            </w:pPr>
          </w:p>
        </w:tc>
        <w:tc>
          <w:tcPr>
            <w:tcW w:w="1836" w:type="dxa"/>
            <w:tcBorders>
              <w:top w:val="single" w:color="000000" w:sz="4" w:space="0"/>
              <w:left w:val="single" w:color="000000" w:sz="4" w:space="0"/>
              <w:bottom w:val="single" w:color="000000" w:sz="4" w:space="0"/>
              <w:right w:val="single" w:color="000000" w:sz="4" w:space="0"/>
            </w:tcBorders>
            <w:noWrap w:val="0"/>
            <w:vAlign w:val="top"/>
          </w:tcPr>
          <w:p w14:paraId="6C97EE98">
            <w:pPr>
              <w:pStyle w:val="95"/>
              <w:spacing w:before="301" w:line="218" w:lineRule="auto"/>
              <w:jc w:val="center"/>
              <w:rPr>
                <w:rFonts w:hint="eastAsia"/>
                <w:color w:val="auto"/>
                <w:spacing w:val="-2"/>
                <w:sz w:val="22"/>
                <w:szCs w:val="22"/>
                <w:highlight w:val="none"/>
              </w:rPr>
            </w:pPr>
          </w:p>
        </w:tc>
        <w:tc>
          <w:tcPr>
            <w:tcW w:w="2361" w:type="dxa"/>
            <w:tcBorders>
              <w:top w:val="single" w:color="000000" w:sz="4" w:space="0"/>
              <w:left w:val="single" w:color="000000" w:sz="4" w:space="0"/>
              <w:bottom w:val="single" w:color="000000" w:sz="4" w:space="0"/>
              <w:right w:val="single" w:color="000000" w:sz="4" w:space="0"/>
            </w:tcBorders>
            <w:noWrap w:val="0"/>
            <w:vAlign w:val="top"/>
          </w:tcPr>
          <w:p w14:paraId="03692199">
            <w:pPr>
              <w:pStyle w:val="95"/>
              <w:snapToGrid w:val="0"/>
              <w:spacing w:before="301" w:line="218" w:lineRule="auto"/>
              <w:ind w:left="384"/>
              <w:rPr>
                <w:rFonts w:hint="eastAsia"/>
                <w:color w:val="auto"/>
                <w:spacing w:val="-2"/>
                <w:sz w:val="22"/>
                <w:szCs w:val="22"/>
                <w:highlight w:val="none"/>
              </w:rPr>
            </w:pPr>
          </w:p>
        </w:tc>
      </w:tr>
      <w:tr w14:paraId="62EA945A">
        <w:tblPrEx>
          <w:tblCellMar>
            <w:top w:w="0" w:type="dxa"/>
            <w:left w:w="0" w:type="dxa"/>
            <w:bottom w:w="0" w:type="dxa"/>
            <w:right w:w="0" w:type="dxa"/>
          </w:tblCellMar>
        </w:tblPrEx>
        <w:trPr>
          <w:trHeight w:val="676" w:hRule="atLeast"/>
        </w:trPr>
        <w:tc>
          <w:tcPr>
            <w:tcW w:w="680" w:type="dxa"/>
            <w:vMerge w:val="continue"/>
            <w:tcBorders>
              <w:top w:val="single" w:color="000000" w:sz="4" w:space="0"/>
              <w:left w:val="single" w:color="000000" w:sz="4" w:space="0"/>
              <w:right w:val="single" w:color="000000" w:sz="4" w:space="0"/>
            </w:tcBorders>
            <w:noWrap w:val="0"/>
            <w:vAlign w:val="top"/>
          </w:tcPr>
          <w:p w14:paraId="2857A4C5">
            <w:pPr>
              <w:snapToGrid w:val="0"/>
              <w:rPr>
                <w:rFonts w:ascii="Arial" w:hAnsi="Arial"/>
                <w:color w:val="auto"/>
                <w:spacing w:val="-2"/>
                <w:sz w:val="22"/>
                <w:szCs w:val="22"/>
                <w:highlight w:val="none"/>
              </w:rPr>
            </w:pPr>
          </w:p>
        </w:tc>
        <w:tc>
          <w:tcPr>
            <w:tcW w:w="1304" w:type="dxa"/>
            <w:vMerge w:val="continue"/>
            <w:tcBorders>
              <w:top w:val="single" w:color="000000" w:sz="4" w:space="0"/>
              <w:left w:val="single" w:color="000000" w:sz="4" w:space="0"/>
              <w:right w:val="single" w:color="000000" w:sz="4" w:space="0"/>
            </w:tcBorders>
            <w:noWrap w:val="0"/>
            <w:vAlign w:val="top"/>
          </w:tcPr>
          <w:p w14:paraId="33CA0B08">
            <w:pPr>
              <w:snapToGrid w:val="0"/>
              <w:rPr>
                <w:rFonts w:ascii="Arial" w:hAnsi="Arial"/>
                <w:color w:val="auto"/>
                <w:highlight w:val="none"/>
              </w:rPr>
            </w:pPr>
          </w:p>
        </w:tc>
        <w:tc>
          <w:tcPr>
            <w:tcW w:w="1674" w:type="dxa"/>
            <w:vMerge w:val="continue"/>
            <w:tcBorders>
              <w:top w:val="single" w:color="000000" w:sz="4" w:space="0"/>
              <w:left w:val="single" w:color="000000" w:sz="4" w:space="0"/>
              <w:right w:val="single" w:color="000000" w:sz="4" w:space="0"/>
            </w:tcBorders>
            <w:noWrap w:val="0"/>
            <w:vAlign w:val="top"/>
          </w:tcPr>
          <w:p w14:paraId="3FC83566">
            <w:pPr>
              <w:snapToGrid w:val="0"/>
              <w:rPr>
                <w:rFonts w:ascii="Arial" w:hAnsi="Arial"/>
                <w:color w:val="auto"/>
                <w:highlight w:val="none"/>
              </w:rPr>
            </w:pPr>
          </w:p>
        </w:tc>
        <w:tc>
          <w:tcPr>
            <w:tcW w:w="1790" w:type="dxa"/>
            <w:gridSpan w:val="2"/>
            <w:tcBorders>
              <w:top w:val="single" w:color="000000" w:sz="4" w:space="0"/>
              <w:left w:val="single" w:color="000000" w:sz="4" w:space="0"/>
              <w:bottom w:val="single" w:color="000000" w:sz="4" w:space="0"/>
              <w:right w:val="single" w:color="000000" w:sz="4" w:space="0"/>
            </w:tcBorders>
            <w:noWrap w:val="0"/>
            <w:vAlign w:val="top"/>
          </w:tcPr>
          <w:p w14:paraId="3B26FD55">
            <w:pPr>
              <w:snapToGrid w:val="0"/>
              <w:rPr>
                <w:rFonts w:ascii="Arial" w:hAnsi="Arial"/>
                <w:color w:val="auto"/>
                <w:highlight w:val="none"/>
              </w:rPr>
            </w:pPr>
          </w:p>
        </w:tc>
        <w:tc>
          <w:tcPr>
            <w:tcW w:w="1836" w:type="dxa"/>
            <w:tcBorders>
              <w:top w:val="single" w:color="000000" w:sz="4" w:space="0"/>
              <w:left w:val="single" w:color="000000" w:sz="4" w:space="0"/>
              <w:bottom w:val="single" w:color="000000" w:sz="4" w:space="0"/>
              <w:right w:val="single" w:color="000000" w:sz="4" w:space="0"/>
            </w:tcBorders>
            <w:noWrap w:val="0"/>
            <w:vAlign w:val="top"/>
          </w:tcPr>
          <w:p w14:paraId="0CA3759A">
            <w:pPr>
              <w:snapToGrid w:val="0"/>
              <w:rPr>
                <w:rFonts w:ascii="Arial" w:hAnsi="Arial"/>
                <w:color w:val="auto"/>
                <w:highlight w:val="none"/>
              </w:rPr>
            </w:pPr>
          </w:p>
        </w:tc>
        <w:tc>
          <w:tcPr>
            <w:tcW w:w="2361" w:type="dxa"/>
            <w:tcBorders>
              <w:top w:val="single" w:color="000000" w:sz="4" w:space="0"/>
              <w:left w:val="single" w:color="000000" w:sz="4" w:space="0"/>
              <w:bottom w:val="single" w:color="000000" w:sz="4" w:space="0"/>
              <w:right w:val="single" w:color="000000" w:sz="4" w:space="0"/>
            </w:tcBorders>
            <w:noWrap w:val="0"/>
            <w:vAlign w:val="top"/>
          </w:tcPr>
          <w:p w14:paraId="461DE9D9">
            <w:pPr>
              <w:snapToGrid w:val="0"/>
              <w:rPr>
                <w:rFonts w:ascii="Arial" w:hAnsi="Arial"/>
                <w:color w:val="auto"/>
                <w:highlight w:val="none"/>
              </w:rPr>
            </w:pPr>
          </w:p>
        </w:tc>
      </w:tr>
      <w:tr w14:paraId="783F28BF">
        <w:tblPrEx>
          <w:tblCellMar>
            <w:top w:w="0" w:type="dxa"/>
            <w:left w:w="0" w:type="dxa"/>
            <w:bottom w:w="0" w:type="dxa"/>
            <w:right w:w="0" w:type="dxa"/>
          </w:tblCellMar>
        </w:tblPrEx>
        <w:trPr>
          <w:trHeight w:val="666" w:hRule="atLeast"/>
        </w:trPr>
        <w:tc>
          <w:tcPr>
            <w:tcW w:w="680" w:type="dxa"/>
            <w:vMerge w:val="continue"/>
            <w:tcBorders>
              <w:top w:val="single" w:color="000000" w:sz="4" w:space="0"/>
              <w:left w:val="single" w:color="000000" w:sz="4" w:space="0"/>
              <w:right w:val="single" w:color="000000" w:sz="4" w:space="0"/>
            </w:tcBorders>
            <w:noWrap w:val="0"/>
            <w:vAlign w:val="top"/>
          </w:tcPr>
          <w:p w14:paraId="72DAFEDE">
            <w:pPr>
              <w:snapToGrid w:val="0"/>
              <w:rPr>
                <w:rFonts w:ascii="Arial" w:hAnsi="Arial"/>
                <w:color w:val="auto"/>
                <w:highlight w:val="none"/>
              </w:rPr>
            </w:pPr>
          </w:p>
        </w:tc>
        <w:tc>
          <w:tcPr>
            <w:tcW w:w="1304" w:type="dxa"/>
            <w:vMerge w:val="continue"/>
            <w:tcBorders>
              <w:top w:val="single" w:color="000000" w:sz="4" w:space="0"/>
              <w:left w:val="single" w:color="000000" w:sz="4" w:space="0"/>
              <w:right w:val="single" w:color="000000" w:sz="4" w:space="0"/>
            </w:tcBorders>
            <w:noWrap w:val="0"/>
            <w:vAlign w:val="top"/>
          </w:tcPr>
          <w:p w14:paraId="574DC85A">
            <w:pPr>
              <w:snapToGrid w:val="0"/>
              <w:rPr>
                <w:rFonts w:ascii="Arial" w:hAnsi="Arial"/>
                <w:color w:val="auto"/>
                <w:highlight w:val="none"/>
              </w:rPr>
            </w:pPr>
          </w:p>
        </w:tc>
        <w:tc>
          <w:tcPr>
            <w:tcW w:w="1674" w:type="dxa"/>
            <w:vMerge w:val="continue"/>
            <w:tcBorders>
              <w:top w:val="single" w:color="000000" w:sz="4" w:space="0"/>
              <w:left w:val="single" w:color="000000" w:sz="4" w:space="0"/>
              <w:right w:val="single" w:color="000000" w:sz="4" w:space="0"/>
            </w:tcBorders>
            <w:noWrap w:val="0"/>
            <w:vAlign w:val="top"/>
          </w:tcPr>
          <w:p w14:paraId="69874A05">
            <w:pPr>
              <w:snapToGrid w:val="0"/>
              <w:rPr>
                <w:rFonts w:ascii="Arial" w:hAnsi="Arial"/>
                <w:color w:val="auto"/>
                <w:highlight w:val="none"/>
              </w:rPr>
            </w:pPr>
          </w:p>
        </w:tc>
        <w:tc>
          <w:tcPr>
            <w:tcW w:w="1790" w:type="dxa"/>
            <w:gridSpan w:val="2"/>
            <w:tcBorders>
              <w:top w:val="single" w:color="000000" w:sz="4" w:space="0"/>
              <w:left w:val="single" w:color="000000" w:sz="4" w:space="0"/>
              <w:bottom w:val="single" w:color="000000" w:sz="4" w:space="0"/>
              <w:right w:val="single" w:color="000000" w:sz="4" w:space="0"/>
            </w:tcBorders>
            <w:noWrap w:val="0"/>
            <w:vAlign w:val="top"/>
          </w:tcPr>
          <w:p w14:paraId="5B48C821">
            <w:pPr>
              <w:snapToGrid w:val="0"/>
              <w:rPr>
                <w:rFonts w:ascii="Arial" w:hAnsi="Arial"/>
                <w:color w:val="auto"/>
                <w:highlight w:val="none"/>
              </w:rPr>
            </w:pPr>
          </w:p>
        </w:tc>
        <w:tc>
          <w:tcPr>
            <w:tcW w:w="1836" w:type="dxa"/>
            <w:tcBorders>
              <w:top w:val="single" w:color="000000" w:sz="4" w:space="0"/>
              <w:left w:val="single" w:color="000000" w:sz="4" w:space="0"/>
              <w:bottom w:val="single" w:color="000000" w:sz="4" w:space="0"/>
              <w:right w:val="single" w:color="000000" w:sz="4" w:space="0"/>
            </w:tcBorders>
            <w:noWrap w:val="0"/>
            <w:vAlign w:val="top"/>
          </w:tcPr>
          <w:p w14:paraId="38282E94">
            <w:pPr>
              <w:snapToGrid w:val="0"/>
              <w:rPr>
                <w:rFonts w:ascii="Arial" w:hAnsi="Arial"/>
                <w:color w:val="auto"/>
                <w:highlight w:val="none"/>
              </w:rPr>
            </w:pPr>
          </w:p>
        </w:tc>
        <w:tc>
          <w:tcPr>
            <w:tcW w:w="2361" w:type="dxa"/>
            <w:tcBorders>
              <w:top w:val="single" w:color="000000" w:sz="4" w:space="0"/>
              <w:left w:val="single" w:color="000000" w:sz="4" w:space="0"/>
              <w:bottom w:val="single" w:color="000000" w:sz="4" w:space="0"/>
              <w:right w:val="single" w:color="000000" w:sz="4" w:space="0"/>
            </w:tcBorders>
            <w:noWrap w:val="0"/>
            <w:vAlign w:val="top"/>
          </w:tcPr>
          <w:p w14:paraId="48A9D7B7">
            <w:pPr>
              <w:snapToGrid w:val="0"/>
              <w:rPr>
                <w:rFonts w:ascii="Arial" w:hAnsi="Arial"/>
                <w:color w:val="auto"/>
                <w:highlight w:val="none"/>
              </w:rPr>
            </w:pPr>
          </w:p>
        </w:tc>
      </w:tr>
      <w:tr w14:paraId="4463FD05">
        <w:tblPrEx>
          <w:tblCellMar>
            <w:top w:w="0" w:type="dxa"/>
            <w:left w:w="0" w:type="dxa"/>
            <w:bottom w:w="0" w:type="dxa"/>
            <w:right w:w="0" w:type="dxa"/>
          </w:tblCellMar>
        </w:tblPrEx>
        <w:trPr>
          <w:trHeight w:val="676" w:hRule="atLeast"/>
        </w:trPr>
        <w:tc>
          <w:tcPr>
            <w:tcW w:w="680" w:type="dxa"/>
            <w:vMerge w:val="continue"/>
            <w:tcBorders>
              <w:top w:val="single" w:color="000000" w:sz="4" w:space="0"/>
              <w:left w:val="single" w:color="000000" w:sz="4" w:space="0"/>
              <w:right w:val="single" w:color="000000" w:sz="4" w:space="0"/>
            </w:tcBorders>
            <w:noWrap w:val="0"/>
            <w:vAlign w:val="top"/>
          </w:tcPr>
          <w:p w14:paraId="4A23E277">
            <w:pPr>
              <w:snapToGrid w:val="0"/>
              <w:rPr>
                <w:rFonts w:ascii="Arial" w:hAnsi="Arial"/>
                <w:color w:val="auto"/>
                <w:highlight w:val="none"/>
              </w:rPr>
            </w:pPr>
          </w:p>
        </w:tc>
        <w:tc>
          <w:tcPr>
            <w:tcW w:w="1304" w:type="dxa"/>
            <w:vMerge w:val="continue"/>
            <w:tcBorders>
              <w:top w:val="single" w:color="000000" w:sz="4" w:space="0"/>
              <w:left w:val="single" w:color="000000" w:sz="4" w:space="0"/>
              <w:right w:val="single" w:color="000000" w:sz="4" w:space="0"/>
            </w:tcBorders>
            <w:noWrap w:val="0"/>
            <w:vAlign w:val="top"/>
          </w:tcPr>
          <w:p w14:paraId="5E8934A0">
            <w:pPr>
              <w:snapToGrid w:val="0"/>
              <w:rPr>
                <w:rFonts w:ascii="Arial" w:hAnsi="Arial"/>
                <w:color w:val="auto"/>
                <w:highlight w:val="none"/>
              </w:rPr>
            </w:pPr>
          </w:p>
        </w:tc>
        <w:tc>
          <w:tcPr>
            <w:tcW w:w="1674" w:type="dxa"/>
            <w:vMerge w:val="restart"/>
            <w:tcBorders>
              <w:top w:val="single" w:color="000000" w:sz="4" w:space="0"/>
              <w:left w:val="single" w:color="000000" w:sz="4" w:space="0"/>
              <w:right w:val="single" w:color="000000" w:sz="4" w:space="0"/>
            </w:tcBorders>
            <w:noWrap w:val="0"/>
            <w:vAlign w:val="top"/>
          </w:tcPr>
          <w:p w14:paraId="432484DB">
            <w:pPr>
              <w:snapToGrid w:val="0"/>
              <w:spacing w:line="242" w:lineRule="auto"/>
              <w:rPr>
                <w:rFonts w:ascii="Arial" w:hAnsi="Arial"/>
                <w:color w:val="auto"/>
                <w:highlight w:val="none"/>
              </w:rPr>
            </w:pPr>
          </w:p>
          <w:p w14:paraId="3B0B7B64">
            <w:pPr>
              <w:spacing w:line="242" w:lineRule="auto"/>
              <w:rPr>
                <w:rFonts w:ascii="Arial" w:hAnsi="Arial"/>
                <w:color w:val="auto"/>
                <w:highlight w:val="none"/>
              </w:rPr>
            </w:pPr>
          </w:p>
          <w:p w14:paraId="3648A87C">
            <w:pPr>
              <w:spacing w:line="242" w:lineRule="auto"/>
              <w:rPr>
                <w:rFonts w:ascii="Arial" w:hAnsi="Arial"/>
                <w:color w:val="auto"/>
                <w:highlight w:val="none"/>
              </w:rPr>
            </w:pPr>
          </w:p>
          <w:p w14:paraId="448F99D6">
            <w:pPr>
              <w:pStyle w:val="95"/>
              <w:spacing w:before="72" w:line="218" w:lineRule="auto"/>
              <w:ind w:left="652"/>
              <w:rPr>
                <w:color w:val="auto"/>
                <w:highlight w:val="none"/>
              </w:rPr>
            </w:pPr>
            <w:r>
              <w:rPr>
                <w:color w:val="auto"/>
                <w:spacing w:val="-3"/>
                <w:sz w:val="22"/>
                <w:szCs w:val="22"/>
                <w:highlight w:val="none"/>
              </w:rPr>
              <w:t>其他</w:t>
            </w:r>
          </w:p>
        </w:tc>
        <w:tc>
          <w:tcPr>
            <w:tcW w:w="1790" w:type="dxa"/>
            <w:gridSpan w:val="2"/>
            <w:tcBorders>
              <w:top w:val="single" w:color="000000" w:sz="4" w:space="0"/>
              <w:left w:val="single" w:color="000000" w:sz="4" w:space="0"/>
              <w:bottom w:val="single" w:color="000000" w:sz="4" w:space="0"/>
              <w:right w:val="single" w:color="000000" w:sz="4" w:space="0"/>
            </w:tcBorders>
            <w:noWrap w:val="0"/>
            <w:vAlign w:val="top"/>
          </w:tcPr>
          <w:p w14:paraId="3D2A71FE">
            <w:pPr>
              <w:snapToGrid w:val="0"/>
              <w:rPr>
                <w:rFonts w:ascii="Arial" w:hAnsi="Arial"/>
                <w:color w:val="auto"/>
                <w:sz w:val="22"/>
                <w:szCs w:val="22"/>
                <w:highlight w:val="none"/>
              </w:rPr>
            </w:pPr>
          </w:p>
        </w:tc>
        <w:tc>
          <w:tcPr>
            <w:tcW w:w="1836" w:type="dxa"/>
            <w:tcBorders>
              <w:top w:val="single" w:color="000000" w:sz="4" w:space="0"/>
              <w:left w:val="single" w:color="000000" w:sz="4" w:space="0"/>
              <w:bottom w:val="single" w:color="000000" w:sz="4" w:space="0"/>
              <w:right w:val="single" w:color="000000" w:sz="4" w:space="0"/>
            </w:tcBorders>
            <w:noWrap w:val="0"/>
            <w:vAlign w:val="top"/>
          </w:tcPr>
          <w:p w14:paraId="613A8E44">
            <w:pPr>
              <w:snapToGrid w:val="0"/>
              <w:rPr>
                <w:rFonts w:ascii="Arial" w:hAnsi="Arial"/>
                <w:color w:val="auto"/>
                <w:highlight w:val="none"/>
              </w:rPr>
            </w:pPr>
          </w:p>
        </w:tc>
        <w:tc>
          <w:tcPr>
            <w:tcW w:w="2361" w:type="dxa"/>
            <w:tcBorders>
              <w:top w:val="single" w:color="000000" w:sz="4" w:space="0"/>
              <w:left w:val="single" w:color="000000" w:sz="4" w:space="0"/>
              <w:bottom w:val="single" w:color="000000" w:sz="4" w:space="0"/>
              <w:right w:val="single" w:color="000000" w:sz="4" w:space="0"/>
            </w:tcBorders>
            <w:noWrap w:val="0"/>
            <w:vAlign w:val="top"/>
          </w:tcPr>
          <w:p w14:paraId="6C3E5CDB">
            <w:pPr>
              <w:snapToGrid w:val="0"/>
              <w:rPr>
                <w:rFonts w:ascii="Arial" w:hAnsi="Arial"/>
                <w:color w:val="auto"/>
                <w:highlight w:val="none"/>
              </w:rPr>
            </w:pPr>
          </w:p>
        </w:tc>
      </w:tr>
      <w:tr w14:paraId="40D2434F">
        <w:tblPrEx>
          <w:tblCellMar>
            <w:top w:w="0" w:type="dxa"/>
            <w:left w:w="0" w:type="dxa"/>
            <w:bottom w:w="0" w:type="dxa"/>
            <w:right w:w="0" w:type="dxa"/>
          </w:tblCellMar>
        </w:tblPrEx>
        <w:trPr>
          <w:trHeight w:val="678" w:hRule="atLeast"/>
        </w:trPr>
        <w:tc>
          <w:tcPr>
            <w:tcW w:w="680" w:type="dxa"/>
            <w:vMerge w:val="continue"/>
            <w:tcBorders>
              <w:top w:val="single" w:color="000000" w:sz="4" w:space="0"/>
              <w:left w:val="single" w:color="000000" w:sz="4" w:space="0"/>
              <w:right w:val="single" w:color="000000" w:sz="4" w:space="0"/>
            </w:tcBorders>
            <w:noWrap w:val="0"/>
            <w:vAlign w:val="top"/>
          </w:tcPr>
          <w:p w14:paraId="3E7A11BB">
            <w:pPr>
              <w:snapToGrid w:val="0"/>
              <w:rPr>
                <w:rFonts w:ascii="Arial" w:hAnsi="Arial"/>
                <w:color w:val="auto"/>
                <w:highlight w:val="none"/>
              </w:rPr>
            </w:pPr>
          </w:p>
        </w:tc>
        <w:tc>
          <w:tcPr>
            <w:tcW w:w="1304" w:type="dxa"/>
            <w:vMerge w:val="continue"/>
            <w:tcBorders>
              <w:top w:val="single" w:color="000000" w:sz="4" w:space="0"/>
              <w:left w:val="single" w:color="000000" w:sz="4" w:space="0"/>
              <w:right w:val="single" w:color="000000" w:sz="4" w:space="0"/>
            </w:tcBorders>
            <w:noWrap w:val="0"/>
            <w:vAlign w:val="top"/>
          </w:tcPr>
          <w:p w14:paraId="03B14EF4">
            <w:pPr>
              <w:snapToGrid w:val="0"/>
              <w:rPr>
                <w:rFonts w:ascii="Arial" w:hAnsi="Arial"/>
                <w:color w:val="auto"/>
                <w:highlight w:val="none"/>
              </w:rPr>
            </w:pPr>
          </w:p>
        </w:tc>
        <w:tc>
          <w:tcPr>
            <w:tcW w:w="1674" w:type="dxa"/>
            <w:vMerge w:val="continue"/>
            <w:tcBorders>
              <w:top w:val="single" w:color="000000" w:sz="4" w:space="0"/>
              <w:left w:val="single" w:color="000000" w:sz="4" w:space="0"/>
              <w:right w:val="single" w:color="000000" w:sz="4" w:space="0"/>
            </w:tcBorders>
            <w:noWrap w:val="0"/>
            <w:vAlign w:val="top"/>
          </w:tcPr>
          <w:p w14:paraId="66CCCAE1">
            <w:pPr>
              <w:snapToGrid w:val="0"/>
              <w:rPr>
                <w:rFonts w:ascii="Arial" w:hAnsi="Arial"/>
                <w:color w:val="auto"/>
                <w:highlight w:val="none"/>
              </w:rPr>
            </w:pPr>
          </w:p>
        </w:tc>
        <w:tc>
          <w:tcPr>
            <w:tcW w:w="1790" w:type="dxa"/>
            <w:gridSpan w:val="2"/>
            <w:tcBorders>
              <w:top w:val="single" w:color="000000" w:sz="4" w:space="0"/>
              <w:left w:val="single" w:color="000000" w:sz="4" w:space="0"/>
              <w:bottom w:val="single" w:color="000000" w:sz="4" w:space="0"/>
              <w:right w:val="single" w:color="000000" w:sz="4" w:space="0"/>
            </w:tcBorders>
            <w:noWrap w:val="0"/>
            <w:vAlign w:val="top"/>
          </w:tcPr>
          <w:p w14:paraId="5D4CED14">
            <w:pPr>
              <w:snapToGrid w:val="0"/>
              <w:rPr>
                <w:rFonts w:ascii="Arial" w:hAnsi="Arial"/>
                <w:color w:val="auto"/>
                <w:highlight w:val="none"/>
              </w:rPr>
            </w:pPr>
          </w:p>
        </w:tc>
        <w:tc>
          <w:tcPr>
            <w:tcW w:w="1836" w:type="dxa"/>
            <w:tcBorders>
              <w:top w:val="single" w:color="000000" w:sz="4" w:space="0"/>
              <w:left w:val="single" w:color="000000" w:sz="4" w:space="0"/>
              <w:bottom w:val="single" w:color="000000" w:sz="4" w:space="0"/>
              <w:right w:val="single" w:color="000000" w:sz="4" w:space="0"/>
            </w:tcBorders>
            <w:noWrap w:val="0"/>
            <w:vAlign w:val="top"/>
          </w:tcPr>
          <w:p w14:paraId="7F0B9CAE">
            <w:pPr>
              <w:snapToGrid w:val="0"/>
              <w:rPr>
                <w:rFonts w:ascii="Arial" w:hAnsi="Arial"/>
                <w:color w:val="auto"/>
                <w:highlight w:val="none"/>
              </w:rPr>
            </w:pPr>
          </w:p>
        </w:tc>
        <w:tc>
          <w:tcPr>
            <w:tcW w:w="2361" w:type="dxa"/>
            <w:tcBorders>
              <w:top w:val="single" w:color="000000" w:sz="4" w:space="0"/>
              <w:left w:val="single" w:color="000000" w:sz="4" w:space="0"/>
              <w:bottom w:val="single" w:color="000000" w:sz="4" w:space="0"/>
              <w:right w:val="single" w:color="000000" w:sz="4" w:space="0"/>
            </w:tcBorders>
            <w:noWrap w:val="0"/>
            <w:vAlign w:val="top"/>
          </w:tcPr>
          <w:p w14:paraId="18637DC2">
            <w:pPr>
              <w:snapToGrid w:val="0"/>
              <w:rPr>
                <w:rFonts w:ascii="Arial" w:hAnsi="Arial"/>
                <w:color w:val="auto"/>
                <w:highlight w:val="none"/>
              </w:rPr>
            </w:pPr>
          </w:p>
        </w:tc>
      </w:tr>
      <w:tr w14:paraId="371288C9">
        <w:tblPrEx>
          <w:tblCellMar>
            <w:top w:w="0" w:type="dxa"/>
            <w:left w:w="0" w:type="dxa"/>
            <w:bottom w:w="0" w:type="dxa"/>
            <w:right w:w="0" w:type="dxa"/>
          </w:tblCellMar>
        </w:tblPrEx>
        <w:trPr>
          <w:trHeight w:val="676" w:hRule="atLeast"/>
        </w:trPr>
        <w:tc>
          <w:tcPr>
            <w:tcW w:w="680" w:type="dxa"/>
            <w:vMerge w:val="continue"/>
            <w:tcBorders>
              <w:top w:val="single" w:color="000000" w:sz="4" w:space="0"/>
              <w:left w:val="single" w:color="000000" w:sz="4" w:space="0"/>
              <w:right w:val="single" w:color="000000" w:sz="4" w:space="0"/>
            </w:tcBorders>
            <w:noWrap w:val="0"/>
            <w:vAlign w:val="top"/>
          </w:tcPr>
          <w:p w14:paraId="629C6BD3">
            <w:pPr>
              <w:snapToGrid w:val="0"/>
              <w:rPr>
                <w:rFonts w:ascii="Arial" w:hAnsi="Arial"/>
                <w:color w:val="auto"/>
                <w:highlight w:val="none"/>
              </w:rPr>
            </w:pPr>
          </w:p>
        </w:tc>
        <w:tc>
          <w:tcPr>
            <w:tcW w:w="1304" w:type="dxa"/>
            <w:vMerge w:val="continue"/>
            <w:tcBorders>
              <w:top w:val="single" w:color="000000" w:sz="4" w:space="0"/>
              <w:left w:val="single" w:color="000000" w:sz="4" w:space="0"/>
              <w:right w:val="single" w:color="000000" w:sz="4" w:space="0"/>
            </w:tcBorders>
            <w:noWrap w:val="0"/>
            <w:vAlign w:val="top"/>
          </w:tcPr>
          <w:p w14:paraId="019A24B6">
            <w:pPr>
              <w:snapToGrid w:val="0"/>
              <w:rPr>
                <w:rFonts w:ascii="Arial" w:hAnsi="Arial"/>
                <w:color w:val="auto"/>
                <w:highlight w:val="none"/>
              </w:rPr>
            </w:pPr>
          </w:p>
        </w:tc>
        <w:tc>
          <w:tcPr>
            <w:tcW w:w="1674" w:type="dxa"/>
            <w:vMerge w:val="continue"/>
            <w:tcBorders>
              <w:top w:val="single" w:color="000000" w:sz="4" w:space="0"/>
              <w:left w:val="single" w:color="000000" w:sz="4" w:space="0"/>
              <w:right w:val="single" w:color="000000" w:sz="4" w:space="0"/>
            </w:tcBorders>
            <w:noWrap w:val="0"/>
            <w:vAlign w:val="top"/>
          </w:tcPr>
          <w:p w14:paraId="6421E68F">
            <w:pPr>
              <w:snapToGrid w:val="0"/>
              <w:rPr>
                <w:rFonts w:ascii="Arial" w:hAnsi="Arial"/>
                <w:color w:val="auto"/>
                <w:highlight w:val="none"/>
              </w:rPr>
            </w:pPr>
          </w:p>
        </w:tc>
        <w:tc>
          <w:tcPr>
            <w:tcW w:w="1790" w:type="dxa"/>
            <w:gridSpan w:val="2"/>
            <w:tcBorders>
              <w:top w:val="single" w:color="000000" w:sz="4" w:space="0"/>
              <w:left w:val="single" w:color="000000" w:sz="4" w:space="0"/>
              <w:bottom w:val="single" w:color="000000" w:sz="4" w:space="0"/>
              <w:right w:val="single" w:color="000000" w:sz="4" w:space="0"/>
            </w:tcBorders>
            <w:noWrap w:val="0"/>
            <w:vAlign w:val="top"/>
          </w:tcPr>
          <w:p w14:paraId="2DFDD11B">
            <w:pPr>
              <w:snapToGrid w:val="0"/>
              <w:rPr>
                <w:rFonts w:ascii="Arial" w:hAnsi="Arial"/>
                <w:color w:val="auto"/>
                <w:highlight w:val="none"/>
              </w:rPr>
            </w:pPr>
          </w:p>
        </w:tc>
        <w:tc>
          <w:tcPr>
            <w:tcW w:w="1836" w:type="dxa"/>
            <w:tcBorders>
              <w:top w:val="single" w:color="000000" w:sz="4" w:space="0"/>
              <w:left w:val="single" w:color="000000" w:sz="4" w:space="0"/>
              <w:bottom w:val="single" w:color="000000" w:sz="4" w:space="0"/>
              <w:right w:val="single" w:color="000000" w:sz="4" w:space="0"/>
            </w:tcBorders>
            <w:noWrap w:val="0"/>
            <w:vAlign w:val="top"/>
          </w:tcPr>
          <w:p w14:paraId="1B478FF2">
            <w:pPr>
              <w:snapToGrid w:val="0"/>
              <w:rPr>
                <w:rFonts w:ascii="Arial" w:hAnsi="Arial"/>
                <w:color w:val="auto"/>
                <w:highlight w:val="none"/>
              </w:rPr>
            </w:pPr>
          </w:p>
        </w:tc>
        <w:tc>
          <w:tcPr>
            <w:tcW w:w="2361" w:type="dxa"/>
            <w:tcBorders>
              <w:top w:val="single" w:color="000000" w:sz="4" w:space="0"/>
              <w:left w:val="single" w:color="000000" w:sz="4" w:space="0"/>
              <w:bottom w:val="single" w:color="000000" w:sz="4" w:space="0"/>
              <w:right w:val="single" w:color="000000" w:sz="4" w:space="0"/>
            </w:tcBorders>
            <w:noWrap w:val="0"/>
            <w:vAlign w:val="top"/>
          </w:tcPr>
          <w:p w14:paraId="320DFADD">
            <w:pPr>
              <w:snapToGrid w:val="0"/>
              <w:rPr>
                <w:rFonts w:ascii="Arial" w:hAnsi="Arial"/>
                <w:color w:val="auto"/>
                <w:highlight w:val="none"/>
              </w:rPr>
            </w:pPr>
          </w:p>
        </w:tc>
      </w:tr>
      <w:tr w14:paraId="393BAD36">
        <w:tblPrEx>
          <w:tblCellMar>
            <w:top w:w="0" w:type="dxa"/>
            <w:left w:w="0" w:type="dxa"/>
            <w:bottom w:w="0" w:type="dxa"/>
            <w:right w:w="0" w:type="dxa"/>
          </w:tblCellMar>
        </w:tblPrEx>
        <w:trPr>
          <w:trHeight w:val="666" w:hRule="atLeast"/>
        </w:trPr>
        <w:tc>
          <w:tcPr>
            <w:tcW w:w="680" w:type="dxa"/>
            <w:vMerge w:val="continue"/>
            <w:tcBorders>
              <w:top w:val="single" w:color="000000" w:sz="4" w:space="0"/>
              <w:left w:val="single" w:color="000000" w:sz="4" w:space="0"/>
              <w:right w:val="single" w:color="000000" w:sz="4" w:space="0"/>
            </w:tcBorders>
            <w:noWrap w:val="0"/>
            <w:vAlign w:val="top"/>
          </w:tcPr>
          <w:p w14:paraId="5155B91B">
            <w:pPr>
              <w:snapToGrid w:val="0"/>
              <w:rPr>
                <w:rFonts w:ascii="Arial" w:hAnsi="Arial"/>
                <w:color w:val="auto"/>
                <w:highlight w:val="none"/>
              </w:rPr>
            </w:pPr>
          </w:p>
        </w:tc>
        <w:tc>
          <w:tcPr>
            <w:tcW w:w="1304" w:type="dxa"/>
            <w:vMerge w:val="continue"/>
            <w:tcBorders>
              <w:top w:val="single" w:color="000000" w:sz="4" w:space="0"/>
              <w:left w:val="single" w:color="000000" w:sz="4" w:space="0"/>
              <w:right w:val="single" w:color="000000" w:sz="4" w:space="0"/>
            </w:tcBorders>
            <w:noWrap w:val="0"/>
            <w:vAlign w:val="top"/>
          </w:tcPr>
          <w:p w14:paraId="6D09EB37">
            <w:pPr>
              <w:snapToGrid w:val="0"/>
              <w:rPr>
                <w:rFonts w:ascii="Arial" w:hAnsi="Arial"/>
                <w:color w:val="auto"/>
                <w:highlight w:val="none"/>
              </w:rPr>
            </w:pPr>
          </w:p>
        </w:tc>
        <w:tc>
          <w:tcPr>
            <w:tcW w:w="1674" w:type="dxa"/>
            <w:vMerge w:val="restart"/>
            <w:tcBorders>
              <w:top w:val="single" w:color="000000" w:sz="4" w:space="0"/>
              <w:left w:val="single" w:color="000000" w:sz="4" w:space="0"/>
              <w:right w:val="single" w:color="000000" w:sz="4" w:space="0"/>
            </w:tcBorders>
            <w:noWrap w:val="0"/>
            <w:vAlign w:val="top"/>
          </w:tcPr>
          <w:p w14:paraId="0F7BBB15">
            <w:pPr>
              <w:snapToGrid w:val="0"/>
              <w:rPr>
                <w:rFonts w:ascii="Arial" w:hAnsi="Arial"/>
                <w:color w:val="auto"/>
                <w:highlight w:val="none"/>
              </w:rPr>
            </w:pPr>
          </w:p>
        </w:tc>
        <w:tc>
          <w:tcPr>
            <w:tcW w:w="1790" w:type="dxa"/>
            <w:gridSpan w:val="2"/>
            <w:tcBorders>
              <w:top w:val="single" w:color="000000" w:sz="4" w:space="0"/>
              <w:left w:val="single" w:color="000000" w:sz="4" w:space="0"/>
              <w:bottom w:val="single" w:color="000000" w:sz="4" w:space="0"/>
              <w:right w:val="single" w:color="000000" w:sz="4" w:space="0"/>
            </w:tcBorders>
            <w:noWrap w:val="0"/>
            <w:vAlign w:val="top"/>
          </w:tcPr>
          <w:p w14:paraId="6A3EAD61">
            <w:pPr>
              <w:snapToGrid w:val="0"/>
              <w:rPr>
                <w:rFonts w:ascii="Arial" w:hAnsi="Arial"/>
                <w:color w:val="auto"/>
                <w:highlight w:val="none"/>
              </w:rPr>
            </w:pPr>
          </w:p>
        </w:tc>
        <w:tc>
          <w:tcPr>
            <w:tcW w:w="1836" w:type="dxa"/>
            <w:tcBorders>
              <w:top w:val="single" w:color="000000" w:sz="4" w:space="0"/>
              <w:left w:val="single" w:color="000000" w:sz="4" w:space="0"/>
              <w:bottom w:val="single" w:color="000000" w:sz="4" w:space="0"/>
              <w:right w:val="single" w:color="000000" w:sz="4" w:space="0"/>
            </w:tcBorders>
            <w:noWrap w:val="0"/>
            <w:vAlign w:val="top"/>
          </w:tcPr>
          <w:p w14:paraId="1938A1D0">
            <w:pPr>
              <w:snapToGrid w:val="0"/>
              <w:rPr>
                <w:rFonts w:ascii="Arial" w:hAnsi="Arial"/>
                <w:color w:val="auto"/>
                <w:highlight w:val="none"/>
              </w:rPr>
            </w:pPr>
          </w:p>
        </w:tc>
        <w:tc>
          <w:tcPr>
            <w:tcW w:w="2361" w:type="dxa"/>
            <w:tcBorders>
              <w:top w:val="single" w:color="000000" w:sz="4" w:space="0"/>
              <w:left w:val="single" w:color="000000" w:sz="4" w:space="0"/>
              <w:bottom w:val="single" w:color="000000" w:sz="4" w:space="0"/>
              <w:right w:val="single" w:color="000000" w:sz="4" w:space="0"/>
            </w:tcBorders>
            <w:noWrap w:val="0"/>
            <w:vAlign w:val="top"/>
          </w:tcPr>
          <w:p w14:paraId="63AE9AE8">
            <w:pPr>
              <w:snapToGrid w:val="0"/>
              <w:rPr>
                <w:rFonts w:ascii="Arial" w:hAnsi="Arial"/>
                <w:color w:val="auto"/>
                <w:highlight w:val="none"/>
              </w:rPr>
            </w:pPr>
          </w:p>
        </w:tc>
      </w:tr>
      <w:tr w14:paraId="4A2712BB">
        <w:tblPrEx>
          <w:tblCellMar>
            <w:top w:w="0" w:type="dxa"/>
            <w:left w:w="0" w:type="dxa"/>
            <w:bottom w:w="0" w:type="dxa"/>
            <w:right w:w="0" w:type="dxa"/>
          </w:tblCellMar>
        </w:tblPrEx>
        <w:trPr>
          <w:trHeight w:val="676" w:hRule="atLeast"/>
        </w:trPr>
        <w:tc>
          <w:tcPr>
            <w:tcW w:w="680" w:type="dxa"/>
            <w:vMerge w:val="continue"/>
            <w:tcBorders>
              <w:top w:val="single" w:color="000000" w:sz="4" w:space="0"/>
              <w:left w:val="single" w:color="000000" w:sz="4" w:space="0"/>
              <w:right w:val="single" w:color="000000" w:sz="4" w:space="0"/>
            </w:tcBorders>
            <w:noWrap w:val="0"/>
            <w:vAlign w:val="top"/>
          </w:tcPr>
          <w:p w14:paraId="6E87D68C">
            <w:pPr>
              <w:snapToGrid w:val="0"/>
              <w:rPr>
                <w:rFonts w:ascii="Arial" w:hAnsi="Arial"/>
                <w:color w:val="auto"/>
                <w:highlight w:val="none"/>
              </w:rPr>
            </w:pPr>
          </w:p>
        </w:tc>
        <w:tc>
          <w:tcPr>
            <w:tcW w:w="1304" w:type="dxa"/>
            <w:vMerge w:val="continue"/>
            <w:tcBorders>
              <w:top w:val="single" w:color="000000" w:sz="4" w:space="0"/>
              <w:left w:val="single" w:color="000000" w:sz="4" w:space="0"/>
              <w:right w:val="single" w:color="000000" w:sz="4" w:space="0"/>
            </w:tcBorders>
            <w:noWrap w:val="0"/>
            <w:vAlign w:val="top"/>
          </w:tcPr>
          <w:p w14:paraId="54127788">
            <w:pPr>
              <w:snapToGrid w:val="0"/>
              <w:rPr>
                <w:rFonts w:ascii="Arial" w:hAnsi="Arial"/>
                <w:color w:val="auto"/>
                <w:highlight w:val="none"/>
              </w:rPr>
            </w:pPr>
          </w:p>
        </w:tc>
        <w:tc>
          <w:tcPr>
            <w:tcW w:w="1674" w:type="dxa"/>
            <w:vMerge w:val="continue"/>
            <w:tcBorders>
              <w:top w:val="single" w:color="000000" w:sz="4" w:space="0"/>
              <w:left w:val="single" w:color="000000" w:sz="4" w:space="0"/>
              <w:right w:val="single" w:color="000000" w:sz="4" w:space="0"/>
            </w:tcBorders>
            <w:noWrap w:val="0"/>
            <w:vAlign w:val="top"/>
          </w:tcPr>
          <w:p w14:paraId="1956D1B5">
            <w:pPr>
              <w:snapToGrid w:val="0"/>
              <w:rPr>
                <w:rFonts w:ascii="Arial" w:hAnsi="Arial"/>
                <w:color w:val="auto"/>
                <w:highlight w:val="none"/>
              </w:rPr>
            </w:pPr>
          </w:p>
        </w:tc>
        <w:tc>
          <w:tcPr>
            <w:tcW w:w="1790" w:type="dxa"/>
            <w:gridSpan w:val="2"/>
            <w:tcBorders>
              <w:top w:val="single" w:color="000000" w:sz="4" w:space="0"/>
              <w:left w:val="single" w:color="000000" w:sz="4" w:space="0"/>
              <w:bottom w:val="single" w:color="000000" w:sz="4" w:space="0"/>
              <w:right w:val="single" w:color="000000" w:sz="4" w:space="0"/>
            </w:tcBorders>
            <w:noWrap w:val="0"/>
            <w:vAlign w:val="top"/>
          </w:tcPr>
          <w:p w14:paraId="5C52B785">
            <w:pPr>
              <w:snapToGrid w:val="0"/>
              <w:rPr>
                <w:rFonts w:ascii="Arial" w:hAnsi="Arial"/>
                <w:color w:val="auto"/>
                <w:highlight w:val="none"/>
              </w:rPr>
            </w:pPr>
          </w:p>
        </w:tc>
        <w:tc>
          <w:tcPr>
            <w:tcW w:w="1836" w:type="dxa"/>
            <w:tcBorders>
              <w:top w:val="single" w:color="000000" w:sz="4" w:space="0"/>
              <w:left w:val="single" w:color="000000" w:sz="4" w:space="0"/>
              <w:bottom w:val="single" w:color="000000" w:sz="4" w:space="0"/>
              <w:right w:val="single" w:color="000000" w:sz="4" w:space="0"/>
            </w:tcBorders>
            <w:noWrap w:val="0"/>
            <w:vAlign w:val="top"/>
          </w:tcPr>
          <w:p w14:paraId="145BABA4">
            <w:pPr>
              <w:snapToGrid w:val="0"/>
              <w:rPr>
                <w:rFonts w:ascii="Arial" w:hAnsi="Arial"/>
                <w:color w:val="auto"/>
                <w:highlight w:val="none"/>
              </w:rPr>
            </w:pPr>
          </w:p>
        </w:tc>
        <w:tc>
          <w:tcPr>
            <w:tcW w:w="2361" w:type="dxa"/>
            <w:tcBorders>
              <w:top w:val="single" w:color="000000" w:sz="4" w:space="0"/>
              <w:left w:val="single" w:color="000000" w:sz="4" w:space="0"/>
              <w:bottom w:val="single" w:color="000000" w:sz="4" w:space="0"/>
              <w:right w:val="single" w:color="000000" w:sz="4" w:space="0"/>
            </w:tcBorders>
            <w:noWrap w:val="0"/>
            <w:vAlign w:val="top"/>
          </w:tcPr>
          <w:p w14:paraId="4E982A56">
            <w:pPr>
              <w:snapToGrid w:val="0"/>
              <w:rPr>
                <w:rFonts w:ascii="Arial" w:hAnsi="Arial"/>
                <w:color w:val="auto"/>
                <w:highlight w:val="none"/>
              </w:rPr>
            </w:pPr>
          </w:p>
        </w:tc>
      </w:tr>
      <w:tr w14:paraId="27A832C3">
        <w:tblPrEx>
          <w:tblCellMar>
            <w:top w:w="0" w:type="dxa"/>
            <w:left w:w="0" w:type="dxa"/>
            <w:bottom w:w="0" w:type="dxa"/>
            <w:right w:w="0" w:type="dxa"/>
          </w:tblCellMar>
        </w:tblPrEx>
        <w:trPr>
          <w:trHeight w:val="672" w:hRule="atLeast"/>
        </w:trPr>
        <w:tc>
          <w:tcPr>
            <w:tcW w:w="680" w:type="dxa"/>
            <w:vMerge w:val="continue"/>
            <w:tcBorders>
              <w:top w:val="single" w:color="000000" w:sz="4" w:space="0"/>
              <w:left w:val="single" w:color="000000" w:sz="4" w:space="0"/>
              <w:right w:val="single" w:color="000000" w:sz="4" w:space="0"/>
            </w:tcBorders>
            <w:noWrap w:val="0"/>
            <w:vAlign w:val="top"/>
          </w:tcPr>
          <w:p w14:paraId="792140E3">
            <w:pPr>
              <w:snapToGrid w:val="0"/>
              <w:rPr>
                <w:rFonts w:ascii="Arial" w:hAnsi="Arial"/>
                <w:color w:val="auto"/>
                <w:highlight w:val="none"/>
              </w:rPr>
            </w:pPr>
          </w:p>
        </w:tc>
        <w:tc>
          <w:tcPr>
            <w:tcW w:w="1304" w:type="dxa"/>
            <w:vMerge w:val="continue"/>
            <w:tcBorders>
              <w:top w:val="single" w:color="000000" w:sz="4" w:space="0"/>
              <w:left w:val="single" w:color="000000" w:sz="4" w:space="0"/>
              <w:right w:val="single" w:color="000000" w:sz="4" w:space="0"/>
            </w:tcBorders>
            <w:noWrap w:val="0"/>
            <w:vAlign w:val="top"/>
          </w:tcPr>
          <w:p w14:paraId="3945255C">
            <w:pPr>
              <w:snapToGrid w:val="0"/>
              <w:rPr>
                <w:rFonts w:ascii="Arial" w:hAnsi="Arial"/>
                <w:color w:val="auto"/>
                <w:highlight w:val="none"/>
              </w:rPr>
            </w:pPr>
          </w:p>
        </w:tc>
        <w:tc>
          <w:tcPr>
            <w:tcW w:w="1674" w:type="dxa"/>
            <w:vMerge w:val="continue"/>
            <w:tcBorders>
              <w:top w:val="single" w:color="000000" w:sz="4" w:space="0"/>
              <w:left w:val="single" w:color="000000" w:sz="4" w:space="0"/>
              <w:right w:val="single" w:color="000000" w:sz="4" w:space="0"/>
            </w:tcBorders>
            <w:noWrap w:val="0"/>
            <w:vAlign w:val="top"/>
          </w:tcPr>
          <w:p w14:paraId="39B11289">
            <w:pPr>
              <w:snapToGrid w:val="0"/>
              <w:rPr>
                <w:rFonts w:ascii="Arial" w:hAnsi="Arial"/>
                <w:color w:val="auto"/>
                <w:highlight w:val="none"/>
              </w:rPr>
            </w:pPr>
          </w:p>
        </w:tc>
        <w:tc>
          <w:tcPr>
            <w:tcW w:w="1790" w:type="dxa"/>
            <w:gridSpan w:val="2"/>
            <w:tcBorders>
              <w:top w:val="single" w:color="000000" w:sz="4" w:space="0"/>
              <w:left w:val="single" w:color="000000" w:sz="4" w:space="0"/>
              <w:bottom w:val="single" w:color="000000" w:sz="4" w:space="0"/>
              <w:right w:val="single" w:color="000000" w:sz="4" w:space="0"/>
            </w:tcBorders>
            <w:noWrap w:val="0"/>
            <w:vAlign w:val="top"/>
          </w:tcPr>
          <w:p w14:paraId="0DA2FA31">
            <w:pPr>
              <w:snapToGrid w:val="0"/>
              <w:rPr>
                <w:rFonts w:ascii="Arial" w:hAnsi="Arial"/>
                <w:color w:val="auto"/>
                <w:highlight w:val="none"/>
              </w:rPr>
            </w:pPr>
          </w:p>
        </w:tc>
        <w:tc>
          <w:tcPr>
            <w:tcW w:w="1836" w:type="dxa"/>
            <w:tcBorders>
              <w:top w:val="single" w:color="000000" w:sz="4" w:space="0"/>
              <w:left w:val="single" w:color="000000" w:sz="4" w:space="0"/>
              <w:bottom w:val="single" w:color="000000" w:sz="4" w:space="0"/>
              <w:right w:val="single" w:color="000000" w:sz="4" w:space="0"/>
            </w:tcBorders>
            <w:noWrap w:val="0"/>
            <w:vAlign w:val="top"/>
          </w:tcPr>
          <w:p w14:paraId="67C55B3A">
            <w:pPr>
              <w:snapToGrid w:val="0"/>
              <w:rPr>
                <w:rFonts w:ascii="Arial" w:hAnsi="Arial"/>
                <w:color w:val="auto"/>
                <w:highlight w:val="none"/>
              </w:rPr>
            </w:pPr>
          </w:p>
        </w:tc>
        <w:tc>
          <w:tcPr>
            <w:tcW w:w="2361" w:type="dxa"/>
            <w:tcBorders>
              <w:top w:val="single" w:color="000000" w:sz="4" w:space="0"/>
              <w:left w:val="single" w:color="000000" w:sz="4" w:space="0"/>
              <w:bottom w:val="single" w:color="000000" w:sz="4" w:space="0"/>
              <w:right w:val="single" w:color="000000" w:sz="4" w:space="0"/>
            </w:tcBorders>
            <w:noWrap w:val="0"/>
            <w:vAlign w:val="top"/>
          </w:tcPr>
          <w:p w14:paraId="5E915B11">
            <w:pPr>
              <w:snapToGrid w:val="0"/>
              <w:rPr>
                <w:rFonts w:ascii="Arial" w:hAnsi="Arial"/>
                <w:color w:val="auto"/>
                <w:highlight w:val="none"/>
              </w:rPr>
            </w:pPr>
          </w:p>
        </w:tc>
      </w:tr>
    </w:tbl>
    <w:p w14:paraId="34AC688D">
      <w:pPr>
        <w:pStyle w:val="15"/>
        <w:rPr>
          <w:color w:val="auto"/>
          <w:highlight w:val="none"/>
        </w:rPr>
        <w:sectPr>
          <w:headerReference r:id="rId51" w:type="first"/>
          <w:footerReference r:id="rId54" w:type="first"/>
          <w:headerReference r:id="rId49" w:type="default"/>
          <w:footerReference r:id="rId52" w:type="default"/>
          <w:headerReference r:id="rId50" w:type="even"/>
          <w:footerReference r:id="rId53" w:type="even"/>
          <w:footnotePr>
            <w:pos w:val="beneathText"/>
          </w:footnotePr>
          <w:pgSz w:w="11560" w:h="16490"/>
          <w:pgMar w:top="400" w:right="566" w:bottom="571" w:left="914" w:header="0" w:footer="334" w:gutter="0"/>
          <w:pgNumType w:fmt="decimal"/>
          <w:cols w:space="720" w:num="1"/>
          <w:docGrid w:linePitch="360" w:charSpace="0"/>
        </w:sectPr>
      </w:pPr>
    </w:p>
    <w:p w14:paraId="259AF13F">
      <w:pPr>
        <w:spacing w:before="49" w:line="218" w:lineRule="auto"/>
        <w:rPr>
          <w:rFonts w:ascii="宋体" w:hAnsi="宋体" w:cs="宋体"/>
          <w:b/>
          <w:bCs/>
          <w:color w:val="auto"/>
          <w:spacing w:val="-12"/>
          <w:sz w:val="33"/>
          <w:szCs w:val="33"/>
          <w:highlight w:val="none"/>
        </w:rPr>
      </w:pPr>
      <w:r>
        <w:rPr>
          <w:rFonts w:ascii="宋体" w:hAnsi="宋体" w:cs="宋体"/>
          <w:b/>
          <w:bCs/>
          <w:color w:val="auto"/>
          <w:spacing w:val="-17"/>
          <w:sz w:val="26"/>
          <w:szCs w:val="26"/>
          <w:highlight w:val="none"/>
        </w:rPr>
        <w:t>附件七：</w:t>
      </w:r>
    </w:p>
    <w:p w14:paraId="1B5D9921">
      <w:pPr>
        <w:spacing w:before="141" w:line="218" w:lineRule="auto"/>
        <w:jc w:val="center"/>
        <w:rPr>
          <w:rFonts w:ascii="宋体" w:hAnsi="宋体" w:cs="宋体"/>
          <w:color w:val="auto"/>
          <w:sz w:val="33"/>
          <w:szCs w:val="33"/>
          <w:highlight w:val="none"/>
        </w:rPr>
      </w:pPr>
      <w:r>
        <w:rPr>
          <w:rFonts w:ascii="宋体" w:hAnsi="宋体" w:cs="宋体"/>
          <w:b/>
          <w:bCs/>
          <w:color w:val="auto"/>
          <w:spacing w:val="-12"/>
          <w:sz w:val="33"/>
          <w:szCs w:val="33"/>
          <w:highlight w:val="none"/>
        </w:rPr>
        <w:t>维序服务日常检查表</w:t>
      </w:r>
    </w:p>
    <w:p w14:paraId="3EA95CC3">
      <w:pPr>
        <w:spacing w:line="204" w:lineRule="exact"/>
        <w:rPr>
          <w:rFonts w:ascii="宋体" w:hAnsi="宋体" w:cs="宋体"/>
          <w:color w:val="auto"/>
          <w:sz w:val="33"/>
          <w:szCs w:val="33"/>
          <w:highlight w:val="none"/>
        </w:rPr>
      </w:pPr>
    </w:p>
    <w:tbl>
      <w:tblPr>
        <w:tblStyle w:val="42"/>
        <w:tblW w:w="0" w:type="auto"/>
        <w:tblInd w:w="16" w:type="dxa"/>
        <w:tblLayout w:type="fixed"/>
        <w:tblCellMar>
          <w:top w:w="0" w:type="dxa"/>
          <w:left w:w="0" w:type="dxa"/>
          <w:bottom w:w="0" w:type="dxa"/>
          <w:right w:w="0" w:type="dxa"/>
        </w:tblCellMar>
      </w:tblPr>
      <w:tblGrid>
        <w:gridCol w:w="1807"/>
        <w:gridCol w:w="2855"/>
        <w:gridCol w:w="425"/>
        <w:gridCol w:w="2531"/>
        <w:gridCol w:w="1503"/>
      </w:tblGrid>
      <w:tr w14:paraId="7FA90A7D">
        <w:tblPrEx>
          <w:tblCellMar>
            <w:top w:w="0" w:type="dxa"/>
            <w:left w:w="0" w:type="dxa"/>
            <w:bottom w:w="0" w:type="dxa"/>
            <w:right w:w="0" w:type="dxa"/>
          </w:tblCellMar>
        </w:tblPrEx>
        <w:trPr>
          <w:trHeight w:val="697" w:hRule="atLeast"/>
        </w:trPr>
        <w:tc>
          <w:tcPr>
            <w:tcW w:w="5087" w:type="dxa"/>
            <w:gridSpan w:val="3"/>
            <w:tcBorders>
              <w:top w:val="single" w:color="000000" w:sz="4" w:space="0"/>
              <w:left w:val="single" w:color="000000" w:sz="4" w:space="0"/>
              <w:bottom w:val="single" w:color="000000" w:sz="4" w:space="0"/>
              <w:right w:val="single" w:color="000000" w:sz="4" w:space="0"/>
            </w:tcBorders>
            <w:noWrap w:val="0"/>
            <w:vAlign w:val="top"/>
          </w:tcPr>
          <w:p w14:paraId="6B957488">
            <w:pPr>
              <w:snapToGrid w:val="0"/>
              <w:rPr>
                <w:rFonts w:ascii="Arial" w:hAnsi="Arial"/>
                <w:color w:val="auto"/>
                <w:highlight w:val="none"/>
              </w:rPr>
            </w:pPr>
          </w:p>
        </w:tc>
        <w:tc>
          <w:tcPr>
            <w:tcW w:w="4034" w:type="dxa"/>
            <w:gridSpan w:val="2"/>
            <w:tcBorders>
              <w:top w:val="single" w:color="000000" w:sz="4" w:space="0"/>
              <w:left w:val="single" w:color="000000" w:sz="4" w:space="0"/>
              <w:bottom w:val="single" w:color="000000" w:sz="4" w:space="0"/>
              <w:right w:val="single" w:color="000000" w:sz="4" w:space="0"/>
            </w:tcBorders>
            <w:noWrap w:val="0"/>
            <w:vAlign w:val="top"/>
          </w:tcPr>
          <w:p w14:paraId="03B680E0">
            <w:pPr>
              <w:pStyle w:val="95"/>
              <w:spacing w:before="121" w:line="220" w:lineRule="auto"/>
              <w:ind w:left="58"/>
              <w:rPr>
                <w:color w:val="auto"/>
                <w:highlight w:val="none"/>
              </w:rPr>
            </w:pPr>
            <w:r>
              <w:rPr>
                <w:bCs/>
                <w:color w:val="auto"/>
                <w:spacing w:val="-5"/>
                <w:sz w:val="24"/>
                <w:szCs w:val="24"/>
                <w:highlight w:val="none"/>
              </w:rPr>
              <w:t>检查日期：</w:t>
            </w:r>
            <w:r>
              <w:rPr>
                <w:color w:val="auto"/>
                <w:spacing w:val="9"/>
                <w:sz w:val="24"/>
                <w:szCs w:val="24"/>
                <w:highlight w:val="none"/>
              </w:rPr>
              <w:t xml:space="preserve">       </w:t>
            </w:r>
            <w:r>
              <w:rPr>
                <w:color w:val="auto"/>
                <w:spacing w:val="-5"/>
                <w:sz w:val="24"/>
                <w:szCs w:val="24"/>
                <w:highlight w:val="none"/>
              </w:rPr>
              <w:t>年</w:t>
            </w:r>
            <w:r>
              <w:rPr>
                <w:color w:val="auto"/>
                <w:spacing w:val="35"/>
                <w:sz w:val="24"/>
                <w:szCs w:val="24"/>
                <w:highlight w:val="none"/>
              </w:rPr>
              <w:t xml:space="preserve">   </w:t>
            </w:r>
            <w:r>
              <w:rPr>
                <w:color w:val="auto"/>
                <w:spacing w:val="-5"/>
                <w:sz w:val="24"/>
                <w:szCs w:val="24"/>
                <w:highlight w:val="none"/>
              </w:rPr>
              <w:t>月</w:t>
            </w:r>
            <w:r>
              <w:rPr>
                <w:color w:val="auto"/>
                <w:spacing w:val="4"/>
                <w:sz w:val="24"/>
                <w:szCs w:val="24"/>
                <w:highlight w:val="none"/>
              </w:rPr>
              <w:t xml:space="preserve">    </w:t>
            </w:r>
            <w:r>
              <w:rPr>
                <w:color w:val="auto"/>
                <w:spacing w:val="-5"/>
                <w:sz w:val="24"/>
                <w:szCs w:val="24"/>
                <w:highlight w:val="none"/>
              </w:rPr>
              <w:t>日</w:t>
            </w:r>
          </w:p>
        </w:tc>
      </w:tr>
      <w:tr w14:paraId="1976CBD2">
        <w:tblPrEx>
          <w:tblCellMar>
            <w:top w:w="0" w:type="dxa"/>
            <w:left w:w="0" w:type="dxa"/>
            <w:bottom w:w="0" w:type="dxa"/>
            <w:right w:w="0" w:type="dxa"/>
          </w:tblCellMar>
        </w:tblPrEx>
        <w:trPr>
          <w:trHeight w:val="665" w:hRule="atLeast"/>
        </w:trPr>
        <w:tc>
          <w:tcPr>
            <w:tcW w:w="1807" w:type="dxa"/>
            <w:tcBorders>
              <w:top w:val="single" w:color="000000" w:sz="4" w:space="0"/>
              <w:left w:val="single" w:color="000000" w:sz="4" w:space="0"/>
              <w:bottom w:val="single" w:color="000000" w:sz="4" w:space="0"/>
              <w:right w:val="single" w:color="000000" w:sz="4" w:space="0"/>
            </w:tcBorders>
            <w:noWrap w:val="0"/>
            <w:vAlign w:val="top"/>
          </w:tcPr>
          <w:p w14:paraId="283AFE40">
            <w:pPr>
              <w:pStyle w:val="95"/>
              <w:spacing w:before="127" w:line="218" w:lineRule="auto"/>
              <w:ind w:left="108"/>
              <w:rPr>
                <w:color w:val="auto"/>
                <w:highlight w:val="none"/>
              </w:rPr>
            </w:pPr>
            <w:r>
              <w:rPr>
                <w:bCs/>
                <w:color w:val="auto"/>
                <w:spacing w:val="-4"/>
                <w:sz w:val="24"/>
                <w:szCs w:val="24"/>
                <w:highlight w:val="none"/>
              </w:rPr>
              <w:t>检查项目/位置</w:t>
            </w:r>
          </w:p>
        </w:tc>
        <w:tc>
          <w:tcPr>
            <w:tcW w:w="5811" w:type="dxa"/>
            <w:gridSpan w:val="3"/>
            <w:tcBorders>
              <w:top w:val="single" w:color="000000" w:sz="4" w:space="0"/>
              <w:left w:val="single" w:color="000000" w:sz="4" w:space="0"/>
              <w:bottom w:val="single" w:color="000000" w:sz="4" w:space="0"/>
              <w:right w:val="single" w:color="000000" w:sz="4" w:space="0"/>
            </w:tcBorders>
            <w:noWrap w:val="0"/>
            <w:vAlign w:val="top"/>
          </w:tcPr>
          <w:p w14:paraId="05209FD9">
            <w:pPr>
              <w:pStyle w:val="95"/>
              <w:spacing w:before="130" w:line="218" w:lineRule="auto"/>
              <w:ind w:left="1761"/>
              <w:rPr>
                <w:color w:val="auto"/>
                <w:highlight w:val="none"/>
              </w:rPr>
            </w:pPr>
            <w:r>
              <w:rPr>
                <w:color w:val="auto"/>
                <w:spacing w:val="1"/>
                <w:sz w:val="24"/>
                <w:szCs w:val="24"/>
                <w:highlight w:val="none"/>
              </w:rPr>
              <w:t>现场抽检出现的问题</w:t>
            </w:r>
          </w:p>
        </w:tc>
        <w:tc>
          <w:tcPr>
            <w:tcW w:w="1503" w:type="dxa"/>
            <w:tcBorders>
              <w:top w:val="single" w:color="000000" w:sz="4" w:space="0"/>
              <w:left w:val="single" w:color="000000" w:sz="4" w:space="0"/>
              <w:bottom w:val="single" w:color="000000" w:sz="4" w:space="0"/>
              <w:right w:val="single" w:color="000000" w:sz="4" w:space="0"/>
            </w:tcBorders>
            <w:noWrap w:val="0"/>
            <w:vAlign w:val="top"/>
          </w:tcPr>
          <w:p w14:paraId="7D8671F0">
            <w:pPr>
              <w:pStyle w:val="95"/>
              <w:spacing w:before="131" w:line="218" w:lineRule="auto"/>
              <w:ind w:left="248"/>
              <w:rPr>
                <w:color w:val="auto"/>
                <w:highlight w:val="none"/>
              </w:rPr>
            </w:pPr>
            <w:r>
              <w:rPr>
                <w:color w:val="auto"/>
                <w:spacing w:val="2"/>
                <w:sz w:val="24"/>
                <w:szCs w:val="24"/>
                <w:highlight w:val="none"/>
              </w:rPr>
              <w:t>扣分情况</w:t>
            </w:r>
          </w:p>
        </w:tc>
      </w:tr>
      <w:tr w14:paraId="6747627C">
        <w:tblPrEx>
          <w:tblCellMar>
            <w:top w:w="0" w:type="dxa"/>
            <w:left w:w="0" w:type="dxa"/>
            <w:bottom w:w="0" w:type="dxa"/>
            <w:right w:w="0" w:type="dxa"/>
          </w:tblCellMar>
        </w:tblPrEx>
        <w:trPr>
          <w:trHeight w:val="691" w:hRule="atLeast"/>
        </w:trPr>
        <w:tc>
          <w:tcPr>
            <w:tcW w:w="1807" w:type="dxa"/>
            <w:tcBorders>
              <w:top w:val="single" w:color="000000" w:sz="4" w:space="0"/>
              <w:left w:val="single" w:color="000000" w:sz="4" w:space="0"/>
              <w:bottom w:val="single" w:color="000000" w:sz="4" w:space="0"/>
              <w:right w:val="single" w:color="000000" w:sz="4" w:space="0"/>
            </w:tcBorders>
            <w:noWrap w:val="0"/>
            <w:vAlign w:val="top"/>
          </w:tcPr>
          <w:p w14:paraId="2F6A7D1E">
            <w:pPr>
              <w:snapToGrid w:val="0"/>
              <w:rPr>
                <w:rFonts w:ascii="Arial" w:hAnsi="Arial"/>
                <w:color w:val="auto"/>
                <w:sz w:val="24"/>
                <w:highlight w:val="none"/>
              </w:rPr>
            </w:pPr>
          </w:p>
        </w:tc>
        <w:tc>
          <w:tcPr>
            <w:tcW w:w="5811" w:type="dxa"/>
            <w:gridSpan w:val="3"/>
            <w:tcBorders>
              <w:top w:val="single" w:color="000000" w:sz="4" w:space="0"/>
              <w:left w:val="single" w:color="000000" w:sz="4" w:space="0"/>
              <w:bottom w:val="single" w:color="000000" w:sz="4" w:space="0"/>
              <w:right w:val="single" w:color="000000" w:sz="4" w:space="0"/>
            </w:tcBorders>
            <w:noWrap w:val="0"/>
            <w:vAlign w:val="top"/>
          </w:tcPr>
          <w:p w14:paraId="77EB8409">
            <w:pPr>
              <w:snapToGrid w:val="0"/>
              <w:rPr>
                <w:rFonts w:ascii="Arial" w:hAnsi="Arial"/>
                <w:color w:val="auto"/>
                <w:highlight w:val="none"/>
              </w:rPr>
            </w:pPr>
          </w:p>
        </w:tc>
        <w:tc>
          <w:tcPr>
            <w:tcW w:w="1503" w:type="dxa"/>
            <w:tcBorders>
              <w:top w:val="single" w:color="000000" w:sz="4" w:space="0"/>
              <w:left w:val="single" w:color="000000" w:sz="4" w:space="0"/>
              <w:bottom w:val="single" w:color="000000" w:sz="4" w:space="0"/>
              <w:right w:val="single" w:color="000000" w:sz="4" w:space="0"/>
            </w:tcBorders>
            <w:noWrap w:val="0"/>
            <w:vAlign w:val="top"/>
          </w:tcPr>
          <w:p w14:paraId="74D85801">
            <w:pPr>
              <w:snapToGrid w:val="0"/>
              <w:rPr>
                <w:rFonts w:ascii="Arial" w:hAnsi="Arial"/>
                <w:color w:val="auto"/>
                <w:highlight w:val="none"/>
              </w:rPr>
            </w:pPr>
          </w:p>
        </w:tc>
      </w:tr>
      <w:tr w14:paraId="2271BD27">
        <w:tblPrEx>
          <w:tblCellMar>
            <w:top w:w="0" w:type="dxa"/>
            <w:left w:w="0" w:type="dxa"/>
            <w:bottom w:w="0" w:type="dxa"/>
            <w:right w:w="0" w:type="dxa"/>
          </w:tblCellMar>
        </w:tblPrEx>
        <w:trPr>
          <w:trHeight w:val="691" w:hRule="atLeast"/>
        </w:trPr>
        <w:tc>
          <w:tcPr>
            <w:tcW w:w="1807" w:type="dxa"/>
            <w:tcBorders>
              <w:top w:val="single" w:color="000000" w:sz="4" w:space="0"/>
              <w:left w:val="single" w:color="000000" w:sz="4" w:space="0"/>
              <w:bottom w:val="single" w:color="000000" w:sz="4" w:space="0"/>
              <w:right w:val="single" w:color="000000" w:sz="4" w:space="0"/>
            </w:tcBorders>
            <w:noWrap w:val="0"/>
            <w:vAlign w:val="top"/>
          </w:tcPr>
          <w:p w14:paraId="4897E5C2">
            <w:pPr>
              <w:snapToGrid w:val="0"/>
              <w:rPr>
                <w:rFonts w:ascii="Arial" w:hAnsi="Arial"/>
                <w:color w:val="auto"/>
                <w:highlight w:val="none"/>
              </w:rPr>
            </w:pPr>
          </w:p>
        </w:tc>
        <w:tc>
          <w:tcPr>
            <w:tcW w:w="5811" w:type="dxa"/>
            <w:gridSpan w:val="3"/>
            <w:tcBorders>
              <w:top w:val="single" w:color="000000" w:sz="4" w:space="0"/>
              <w:left w:val="single" w:color="000000" w:sz="4" w:space="0"/>
              <w:bottom w:val="single" w:color="000000" w:sz="4" w:space="0"/>
              <w:right w:val="single" w:color="000000" w:sz="4" w:space="0"/>
            </w:tcBorders>
            <w:noWrap w:val="0"/>
            <w:vAlign w:val="top"/>
          </w:tcPr>
          <w:p w14:paraId="17425454">
            <w:pPr>
              <w:snapToGrid w:val="0"/>
              <w:rPr>
                <w:rFonts w:ascii="Arial" w:hAnsi="Arial"/>
                <w:color w:val="auto"/>
                <w:highlight w:val="none"/>
              </w:rPr>
            </w:pPr>
          </w:p>
        </w:tc>
        <w:tc>
          <w:tcPr>
            <w:tcW w:w="1503" w:type="dxa"/>
            <w:tcBorders>
              <w:top w:val="single" w:color="000000" w:sz="4" w:space="0"/>
              <w:left w:val="single" w:color="000000" w:sz="4" w:space="0"/>
              <w:bottom w:val="single" w:color="000000" w:sz="4" w:space="0"/>
              <w:right w:val="single" w:color="000000" w:sz="4" w:space="0"/>
            </w:tcBorders>
            <w:noWrap w:val="0"/>
            <w:vAlign w:val="top"/>
          </w:tcPr>
          <w:p w14:paraId="7AE0E147">
            <w:pPr>
              <w:snapToGrid w:val="0"/>
              <w:rPr>
                <w:rFonts w:ascii="Arial" w:hAnsi="Arial"/>
                <w:color w:val="auto"/>
                <w:highlight w:val="none"/>
              </w:rPr>
            </w:pPr>
          </w:p>
        </w:tc>
      </w:tr>
      <w:tr w14:paraId="4901D7F1">
        <w:tblPrEx>
          <w:tblCellMar>
            <w:top w:w="0" w:type="dxa"/>
            <w:left w:w="0" w:type="dxa"/>
            <w:bottom w:w="0" w:type="dxa"/>
            <w:right w:w="0" w:type="dxa"/>
          </w:tblCellMar>
        </w:tblPrEx>
        <w:trPr>
          <w:trHeight w:val="692" w:hRule="atLeast"/>
        </w:trPr>
        <w:tc>
          <w:tcPr>
            <w:tcW w:w="1807" w:type="dxa"/>
            <w:tcBorders>
              <w:top w:val="single" w:color="000000" w:sz="4" w:space="0"/>
              <w:left w:val="single" w:color="000000" w:sz="4" w:space="0"/>
              <w:bottom w:val="single" w:color="000000" w:sz="4" w:space="0"/>
              <w:right w:val="single" w:color="000000" w:sz="4" w:space="0"/>
            </w:tcBorders>
            <w:noWrap w:val="0"/>
            <w:vAlign w:val="top"/>
          </w:tcPr>
          <w:p w14:paraId="4766A99E">
            <w:pPr>
              <w:snapToGrid w:val="0"/>
              <w:rPr>
                <w:rFonts w:ascii="Arial" w:hAnsi="Arial"/>
                <w:color w:val="auto"/>
                <w:highlight w:val="none"/>
              </w:rPr>
            </w:pPr>
          </w:p>
        </w:tc>
        <w:tc>
          <w:tcPr>
            <w:tcW w:w="5811" w:type="dxa"/>
            <w:gridSpan w:val="3"/>
            <w:tcBorders>
              <w:top w:val="single" w:color="000000" w:sz="4" w:space="0"/>
              <w:left w:val="single" w:color="000000" w:sz="4" w:space="0"/>
              <w:bottom w:val="single" w:color="000000" w:sz="4" w:space="0"/>
              <w:right w:val="single" w:color="000000" w:sz="4" w:space="0"/>
            </w:tcBorders>
            <w:noWrap w:val="0"/>
            <w:vAlign w:val="top"/>
          </w:tcPr>
          <w:p w14:paraId="1B90B7DA">
            <w:pPr>
              <w:snapToGrid w:val="0"/>
              <w:rPr>
                <w:rFonts w:ascii="Arial" w:hAnsi="Arial"/>
                <w:color w:val="auto"/>
                <w:highlight w:val="none"/>
              </w:rPr>
            </w:pPr>
          </w:p>
        </w:tc>
        <w:tc>
          <w:tcPr>
            <w:tcW w:w="1503" w:type="dxa"/>
            <w:tcBorders>
              <w:top w:val="single" w:color="000000" w:sz="4" w:space="0"/>
              <w:left w:val="single" w:color="000000" w:sz="4" w:space="0"/>
              <w:bottom w:val="single" w:color="000000" w:sz="4" w:space="0"/>
              <w:right w:val="single" w:color="000000" w:sz="4" w:space="0"/>
            </w:tcBorders>
            <w:noWrap w:val="0"/>
            <w:vAlign w:val="top"/>
          </w:tcPr>
          <w:p w14:paraId="70AA9C91">
            <w:pPr>
              <w:snapToGrid w:val="0"/>
              <w:rPr>
                <w:rFonts w:ascii="Arial" w:hAnsi="Arial"/>
                <w:color w:val="auto"/>
                <w:highlight w:val="none"/>
              </w:rPr>
            </w:pPr>
          </w:p>
        </w:tc>
      </w:tr>
      <w:tr w14:paraId="74BBC3EC">
        <w:tblPrEx>
          <w:tblCellMar>
            <w:top w:w="0" w:type="dxa"/>
            <w:left w:w="0" w:type="dxa"/>
            <w:bottom w:w="0" w:type="dxa"/>
            <w:right w:w="0" w:type="dxa"/>
          </w:tblCellMar>
        </w:tblPrEx>
        <w:trPr>
          <w:trHeight w:val="691" w:hRule="atLeast"/>
        </w:trPr>
        <w:tc>
          <w:tcPr>
            <w:tcW w:w="1807" w:type="dxa"/>
            <w:tcBorders>
              <w:top w:val="single" w:color="000000" w:sz="4" w:space="0"/>
              <w:left w:val="single" w:color="000000" w:sz="4" w:space="0"/>
              <w:bottom w:val="single" w:color="000000" w:sz="4" w:space="0"/>
              <w:right w:val="single" w:color="000000" w:sz="4" w:space="0"/>
            </w:tcBorders>
            <w:noWrap w:val="0"/>
            <w:vAlign w:val="top"/>
          </w:tcPr>
          <w:p w14:paraId="21BE1D04">
            <w:pPr>
              <w:snapToGrid w:val="0"/>
              <w:rPr>
                <w:rFonts w:ascii="Arial" w:hAnsi="Arial"/>
                <w:color w:val="auto"/>
                <w:highlight w:val="none"/>
              </w:rPr>
            </w:pPr>
          </w:p>
        </w:tc>
        <w:tc>
          <w:tcPr>
            <w:tcW w:w="5811" w:type="dxa"/>
            <w:gridSpan w:val="3"/>
            <w:tcBorders>
              <w:top w:val="single" w:color="000000" w:sz="4" w:space="0"/>
              <w:left w:val="single" w:color="000000" w:sz="4" w:space="0"/>
              <w:bottom w:val="single" w:color="000000" w:sz="4" w:space="0"/>
              <w:right w:val="single" w:color="000000" w:sz="4" w:space="0"/>
            </w:tcBorders>
            <w:noWrap w:val="0"/>
            <w:vAlign w:val="top"/>
          </w:tcPr>
          <w:p w14:paraId="5C7DE108">
            <w:pPr>
              <w:snapToGrid w:val="0"/>
              <w:rPr>
                <w:rFonts w:ascii="Arial" w:hAnsi="Arial"/>
                <w:color w:val="auto"/>
                <w:highlight w:val="none"/>
              </w:rPr>
            </w:pPr>
          </w:p>
        </w:tc>
        <w:tc>
          <w:tcPr>
            <w:tcW w:w="1503" w:type="dxa"/>
            <w:tcBorders>
              <w:top w:val="single" w:color="000000" w:sz="4" w:space="0"/>
              <w:left w:val="single" w:color="000000" w:sz="4" w:space="0"/>
              <w:bottom w:val="single" w:color="000000" w:sz="4" w:space="0"/>
              <w:right w:val="single" w:color="000000" w:sz="4" w:space="0"/>
            </w:tcBorders>
            <w:noWrap w:val="0"/>
            <w:vAlign w:val="top"/>
          </w:tcPr>
          <w:p w14:paraId="636006DC">
            <w:pPr>
              <w:snapToGrid w:val="0"/>
              <w:rPr>
                <w:rFonts w:ascii="Arial" w:hAnsi="Arial"/>
                <w:color w:val="auto"/>
                <w:highlight w:val="none"/>
              </w:rPr>
            </w:pPr>
          </w:p>
        </w:tc>
      </w:tr>
      <w:tr w14:paraId="694A14DB">
        <w:tblPrEx>
          <w:tblCellMar>
            <w:top w:w="0" w:type="dxa"/>
            <w:left w:w="0" w:type="dxa"/>
            <w:bottom w:w="0" w:type="dxa"/>
            <w:right w:w="0" w:type="dxa"/>
          </w:tblCellMar>
        </w:tblPrEx>
        <w:trPr>
          <w:trHeight w:val="677" w:hRule="atLeast"/>
        </w:trPr>
        <w:tc>
          <w:tcPr>
            <w:tcW w:w="1807" w:type="dxa"/>
            <w:tcBorders>
              <w:top w:val="single" w:color="000000" w:sz="4" w:space="0"/>
              <w:left w:val="single" w:color="000000" w:sz="4" w:space="0"/>
              <w:bottom w:val="single" w:color="000000" w:sz="4" w:space="0"/>
              <w:right w:val="single" w:color="000000" w:sz="4" w:space="0"/>
            </w:tcBorders>
            <w:noWrap w:val="0"/>
            <w:vAlign w:val="top"/>
          </w:tcPr>
          <w:p w14:paraId="271AA4FA">
            <w:pPr>
              <w:snapToGrid w:val="0"/>
              <w:rPr>
                <w:rFonts w:ascii="Arial" w:hAnsi="Arial"/>
                <w:color w:val="auto"/>
                <w:highlight w:val="none"/>
              </w:rPr>
            </w:pPr>
          </w:p>
        </w:tc>
        <w:tc>
          <w:tcPr>
            <w:tcW w:w="5811" w:type="dxa"/>
            <w:gridSpan w:val="3"/>
            <w:tcBorders>
              <w:top w:val="single" w:color="000000" w:sz="4" w:space="0"/>
              <w:left w:val="single" w:color="000000" w:sz="4" w:space="0"/>
              <w:bottom w:val="single" w:color="000000" w:sz="4" w:space="0"/>
              <w:right w:val="single" w:color="000000" w:sz="4" w:space="0"/>
            </w:tcBorders>
            <w:noWrap w:val="0"/>
            <w:vAlign w:val="top"/>
          </w:tcPr>
          <w:p w14:paraId="15F31482">
            <w:pPr>
              <w:snapToGrid w:val="0"/>
              <w:rPr>
                <w:rFonts w:ascii="Arial" w:hAnsi="Arial"/>
                <w:color w:val="auto"/>
                <w:highlight w:val="none"/>
              </w:rPr>
            </w:pPr>
          </w:p>
        </w:tc>
        <w:tc>
          <w:tcPr>
            <w:tcW w:w="1503" w:type="dxa"/>
            <w:tcBorders>
              <w:top w:val="single" w:color="000000" w:sz="4" w:space="0"/>
              <w:left w:val="single" w:color="000000" w:sz="4" w:space="0"/>
              <w:bottom w:val="single" w:color="000000" w:sz="4" w:space="0"/>
              <w:right w:val="single" w:color="000000" w:sz="4" w:space="0"/>
            </w:tcBorders>
            <w:noWrap w:val="0"/>
            <w:vAlign w:val="top"/>
          </w:tcPr>
          <w:p w14:paraId="493D43AB">
            <w:pPr>
              <w:snapToGrid w:val="0"/>
              <w:rPr>
                <w:rFonts w:ascii="Arial" w:hAnsi="Arial"/>
                <w:color w:val="auto"/>
                <w:highlight w:val="none"/>
              </w:rPr>
            </w:pPr>
          </w:p>
        </w:tc>
      </w:tr>
      <w:tr w14:paraId="261D6C3C">
        <w:tblPrEx>
          <w:tblCellMar>
            <w:top w:w="0" w:type="dxa"/>
            <w:left w:w="0" w:type="dxa"/>
            <w:bottom w:w="0" w:type="dxa"/>
            <w:right w:w="0" w:type="dxa"/>
          </w:tblCellMar>
        </w:tblPrEx>
        <w:trPr>
          <w:trHeight w:val="692" w:hRule="atLeast"/>
        </w:trPr>
        <w:tc>
          <w:tcPr>
            <w:tcW w:w="1807" w:type="dxa"/>
            <w:tcBorders>
              <w:top w:val="single" w:color="000000" w:sz="4" w:space="0"/>
              <w:left w:val="single" w:color="000000" w:sz="4" w:space="0"/>
              <w:bottom w:val="single" w:color="000000" w:sz="4" w:space="0"/>
              <w:right w:val="single" w:color="000000" w:sz="4" w:space="0"/>
            </w:tcBorders>
            <w:noWrap w:val="0"/>
            <w:vAlign w:val="top"/>
          </w:tcPr>
          <w:p w14:paraId="13F69AF3">
            <w:pPr>
              <w:snapToGrid w:val="0"/>
              <w:rPr>
                <w:rFonts w:ascii="Arial" w:hAnsi="Arial"/>
                <w:color w:val="auto"/>
                <w:highlight w:val="none"/>
              </w:rPr>
            </w:pPr>
          </w:p>
        </w:tc>
        <w:tc>
          <w:tcPr>
            <w:tcW w:w="5811" w:type="dxa"/>
            <w:gridSpan w:val="3"/>
            <w:tcBorders>
              <w:top w:val="single" w:color="000000" w:sz="4" w:space="0"/>
              <w:left w:val="single" w:color="000000" w:sz="4" w:space="0"/>
              <w:bottom w:val="single" w:color="000000" w:sz="4" w:space="0"/>
              <w:right w:val="single" w:color="000000" w:sz="4" w:space="0"/>
            </w:tcBorders>
            <w:noWrap w:val="0"/>
            <w:vAlign w:val="top"/>
          </w:tcPr>
          <w:p w14:paraId="3AA79DC6">
            <w:pPr>
              <w:snapToGrid w:val="0"/>
              <w:rPr>
                <w:rFonts w:ascii="Arial" w:hAnsi="Arial"/>
                <w:color w:val="auto"/>
                <w:highlight w:val="none"/>
              </w:rPr>
            </w:pPr>
          </w:p>
        </w:tc>
        <w:tc>
          <w:tcPr>
            <w:tcW w:w="1503" w:type="dxa"/>
            <w:tcBorders>
              <w:top w:val="single" w:color="000000" w:sz="4" w:space="0"/>
              <w:left w:val="single" w:color="000000" w:sz="4" w:space="0"/>
              <w:bottom w:val="single" w:color="000000" w:sz="4" w:space="0"/>
              <w:right w:val="single" w:color="000000" w:sz="4" w:space="0"/>
            </w:tcBorders>
            <w:noWrap w:val="0"/>
            <w:vAlign w:val="top"/>
          </w:tcPr>
          <w:p w14:paraId="70F0BB40">
            <w:pPr>
              <w:snapToGrid w:val="0"/>
              <w:rPr>
                <w:rFonts w:ascii="Arial" w:hAnsi="Arial"/>
                <w:color w:val="auto"/>
                <w:highlight w:val="none"/>
              </w:rPr>
            </w:pPr>
          </w:p>
        </w:tc>
      </w:tr>
      <w:tr w14:paraId="27B07212">
        <w:tblPrEx>
          <w:tblCellMar>
            <w:top w:w="0" w:type="dxa"/>
            <w:left w:w="0" w:type="dxa"/>
            <w:bottom w:w="0" w:type="dxa"/>
            <w:right w:w="0" w:type="dxa"/>
          </w:tblCellMar>
        </w:tblPrEx>
        <w:trPr>
          <w:trHeight w:val="691" w:hRule="atLeast"/>
        </w:trPr>
        <w:tc>
          <w:tcPr>
            <w:tcW w:w="1807" w:type="dxa"/>
            <w:tcBorders>
              <w:top w:val="single" w:color="000000" w:sz="4" w:space="0"/>
              <w:left w:val="single" w:color="000000" w:sz="4" w:space="0"/>
              <w:bottom w:val="single" w:color="000000" w:sz="4" w:space="0"/>
              <w:right w:val="single" w:color="000000" w:sz="4" w:space="0"/>
            </w:tcBorders>
            <w:noWrap w:val="0"/>
            <w:vAlign w:val="top"/>
          </w:tcPr>
          <w:p w14:paraId="507DEA54">
            <w:pPr>
              <w:snapToGrid w:val="0"/>
              <w:rPr>
                <w:rFonts w:ascii="Arial" w:hAnsi="Arial"/>
                <w:color w:val="auto"/>
                <w:highlight w:val="none"/>
              </w:rPr>
            </w:pPr>
          </w:p>
        </w:tc>
        <w:tc>
          <w:tcPr>
            <w:tcW w:w="5811" w:type="dxa"/>
            <w:gridSpan w:val="3"/>
            <w:tcBorders>
              <w:top w:val="single" w:color="000000" w:sz="4" w:space="0"/>
              <w:left w:val="single" w:color="000000" w:sz="4" w:space="0"/>
              <w:bottom w:val="single" w:color="000000" w:sz="4" w:space="0"/>
              <w:right w:val="single" w:color="000000" w:sz="4" w:space="0"/>
            </w:tcBorders>
            <w:noWrap w:val="0"/>
            <w:vAlign w:val="top"/>
          </w:tcPr>
          <w:p w14:paraId="25D44DB2">
            <w:pPr>
              <w:snapToGrid w:val="0"/>
              <w:rPr>
                <w:rFonts w:ascii="Arial" w:hAnsi="Arial"/>
                <w:color w:val="auto"/>
                <w:highlight w:val="none"/>
              </w:rPr>
            </w:pPr>
          </w:p>
        </w:tc>
        <w:tc>
          <w:tcPr>
            <w:tcW w:w="1503" w:type="dxa"/>
            <w:tcBorders>
              <w:top w:val="single" w:color="000000" w:sz="4" w:space="0"/>
              <w:left w:val="single" w:color="000000" w:sz="4" w:space="0"/>
              <w:bottom w:val="single" w:color="000000" w:sz="4" w:space="0"/>
              <w:right w:val="single" w:color="000000" w:sz="4" w:space="0"/>
            </w:tcBorders>
            <w:noWrap w:val="0"/>
            <w:vAlign w:val="top"/>
          </w:tcPr>
          <w:p w14:paraId="64511733">
            <w:pPr>
              <w:snapToGrid w:val="0"/>
              <w:rPr>
                <w:rFonts w:ascii="Arial" w:hAnsi="Arial"/>
                <w:color w:val="auto"/>
                <w:highlight w:val="none"/>
              </w:rPr>
            </w:pPr>
          </w:p>
        </w:tc>
      </w:tr>
      <w:tr w14:paraId="39301D14">
        <w:tblPrEx>
          <w:tblCellMar>
            <w:top w:w="0" w:type="dxa"/>
            <w:left w:w="0" w:type="dxa"/>
            <w:bottom w:w="0" w:type="dxa"/>
            <w:right w:w="0" w:type="dxa"/>
          </w:tblCellMar>
        </w:tblPrEx>
        <w:trPr>
          <w:trHeight w:val="691" w:hRule="atLeast"/>
        </w:trPr>
        <w:tc>
          <w:tcPr>
            <w:tcW w:w="1807" w:type="dxa"/>
            <w:tcBorders>
              <w:top w:val="single" w:color="000000" w:sz="4" w:space="0"/>
              <w:left w:val="single" w:color="000000" w:sz="4" w:space="0"/>
              <w:bottom w:val="single" w:color="000000" w:sz="4" w:space="0"/>
              <w:right w:val="single" w:color="000000" w:sz="4" w:space="0"/>
            </w:tcBorders>
            <w:noWrap w:val="0"/>
            <w:vAlign w:val="top"/>
          </w:tcPr>
          <w:p w14:paraId="755CBE78">
            <w:pPr>
              <w:snapToGrid w:val="0"/>
              <w:rPr>
                <w:rFonts w:ascii="Arial" w:hAnsi="Arial"/>
                <w:color w:val="auto"/>
                <w:highlight w:val="none"/>
              </w:rPr>
            </w:pPr>
          </w:p>
        </w:tc>
        <w:tc>
          <w:tcPr>
            <w:tcW w:w="5811" w:type="dxa"/>
            <w:gridSpan w:val="3"/>
            <w:tcBorders>
              <w:top w:val="single" w:color="000000" w:sz="4" w:space="0"/>
              <w:left w:val="single" w:color="000000" w:sz="4" w:space="0"/>
              <w:bottom w:val="single" w:color="000000" w:sz="4" w:space="0"/>
              <w:right w:val="single" w:color="000000" w:sz="4" w:space="0"/>
            </w:tcBorders>
            <w:noWrap w:val="0"/>
            <w:vAlign w:val="top"/>
          </w:tcPr>
          <w:p w14:paraId="4610EB01">
            <w:pPr>
              <w:snapToGrid w:val="0"/>
              <w:rPr>
                <w:rFonts w:ascii="Arial" w:hAnsi="Arial"/>
                <w:color w:val="auto"/>
                <w:highlight w:val="none"/>
              </w:rPr>
            </w:pPr>
          </w:p>
        </w:tc>
        <w:tc>
          <w:tcPr>
            <w:tcW w:w="1503" w:type="dxa"/>
            <w:tcBorders>
              <w:top w:val="single" w:color="000000" w:sz="4" w:space="0"/>
              <w:left w:val="single" w:color="000000" w:sz="4" w:space="0"/>
              <w:bottom w:val="single" w:color="000000" w:sz="4" w:space="0"/>
              <w:right w:val="single" w:color="000000" w:sz="4" w:space="0"/>
            </w:tcBorders>
            <w:noWrap w:val="0"/>
            <w:vAlign w:val="top"/>
          </w:tcPr>
          <w:p w14:paraId="237FFDC5">
            <w:pPr>
              <w:snapToGrid w:val="0"/>
              <w:rPr>
                <w:rFonts w:ascii="Arial" w:hAnsi="Arial"/>
                <w:color w:val="auto"/>
                <w:highlight w:val="none"/>
              </w:rPr>
            </w:pPr>
          </w:p>
        </w:tc>
      </w:tr>
      <w:tr w14:paraId="7839449E">
        <w:tblPrEx>
          <w:tblCellMar>
            <w:top w:w="0" w:type="dxa"/>
            <w:left w:w="0" w:type="dxa"/>
            <w:bottom w:w="0" w:type="dxa"/>
            <w:right w:w="0" w:type="dxa"/>
          </w:tblCellMar>
        </w:tblPrEx>
        <w:trPr>
          <w:trHeight w:val="692" w:hRule="atLeast"/>
        </w:trPr>
        <w:tc>
          <w:tcPr>
            <w:tcW w:w="1807" w:type="dxa"/>
            <w:tcBorders>
              <w:top w:val="single" w:color="000000" w:sz="4" w:space="0"/>
              <w:left w:val="single" w:color="000000" w:sz="4" w:space="0"/>
              <w:bottom w:val="single" w:color="000000" w:sz="4" w:space="0"/>
              <w:right w:val="single" w:color="000000" w:sz="4" w:space="0"/>
            </w:tcBorders>
            <w:noWrap w:val="0"/>
            <w:vAlign w:val="top"/>
          </w:tcPr>
          <w:p w14:paraId="065A575D">
            <w:pPr>
              <w:snapToGrid w:val="0"/>
              <w:rPr>
                <w:rFonts w:ascii="Arial" w:hAnsi="Arial"/>
                <w:color w:val="auto"/>
                <w:highlight w:val="none"/>
              </w:rPr>
            </w:pPr>
          </w:p>
        </w:tc>
        <w:tc>
          <w:tcPr>
            <w:tcW w:w="5811" w:type="dxa"/>
            <w:gridSpan w:val="3"/>
            <w:tcBorders>
              <w:top w:val="single" w:color="000000" w:sz="4" w:space="0"/>
              <w:left w:val="single" w:color="000000" w:sz="4" w:space="0"/>
              <w:bottom w:val="single" w:color="000000" w:sz="4" w:space="0"/>
              <w:right w:val="single" w:color="000000" w:sz="4" w:space="0"/>
            </w:tcBorders>
            <w:noWrap w:val="0"/>
            <w:vAlign w:val="top"/>
          </w:tcPr>
          <w:p w14:paraId="794F7E50">
            <w:pPr>
              <w:snapToGrid w:val="0"/>
              <w:rPr>
                <w:rFonts w:ascii="Arial" w:hAnsi="Arial"/>
                <w:color w:val="auto"/>
                <w:highlight w:val="none"/>
              </w:rPr>
            </w:pPr>
          </w:p>
        </w:tc>
        <w:tc>
          <w:tcPr>
            <w:tcW w:w="1503" w:type="dxa"/>
            <w:tcBorders>
              <w:top w:val="single" w:color="000000" w:sz="4" w:space="0"/>
              <w:left w:val="single" w:color="000000" w:sz="4" w:space="0"/>
              <w:bottom w:val="single" w:color="000000" w:sz="4" w:space="0"/>
              <w:right w:val="single" w:color="000000" w:sz="4" w:space="0"/>
            </w:tcBorders>
            <w:noWrap w:val="0"/>
            <w:vAlign w:val="top"/>
          </w:tcPr>
          <w:p w14:paraId="132D4A71">
            <w:pPr>
              <w:snapToGrid w:val="0"/>
              <w:rPr>
                <w:rFonts w:ascii="Arial" w:hAnsi="Arial"/>
                <w:color w:val="auto"/>
                <w:highlight w:val="none"/>
              </w:rPr>
            </w:pPr>
          </w:p>
        </w:tc>
      </w:tr>
      <w:tr w14:paraId="2D744473">
        <w:tblPrEx>
          <w:tblCellMar>
            <w:top w:w="0" w:type="dxa"/>
            <w:left w:w="0" w:type="dxa"/>
            <w:bottom w:w="0" w:type="dxa"/>
            <w:right w:w="0" w:type="dxa"/>
          </w:tblCellMar>
        </w:tblPrEx>
        <w:trPr>
          <w:trHeight w:val="678" w:hRule="atLeast"/>
        </w:trPr>
        <w:tc>
          <w:tcPr>
            <w:tcW w:w="1807" w:type="dxa"/>
            <w:tcBorders>
              <w:top w:val="single" w:color="000000" w:sz="4" w:space="0"/>
              <w:left w:val="single" w:color="000000" w:sz="4" w:space="0"/>
              <w:bottom w:val="single" w:color="000000" w:sz="4" w:space="0"/>
              <w:right w:val="single" w:color="000000" w:sz="4" w:space="0"/>
            </w:tcBorders>
            <w:noWrap w:val="0"/>
            <w:vAlign w:val="top"/>
          </w:tcPr>
          <w:p w14:paraId="43639FCB">
            <w:pPr>
              <w:pStyle w:val="95"/>
              <w:spacing w:before="134" w:line="220" w:lineRule="auto"/>
              <w:ind w:left="648"/>
              <w:rPr>
                <w:color w:val="auto"/>
                <w:highlight w:val="none"/>
              </w:rPr>
            </w:pPr>
            <w:r>
              <w:rPr>
                <w:bCs/>
                <w:color w:val="auto"/>
                <w:spacing w:val="-6"/>
                <w:sz w:val="24"/>
                <w:szCs w:val="24"/>
                <w:highlight w:val="none"/>
              </w:rPr>
              <w:t>合计</w:t>
            </w:r>
          </w:p>
        </w:tc>
        <w:tc>
          <w:tcPr>
            <w:tcW w:w="5811" w:type="dxa"/>
            <w:gridSpan w:val="3"/>
            <w:tcBorders>
              <w:top w:val="single" w:color="000000" w:sz="4" w:space="0"/>
              <w:left w:val="single" w:color="000000" w:sz="4" w:space="0"/>
              <w:bottom w:val="single" w:color="000000" w:sz="4" w:space="0"/>
              <w:right w:val="single" w:color="000000" w:sz="4" w:space="0"/>
            </w:tcBorders>
            <w:noWrap w:val="0"/>
            <w:vAlign w:val="top"/>
          </w:tcPr>
          <w:p w14:paraId="0591E16D">
            <w:pPr>
              <w:snapToGrid w:val="0"/>
              <w:rPr>
                <w:rFonts w:ascii="Arial" w:hAnsi="Arial"/>
                <w:color w:val="auto"/>
                <w:sz w:val="24"/>
                <w:highlight w:val="none"/>
              </w:rPr>
            </w:pPr>
          </w:p>
        </w:tc>
        <w:tc>
          <w:tcPr>
            <w:tcW w:w="1503" w:type="dxa"/>
            <w:tcBorders>
              <w:top w:val="single" w:color="000000" w:sz="4" w:space="0"/>
              <w:left w:val="single" w:color="000000" w:sz="4" w:space="0"/>
              <w:bottom w:val="single" w:color="000000" w:sz="4" w:space="0"/>
              <w:right w:val="single" w:color="000000" w:sz="4" w:space="0"/>
            </w:tcBorders>
            <w:noWrap w:val="0"/>
            <w:vAlign w:val="top"/>
          </w:tcPr>
          <w:p w14:paraId="76E21213">
            <w:pPr>
              <w:snapToGrid w:val="0"/>
              <w:rPr>
                <w:rFonts w:ascii="Arial" w:hAnsi="Arial"/>
                <w:color w:val="auto"/>
                <w:highlight w:val="none"/>
              </w:rPr>
            </w:pPr>
          </w:p>
        </w:tc>
      </w:tr>
      <w:tr w14:paraId="582CB385">
        <w:tblPrEx>
          <w:tblCellMar>
            <w:top w:w="0" w:type="dxa"/>
            <w:left w:w="0" w:type="dxa"/>
            <w:bottom w:w="0" w:type="dxa"/>
            <w:right w:w="0" w:type="dxa"/>
          </w:tblCellMar>
        </w:tblPrEx>
        <w:trPr>
          <w:trHeight w:val="1681" w:hRule="atLeast"/>
        </w:trPr>
        <w:tc>
          <w:tcPr>
            <w:tcW w:w="9121" w:type="dxa"/>
            <w:gridSpan w:val="5"/>
            <w:tcBorders>
              <w:top w:val="single" w:color="000000" w:sz="4" w:space="0"/>
              <w:left w:val="single" w:color="000000" w:sz="4" w:space="0"/>
              <w:bottom w:val="single" w:color="000000" w:sz="4" w:space="0"/>
              <w:right w:val="single" w:color="000000" w:sz="4" w:space="0"/>
            </w:tcBorders>
            <w:noWrap w:val="0"/>
            <w:vAlign w:val="top"/>
          </w:tcPr>
          <w:p w14:paraId="770B9BDC">
            <w:pPr>
              <w:pStyle w:val="95"/>
              <w:spacing w:before="47" w:line="218" w:lineRule="auto"/>
              <w:ind w:left="94"/>
              <w:rPr>
                <w:color w:val="auto"/>
                <w:highlight w:val="none"/>
              </w:rPr>
            </w:pPr>
            <w:r>
              <w:rPr>
                <w:color w:val="auto"/>
                <w:sz w:val="24"/>
                <w:szCs w:val="24"/>
                <w:highlight w:val="none"/>
              </w:rPr>
              <w:t>整改意见：</w:t>
            </w:r>
          </w:p>
        </w:tc>
      </w:tr>
      <w:tr w14:paraId="3DC72D3C">
        <w:tblPrEx>
          <w:tblCellMar>
            <w:top w:w="0" w:type="dxa"/>
            <w:left w:w="0" w:type="dxa"/>
            <w:bottom w:w="0" w:type="dxa"/>
            <w:right w:w="0" w:type="dxa"/>
          </w:tblCellMar>
        </w:tblPrEx>
        <w:trPr>
          <w:trHeight w:val="1260" w:hRule="atLeast"/>
        </w:trPr>
        <w:tc>
          <w:tcPr>
            <w:tcW w:w="9121" w:type="dxa"/>
            <w:gridSpan w:val="5"/>
            <w:tcBorders>
              <w:top w:val="single" w:color="000000" w:sz="4" w:space="0"/>
              <w:left w:val="single" w:color="000000" w:sz="4" w:space="0"/>
              <w:bottom w:val="single" w:color="000000" w:sz="4" w:space="0"/>
              <w:right w:val="single" w:color="000000" w:sz="4" w:space="0"/>
            </w:tcBorders>
            <w:noWrap w:val="0"/>
            <w:vAlign w:val="top"/>
          </w:tcPr>
          <w:p w14:paraId="60B95092">
            <w:pPr>
              <w:pStyle w:val="95"/>
              <w:spacing w:before="39" w:line="220" w:lineRule="auto"/>
              <w:ind w:left="94"/>
              <w:rPr>
                <w:color w:val="auto"/>
                <w:highlight w:val="none"/>
              </w:rPr>
            </w:pPr>
            <w:r>
              <w:rPr>
                <w:color w:val="auto"/>
                <w:sz w:val="24"/>
                <w:szCs w:val="24"/>
                <w:highlight w:val="none"/>
              </w:rPr>
              <w:t>验证结论：</w:t>
            </w:r>
          </w:p>
        </w:tc>
      </w:tr>
      <w:tr w14:paraId="5F546DD0">
        <w:tblPrEx>
          <w:tblCellMar>
            <w:top w:w="0" w:type="dxa"/>
            <w:left w:w="0" w:type="dxa"/>
            <w:bottom w:w="0" w:type="dxa"/>
            <w:right w:w="0" w:type="dxa"/>
          </w:tblCellMar>
        </w:tblPrEx>
        <w:trPr>
          <w:trHeight w:val="1565" w:hRule="atLeast"/>
        </w:trPr>
        <w:tc>
          <w:tcPr>
            <w:tcW w:w="4662" w:type="dxa"/>
            <w:gridSpan w:val="2"/>
            <w:tcBorders>
              <w:top w:val="single" w:color="000000" w:sz="4" w:space="0"/>
              <w:left w:val="single" w:color="000000" w:sz="4" w:space="0"/>
              <w:bottom w:val="single" w:color="000000" w:sz="4" w:space="0"/>
              <w:right w:val="single" w:color="000000" w:sz="4" w:space="0"/>
            </w:tcBorders>
            <w:noWrap w:val="0"/>
            <w:vAlign w:val="top"/>
          </w:tcPr>
          <w:p w14:paraId="30DBBD04">
            <w:pPr>
              <w:pStyle w:val="95"/>
              <w:spacing w:before="29" w:line="218" w:lineRule="auto"/>
              <w:ind w:left="114"/>
              <w:rPr>
                <w:rFonts w:ascii="Arial" w:hAnsi="Arial"/>
                <w:color w:val="auto"/>
                <w:sz w:val="24"/>
                <w:szCs w:val="24"/>
                <w:highlight w:val="none"/>
              </w:rPr>
            </w:pPr>
            <w:r>
              <w:rPr>
                <w:color w:val="auto"/>
                <w:spacing w:val="-2"/>
                <w:sz w:val="24"/>
                <w:szCs w:val="24"/>
                <w:highlight w:val="none"/>
              </w:rPr>
              <w:t>承包单位负责人</w:t>
            </w:r>
          </w:p>
          <w:p w14:paraId="54A3B175">
            <w:pPr>
              <w:spacing w:line="254" w:lineRule="auto"/>
              <w:rPr>
                <w:rFonts w:ascii="Arial" w:hAnsi="Arial"/>
                <w:color w:val="auto"/>
                <w:sz w:val="24"/>
                <w:highlight w:val="none"/>
              </w:rPr>
            </w:pPr>
          </w:p>
          <w:p w14:paraId="0AA6C8AB">
            <w:pPr>
              <w:pStyle w:val="95"/>
              <w:spacing w:before="78" w:line="225" w:lineRule="auto"/>
              <w:ind w:left="114"/>
              <w:rPr>
                <w:color w:val="auto"/>
                <w:highlight w:val="none"/>
              </w:rPr>
            </w:pPr>
            <w:r>
              <w:rPr>
                <w:color w:val="auto"/>
                <w:spacing w:val="-1"/>
                <w:sz w:val="24"/>
                <w:szCs w:val="24"/>
                <w:highlight w:val="none"/>
              </w:rPr>
              <w:t>签字：        日期：</w:t>
            </w:r>
          </w:p>
        </w:tc>
        <w:tc>
          <w:tcPr>
            <w:tcW w:w="4459" w:type="dxa"/>
            <w:gridSpan w:val="3"/>
            <w:tcBorders>
              <w:top w:val="single" w:color="000000" w:sz="4" w:space="0"/>
              <w:left w:val="single" w:color="000000" w:sz="4" w:space="0"/>
              <w:bottom w:val="single" w:color="000000" w:sz="4" w:space="0"/>
              <w:right w:val="single" w:color="000000" w:sz="4" w:space="0"/>
            </w:tcBorders>
            <w:noWrap w:val="0"/>
            <w:vAlign w:val="top"/>
          </w:tcPr>
          <w:p w14:paraId="4B315B13">
            <w:pPr>
              <w:pStyle w:val="95"/>
              <w:spacing w:before="19" w:line="218" w:lineRule="auto"/>
              <w:ind w:left="74"/>
              <w:rPr>
                <w:rFonts w:ascii="Arial" w:hAnsi="Arial"/>
                <w:color w:val="auto"/>
                <w:sz w:val="24"/>
                <w:szCs w:val="24"/>
                <w:highlight w:val="none"/>
              </w:rPr>
            </w:pPr>
            <w:r>
              <w:rPr>
                <w:color w:val="auto"/>
                <w:spacing w:val="3"/>
                <w:sz w:val="24"/>
                <w:szCs w:val="24"/>
                <w:highlight w:val="none"/>
              </w:rPr>
              <w:t>安防督导</w:t>
            </w:r>
          </w:p>
          <w:p w14:paraId="3D007B76">
            <w:pPr>
              <w:spacing w:line="264" w:lineRule="auto"/>
              <w:rPr>
                <w:rFonts w:ascii="Arial" w:hAnsi="Arial"/>
                <w:color w:val="auto"/>
                <w:sz w:val="24"/>
                <w:highlight w:val="none"/>
              </w:rPr>
            </w:pPr>
          </w:p>
          <w:p w14:paraId="5620E8B6">
            <w:pPr>
              <w:pStyle w:val="95"/>
              <w:spacing w:before="78" w:line="225" w:lineRule="auto"/>
              <w:ind w:left="74"/>
              <w:rPr>
                <w:color w:val="auto"/>
                <w:highlight w:val="none"/>
              </w:rPr>
            </w:pPr>
            <w:r>
              <w:rPr>
                <w:color w:val="auto"/>
                <w:spacing w:val="-1"/>
                <w:sz w:val="24"/>
                <w:szCs w:val="24"/>
                <w:highlight w:val="none"/>
              </w:rPr>
              <w:t>签字：</w:t>
            </w:r>
            <w:r>
              <w:rPr>
                <w:color w:val="auto"/>
                <w:spacing w:val="4"/>
                <w:sz w:val="24"/>
                <w:szCs w:val="24"/>
                <w:highlight w:val="none"/>
              </w:rPr>
              <w:t xml:space="preserve">        </w:t>
            </w:r>
            <w:r>
              <w:rPr>
                <w:color w:val="auto"/>
                <w:spacing w:val="-1"/>
                <w:sz w:val="24"/>
                <w:szCs w:val="24"/>
                <w:highlight w:val="none"/>
              </w:rPr>
              <w:t>日期：</w:t>
            </w:r>
          </w:p>
        </w:tc>
      </w:tr>
    </w:tbl>
    <w:p w14:paraId="235E926C">
      <w:pPr>
        <w:pStyle w:val="15"/>
        <w:rPr>
          <w:color w:val="auto"/>
          <w:highlight w:val="none"/>
        </w:rPr>
        <w:sectPr>
          <w:headerReference r:id="rId57" w:type="first"/>
          <w:footerReference r:id="rId60" w:type="first"/>
          <w:headerReference r:id="rId55" w:type="default"/>
          <w:footerReference r:id="rId58" w:type="default"/>
          <w:headerReference r:id="rId56" w:type="even"/>
          <w:footerReference r:id="rId59" w:type="even"/>
          <w:footnotePr>
            <w:pos w:val="beneathText"/>
          </w:footnotePr>
          <w:pgSz w:w="11560" w:h="16490"/>
          <w:pgMar w:top="1389" w:right="250" w:bottom="722" w:left="1369" w:header="519" w:footer="482" w:gutter="0"/>
          <w:pgNumType w:fmt="decimal"/>
          <w:cols w:space="720" w:num="1"/>
          <w:docGrid w:linePitch="360" w:charSpace="0"/>
        </w:sectPr>
      </w:pPr>
    </w:p>
    <w:p w14:paraId="3C3DAEE6">
      <w:pPr>
        <w:spacing w:line="213" w:lineRule="auto"/>
        <w:ind w:left="23"/>
        <w:rPr>
          <w:rFonts w:ascii="宋体" w:hAnsi="宋体" w:cs="宋体"/>
          <w:b/>
          <w:bCs/>
          <w:color w:val="auto"/>
          <w:spacing w:val="-13"/>
          <w:sz w:val="33"/>
          <w:szCs w:val="33"/>
          <w:highlight w:val="none"/>
        </w:rPr>
      </w:pPr>
      <w:r>
        <w:rPr>
          <w:rFonts w:ascii="宋体" w:hAnsi="宋体" w:cs="宋体"/>
          <w:b/>
          <w:bCs/>
          <w:color w:val="auto"/>
          <w:spacing w:val="-20"/>
          <w:sz w:val="26"/>
          <w:szCs w:val="26"/>
          <w:highlight w:val="none"/>
        </w:rPr>
        <w:t>附表八：</w:t>
      </w:r>
    </w:p>
    <w:p w14:paraId="371B0C24">
      <w:pPr>
        <w:spacing w:before="195" w:line="218" w:lineRule="auto"/>
        <w:jc w:val="center"/>
        <w:rPr>
          <w:rFonts w:ascii="宋体" w:hAnsi="宋体" w:cs="宋体"/>
          <w:color w:val="auto"/>
          <w:sz w:val="33"/>
          <w:szCs w:val="33"/>
          <w:highlight w:val="none"/>
        </w:rPr>
      </w:pPr>
      <w:r>
        <w:rPr>
          <w:rFonts w:ascii="宋体" w:hAnsi="宋体" w:cs="宋体"/>
          <w:b/>
          <w:bCs/>
          <w:color w:val="auto"/>
          <w:spacing w:val="-13"/>
          <w:sz w:val="33"/>
          <w:szCs w:val="33"/>
          <w:highlight w:val="none"/>
        </w:rPr>
        <w:t>维序服务月度考核评定表</w:t>
      </w:r>
    </w:p>
    <w:p w14:paraId="6DBF0EE5">
      <w:pPr>
        <w:spacing w:line="204" w:lineRule="exact"/>
        <w:rPr>
          <w:rFonts w:ascii="宋体" w:hAnsi="宋体" w:cs="宋体"/>
          <w:color w:val="auto"/>
          <w:sz w:val="33"/>
          <w:szCs w:val="33"/>
          <w:highlight w:val="none"/>
        </w:rPr>
      </w:pPr>
    </w:p>
    <w:tbl>
      <w:tblPr>
        <w:tblStyle w:val="42"/>
        <w:tblW w:w="0" w:type="auto"/>
        <w:tblInd w:w="459" w:type="dxa"/>
        <w:tblLayout w:type="fixed"/>
        <w:tblCellMar>
          <w:top w:w="0" w:type="dxa"/>
          <w:left w:w="0" w:type="dxa"/>
          <w:bottom w:w="0" w:type="dxa"/>
          <w:right w:w="0" w:type="dxa"/>
        </w:tblCellMar>
      </w:tblPr>
      <w:tblGrid>
        <w:gridCol w:w="1827"/>
        <w:gridCol w:w="1224"/>
        <w:gridCol w:w="3037"/>
        <w:gridCol w:w="3042"/>
      </w:tblGrid>
      <w:tr w14:paraId="5B42E658">
        <w:tblPrEx>
          <w:tblCellMar>
            <w:top w:w="0" w:type="dxa"/>
            <w:left w:w="0" w:type="dxa"/>
            <w:bottom w:w="0" w:type="dxa"/>
            <w:right w:w="0" w:type="dxa"/>
          </w:tblCellMar>
        </w:tblPrEx>
        <w:trPr>
          <w:trHeight w:val="725" w:hRule="atLeast"/>
        </w:trPr>
        <w:tc>
          <w:tcPr>
            <w:tcW w:w="1827" w:type="dxa"/>
            <w:tcBorders>
              <w:top w:val="single" w:color="000000" w:sz="4" w:space="0"/>
              <w:left w:val="single" w:color="000000" w:sz="4" w:space="0"/>
              <w:bottom w:val="single" w:color="000000" w:sz="4" w:space="0"/>
              <w:right w:val="single" w:color="000000" w:sz="4" w:space="0"/>
            </w:tcBorders>
            <w:noWrap w:val="0"/>
            <w:vAlign w:val="top"/>
          </w:tcPr>
          <w:p w14:paraId="378CC93E">
            <w:pPr>
              <w:pStyle w:val="95"/>
              <w:spacing w:before="105" w:line="218" w:lineRule="auto"/>
              <w:ind w:left="425"/>
              <w:rPr>
                <w:color w:val="auto"/>
                <w:highlight w:val="none"/>
              </w:rPr>
            </w:pPr>
            <w:r>
              <w:rPr>
                <w:color w:val="auto"/>
                <w:spacing w:val="3"/>
                <w:sz w:val="24"/>
                <w:szCs w:val="24"/>
                <w:highlight w:val="none"/>
              </w:rPr>
              <w:t>考评时限</w:t>
            </w:r>
          </w:p>
        </w:tc>
        <w:tc>
          <w:tcPr>
            <w:tcW w:w="7303" w:type="dxa"/>
            <w:gridSpan w:val="3"/>
            <w:tcBorders>
              <w:top w:val="single" w:color="000000" w:sz="4" w:space="0"/>
              <w:left w:val="single" w:color="000000" w:sz="4" w:space="0"/>
              <w:bottom w:val="single" w:color="000000" w:sz="4" w:space="0"/>
              <w:right w:val="single" w:color="000000" w:sz="4" w:space="0"/>
            </w:tcBorders>
            <w:noWrap w:val="0"/>
            <w:vAlign w:val="top"/>
          </w:tcPr>
          <w:p w14:paraId="3F242433">
            <w:pPr>
              <w:pStyle w:val="95"/>
              <w:spacing w:before="95" w:line="228" w:lineRule="auto"/>
              <w:ind w:left="1141"/>
              <w:rPr>
                <w:color w:val="auto"/>
                <w:highlight w:val="none"/>
              </w:rPr>
            </w:pPr>
            <w:r>
              <w:rPr>
                <w:color w:val="auto"/>
                <w:spacing w:val="-9"/>
                <w:sz w:val="24"/>
                <w:szCs w:val="24"/>
                <w:highlight w:val="none"/>
              </w:rPr>
              <w:t xml:space="preserve">年      月     </w:t>
            </w:r>
            <w:r>
              <w:rPr>
                <w:color w:val="auto"/>
                <w:spacing w:val="-9"/>
                <w:position w:val="-2"/>
                <w:sz w:val="24"/>
                <w:szCs w:val="24"/>
                <w:highlight w:val="none"/>
              </w:rPr>
              <w:t>日</w:t>
            </w:r>
            <w:r>
              <w:rPr>
                <w:color w:val="auto"/>
                <w:spacing w:val="-41"/>
                <w:position w:val="-2"/>
                <w:sz w:val="24"/>
                <w:szCs w:val="24"/>
                <w:highlight w:val="none"/>
              </w:rPr>
              <w:t xml:space="preserve"> </w:t>
            </w:r>
            <w:r>
              <w:rPr>
                <w:color w:val="auto"/>
                <w:spacing w:val="-9"/>
                <w:position w:val="-2"/>
                <w:sz w:val="24"/>
                <w:szCs w:val="24"/>
                <w:highlight w:val="none"/>
              </w:rPr>
              <w:t xml:space="preserve">至       </w:t>
            </w:r>
            <w:r>
              <w:rPr>
                <w:color w:val="auto"/>
                <w:spacing w:val="-9"/>
                <w:position w:val="1"/>
                <w:sz w:val="24"/>
                <w:szCs w:val="24"/>
                <w:highlight w:val="none"/>
              </w:rPr>
              <w:t>年</w:t>
            </w:r>
            <w:r>
              <w:rPr>
                <w:color w:val="auto"/>
                <w:spacing w:val="8"/>
                <w:position w:val="1"/>
                <w:sz w:val="24"/>
                <w:szCs w:val="24"/>
                <w:highlight w:val="none"/>
              </w:rPr>
              <w:t xml:space="preserve">     </w:t>
            </w:r>
            <w:r>
              <w:rPr>
                <w:color w:val="auto"/>
                <w:spacing w:val="-9"/>
                <w:position w:val="1"/>
                <w:sz w:val="24"/>
                <w:szCs w:val="24"/>
                <w:highlight w:val="none"/>
              </w:rPr>
              <w:t>月      日</w:t>
            </w:r>
          </w:p>
        </w:tc>
      </w:tr>
      <w:tr w14:paraId="36D933CA">
        <w:tblPrEx>
          <w:tblCellMar>
            <w:top w:w="0" w:type="dxa"/>
            <w:left w:w="0" w:type="dxa"/>
            <w:bottom w:w="0" w:type="dxa"/>
            <w:right w:w="0" w:type="dxa"/>
          </w:tblCellMar>
        </w:tblPrEx>
        <w:trPr>
          <w:trHeight w:val="1305" w:hRule="atLeast"/>
        </w:trPr>
        <w:tc>
          <w:tcPr>
            <w:tcW w:w="9130" w:type="dxa"/>
            <w:gridSpan w:val="4"/>
            <w:tcBorders>
              <w:top w:val="single" w:color="000000" w:sz="4" w:space="0"/>
              <w:left w:val="single" w:color="000000" w:sz="4" w:space="0"/>
              <w:bottom w:val="single" w:color="000000" w:sz="4" w:space="0"/>
              <w:right w:val="single" w:color="000000" w:sz="4" w:space="0"/>
            </w:tcBorders>
            <w:noWrap w:val="0"/>
            <w:vAlign w:val="top"/>
          </w:tcPr>
          <w:p w14:paraId="60F000C1">
            <w:pPr>
              <w:pStyle w:val="95"/>
              <w:spacing w:before="39" w:line="218" w:lineRule="auto"/>
              <w:ind w:left="565"/>
              <w:rPr>
                <w:color w:val="auto"/>
                <w:spacing w:val="-1"/>
                <w:sz w:val="24"/>
                <w:szCs w:val="24"/>
                <w:highlight w:val="none"/>
              </w:rPr>
            </w:pPr>
            <w:r>
              <w:rPr>
                <w:color w:val="auto"/>
                <w:sz w:val="24"/>
                <w:szCs w:val="24"/>
                <w:highlight w:val="none"/>
              </w:rPr>
              <w:t>本月评定记要：</w:t>
            </w:r>
          </w:p>
          <w:p w14:paraId="2CE05137">
            <w:pPr>
              <w:pStyle w:val="95"/>
              <w:spacing w:before="25" w:line="218" w:lineRule="auto"/>
              <w:ind w:left="565"/>
              <w:rPr>
                <w:color w:val="auto"/>
                <w:highlight w:val="none"/>
              </w:rPr>
            </w:pPr>
            <w:r>
              <w:rPr>
                <w:color w:val="auto"/>
                <w:spacing w:val="-1"/>
                <w:sz w:val="24"/>
                <w:szCs w:val="24"/>
                <w:highlight w:val="none"/>
              </w:rPr>
              <w:t>(1)主要问题简述：</w:t>
            </w:r>
          </w:p>
        </w:tc>
      </w:tr>
      <w:tr w14:paraId="72C99A9E">
        <w:tblPrEx>
          <w:tblCellMar>
            <w:top w:w="0" w:type="dxa"/>
            <w:left w:w="0" w:type="dxa"/>
            <w:bottom w:w="0" w:type="dxa"/>
            <w:right w:w="0" w:type="dxa"/>
          </w:tblCellMar>
        </w:tblPrEx>
        <w:trPr>
          <w:trHeight w:val="506" w:hRule="atLeast"/>
        </w:trPr>
        <w:tc>
          <w:tcPr>
            <w:tcW w:w="9130" w:type="dxa"/>
            <w:gridSpan w:val="4"/>
            <w:tcBorders>
              <w:top w:val="single" w:color="000000" w:sz="4" w:space="0"/>
              <w:left w:val="single" w:color="000000" w:sz="4" w:space="0"/>
              <w:bottom w:val="single" w:color="000000" w:sz="4" w:space="0"/>
              <w:right w:val="single" w:color="000000" w:sz="4" w:space="0"/>
            </w:tcBorders>
            <w:noWrap w:val="0"/>
            <w:vAlign w:val="top"/>
          </w:tcPr>
          <w:p w14:paraId="172AD791">
            <w:pPr>
              <w:snapToGrid w:val="0"/>
              <w:rPr>
                <w:rFonts w:ascii="Arial" w:hAnsi="Arial"/>
                <w:color w:val="auto"/>
                <w:sz w:val="24"/>
                <w:highlight w:val="none"/>
              </w:rPr>
            </w:pPr>
          </w:p>
        </w:tc>
      </w:tr>
      <w:tr w14:paraId="6871ED59">
        <w:tblPrEx>
          <w:tblCellMar>
            <w:top w:w="0" w:type="dxa"/>
            <w:left w:w="0" w:type="dxa"/>
            <w:bottom w:w="0" w:type="dxa"/>
            <w:right w:w="0" w:type="dxa"/>
          </w:tblCellMar>
        </w:tblPrEx>
        <w:trPr>
          <w:trHeight w:val="505" w:hRule="atLeast"/>
        </w:trPr>
        <w:tc>
          <w:tcPr>
            <w:tcW w:w="9130" w:type="dxa"/>
            <w:gridSpan w:val="4"/>
            <w:tcBorders>
              <w:top w:val="single" w:color="000000" w:sz="4" w:space="0"/>
              <w:left w:val="single" w:color="000000" w:sz="4" w:space="0"/>
              <w:bottom w:val="single" w:color="000000" w:sz="4" w:space="0"/>
              <w:right w:val="single" w:color="000000" w:sz="4" w:space="0"/>
            </w:tcBorders>
            <w:noWrap w:val="0"/>
            <w:vAlign w:val="top"/>
          </w:tcPr>
          <w:p w14:paraId="2A95870E">
            <w:pPr>
              <w:snapToGrid w:val="0"/>
              <w:rPr>
                <w:rFonts w:ascii="Arial" w:hAnsi="Arial"/>
                <w:color w:val="auto"/>
                <w:highlight w:val="none"/>
              </w:rPr>
            </w:pPr>
          </w:p>
        </w:tc>
      </w:tr>
      <w:tr w14:paraId="37C54922">
        <w:tblPrEx>
          <w:tblCellMar>
            <w:top w:w="0" w:type="dxa"/>
            <w:left w:w="0" w:type="dxa"/>
            <w:bottom w:w="0" w:type="dxa"/>
            <w:right w:w="0" w:type="dxa"/>
          </w:tblCellMar>
        </w:tblPrEx>
        <w:trPr>
          <w:trHeight w:val="506" w:hRule="atLeast"/>
        </w:trPr>
        <w:tc>
          <w:tcPr>
            <w:tcW w:w="9130" w:type="dxa"/>
            <w:gridSpan w:val="4"/>
            <w:tcBorders>
              <w:top w:val="single" w:color="000000" w:sz="4" w:space="0"/>
              <w:left w:val="single" w:color="000000" w:sz="4" w:space="0"/>
              <w:bottom w:val="single" w:color="000000" w:sz="4" w:space="0"/>
              <w:right w:val="single" w:color="000000" w:sz="4" w:space="0"/>
            </w:tcBorders>
            <w:noWrap w:val="0"/>
            <w:vAlign w:val="top"/>
          </w:tcPr>
          <w:p w14:paraId="5EDE94E5">
            <w:pPr>
              <w:snapToGrid w:val="0"/>
              <w:rPr>
                <w:rFonts w:ascii="Arial" w:hAnsi="Arial"/>
                <w:color w:val="auto"/>
                <w:highlight w:val="none"/>
              </w:rPr>
            </w:pPr>
          </w:p>
        </w:tc>
      </w:tr>
      <w:tr w14:paraId="0C294854">
        <w:tblPrEx>
          <w:tblCellMar>
            <w:top w:w="0" w:type="dxa"/>
            <w:left w:w="0" w:type="dxa"/>
            <w:bottom w:w="0" w:type="dxa"/>
            <w:right w:w="0" w:type="dxa"/>
          </w:tblCellMar>
        </w:tblPrEx>
        <w:trPr>
          <w:trHeight w:val="490" w:hRule="atLeast"/>
        </w:trPr>
        <w:tc>
          <w:tcPr>
            <w:tcW w:w="9130" w:type="dxa"/>
            <w:gridSpan w:val="4"/>
            <w:tcBorders>
              <w:top w:val="single" w:color="000000" w:sz="4" w:space="0"/>
              <w:left w:val="single" w:color="000000" w:sz="4" w:space="0"/>
              <w:bottom w:val="single" w:color="000000" w:sz="4" w:space="0"/>
              <w:right w:val="single" w:color="000000" w:sz="4" w:space="0"/>
            </w:tcBorders>
            <w:noWrap w:val="0"/>
            <w:vAlign w:val="top"/>
          </w:tcPr>
          <w:p w14:paraId="6F51F012">
            <w:pPr>
              <w:snapToGrid w:val="0"/>
              <w:rPr>
                <w:rFonts w:ascii="Arial" w:hAnsi="Arial"/>
                <w:color w:val="auto"/>
                <w:highlight w:val="none"/>
              </w:rPr>
            </w:pPr>
          </w:p>
        </w:tc>
      </w:tr>
      <w:tr w14:paraId="2EE403F2">
        <w:tblPrEx>
          <w:tblCellMar>
            <w:top w:w="0" w:type="dxa"/>
            <w:left w:w="0" w:type="dxa"/>
            <w:bottom w:w="0" w:type="dxa"/>
            <w:right w:w="0" w:type="dxa"/>
          </w:tblCellMar>
        </w:tblPrEx>
        <w:trPr>
          <w:trHeight w:val="521" w:hRule="atLeast"/>
        </w:trPr>
        <w:tc>
          <w:tcPr>
            <w:tcW w:w="9130" w:type="dxa"/>
            <w:gridSpan w:val="4"/>
            <w:tcBorders>
              <w:top w:val="single" w:color="000000" w:sz="4" w:space="0"/>
              <w:left w:val="single" w:color="000000" w:sz="4" w:space="0"/>
              <w:bottom w:val="single" w:color="000000" w:sz="4" w:space="0"/>
              <w:right w:val="single" w:color="000000" w:sz="4" w:space="0"/>
            </w:tcBorders>
            <w:noWrap w:val="0"/>
            <w:vAlign w:val="top"/>
          </w:tcPr>
          <w:p w14:paraId="227F0528">
            <w:pPr>
              <w:snapToGrid w:val="0"/>
              <w:rPr>
                <w:rFonts w:ascii="Arial" w:hAnsi="Arial"/>
                <w:color w:val="auto"/>
                <w:highlight w:val="none"/>
              </w:rPr>
            </w:pPr>
          </w:p>
        </w:tc>
      </w:tr>
      <w:tr w14:paraId="29BA3A1A">
        <w:tblPrEx>
          <w:tblCellMar>
            <w:top w:w="0" w:type="dxa"/>
            <w:left w:w="0" w:type="dxa"/>
            <w:bottom w:w="0" w:type="dxa"/>
            <w:right w:w="0" w:type="dxa"/>
          </w:tblCellMar>
        </w:tblPrEx>
        <w:trPr>
          <w:trHeight w:val="490" w:hRule="atLeast"/>
        </w:trPr>
        <w:tc>
          <w:tcPr>
            <w:tcW w:w="9130" w:type="dxa"/>
            <w:gridSpan w:val="4"/>
            <w:tcBorders>
              <w:top w:val="single" w:color="000000" w:sz="4" w:space="0"/>
              <w:left w:val="single" w:color="000000" w:sz="4" w:space="0"/>
              <w:bottom w:val="single" w:color="000000" w:sz="4" w:space="0"/>
              <w:right w:val="single" w:color="000000" w:sz="4" w:space="0"/>
            </w:tcBorders>
            <w:noWrap w:val="0"/>
            <w:vAlign w:val="top"/>
          </w:tcPr>
          <w:p w14:paraId="48E144EC">
            <w:pPr>
              <w:pStyle w:val="95"/>
              <w:spacing w:before="33" w:line="196" w:lineRule="auto"/>
              <w:ind w:left="565"/>
              <w:rPr>
                <w:color w:val="auto"/>
                <w:highlight w:val="none"/>
              </w:rPr>
            </w:pPr>
            <w:r>
              <w:rPr>
                <w:color w:val="auto"/>
                <w:spacing w:val="-1"/>
                <w:sz w:val="24"/>
                <w:szCs w:val="24"/>
                <w:highlight w:val="none"/>
              </w:rPr>
              <w:t>(2)整改意见和要求：</w:t>
            </w:r>
          </w:p>
        </w:tc>
      </w:tr>
      <w:tr w14:paraId="40626C0D">
        <w:tblPrEx>
          <w:tblCellMar>
            <w:top w:w="0" w:type="dxa"/>
            <w:left w:w="0" w:type="dxa"/>
            <w:bottom w:w="0" w:type="dxa"/>
            <w:right w:w="0" w:type="dxa"/>
          </w:tblCellMar>
        </w:tblPrEx>
        <w:trPr>
          <w:trHeight w:val="506" w:hRule="atLeast"/>
        </w:trPr>
        <w:tc>
          <w:tcPr>
            <w:tcW w:w="9130" w:type="dxa"/>
            <w:gridSpan w:val="4"/>
            <w:tcBorders>
              <w:top w:val="single" w:color="000000" w:sz="4" w:space="0"/>
              <w:left w:val="single" w:color="000000" w:sz="4" w:space="0"/>
              <w:bottom w:val="single" w:color="000000" w:sz="4" w:space="0"/>
              <w:right w:val="single" w:color="000000" w:sz="4" w:space="0"/>
            </w:tcBorders>
            <w:noWrap w:val="0"/>
            <w:vAlign w:val="top"/>
          </w:tcPr>
          <w:p w14:paraId="3C5A405E">
            <w:pPr>
              <w:snapToGrid w:val="0"/>
              <w:rPr>
                <w:rFonts w:ascii="Arial" w:hAnsi="Arial"/>
                <w:color w:val="auto"/>
                <w:sz w:val="24"/>
                <w:highlight w:val="none"/>
              </w:rPr>
            </w:pPr>
          </w:p>
        </w:tc>
      </w:tr>
      <w:tr w14:paraId="4E54B97E">
        <w:tblPrEx>
          <w:tblCellMar>
            <w:top w:w="0" w:type="dxa"/>
            <w:left w:w="0" w:type="dxa"/>
            <w:bottom w:w="0" w:type="dxa"/>
            <w:right w:w="0" w:type="dxa"/>
          </w:tblCellMar>
        </w:tblPrEx>
        <w:trPr>
          <w:trHeight w:val="505" w:hRule="atLeast"/>
        </w:trPr>
        <w:tc>
          <w:tcPr>
            <w:tcW w:w="9130" w:type="dxa"/>
            <w:gridSpan w:val="4"/>
            <w:tcBorders>
              <w:top w:val="single" w:color="000000" w:sz="4" w:space="0"/>
              <w:left w:val="single" w:color="000000" w:sz="4" w:space="0"/>
              <w:bottom w:val="single" w:color="000000" w:sz="4" w:space="0"/>
              <w:right w:val="single" w:color="000000" w:sz="4" w:space="0"/>
            </w:tcBorders>
            <w:noWrap w:val="0"/>
            <w:vAlign w:val="top"/>
          </w:tcPr>
          <w:p w14:paraId="606E9BF5">
            <w:pPr>
              <w:snapToGrid w:val="0"/>
              <w:rPr>
                <w:rFonts w:ascii="Arial" w:hAnsi="Arial"/>
                <w:color w:val="auto"/>
                <w:highlight w:val="none"/>
              </w:rPr>
            </w:pPr>
          </w:p>
        </w:tc>
      </w:tr>
      <w:tr w14:paraId="294446C5">
        <w:tblPrEx>
          <w:tblCellMar>
            <w:top w:w="0" w:type="dxa"/>
            <w:left w:w="0" w:type="dxa"/>
            <w:bottom w:w="0" w:type="dxa"/>
            <w:right w:w="0" w:type="dxa"/>
          </w:tblCellMar>
        </w:tblPrEx>
        <w:trPr>
          <w:trHeight w:val="506" w:hRule="atLeast"/>
        </w:trPr>
        <w:tc>
          <w:tcPr>
            <w:tcW w:w="9130" w:type="dxa"/>
            <w:gridSpan w:val="4"/>
            <w:tcBorders>
              <w:top w:val="single" w:color="000000" w:sz="4" w:space="0"/>
              <w:left w:val="single" w:color="000000" w:sz="4" w:space="0"/>
              <w:bottom w:val="single" w:color="000000" w:sz="4" w:space="0"/>
              <w:right w:val="single" w:color="000000" w:sz="4" w:space="0"/>
            </w:tcBorders>
            <w:noWrap w:val="0"/>
            <w:vAlign w:val="top"/>
          </w:tcPr>
          <w:p w14:paraId="3476328A">
            <w:pPr>
              <w:snapToGrid w:val="0"/>
              <w:rPr>
                <w:rFonts w:ascii="Arial" w:hAnsi="Arial"/>
                <w:color w:val="auto"/>
                <w:highlight w:val="none"/>
              </w:rPr>
            </w:pPr>
          </w:p>
        </w:tc>
      </w:tr>
      <w:tr w14:paraId="29FDA4D7">
        <w:tblPrEx>
          <w:tblCellMar>
            <w:top w:w="0" w:type="dxa"/>
            <w:left w:w="0" w:type="dxa"/>
            <w:bottom w:w="0" w:type="dxa"/>
            <w:right w:w="0" w:type="dxa"/>
          </w:tblCellMar>
        </w:tblPrEx>
        <w:trPr>
          <w:trHeight w:val="521" w:hRule="atLeast"/>
        </w:trPr>
        <w:tc>
          <w:tcPr>
            <w:tcW w:w="9130" w:type="dxa"/>
            <w:gridSpan w:val="4"/>
            <w:tcBorders>
              <w:top w:val="single" w:color="000000" w:sz="4" w:space="0"/>
              <w:left w:val="single" w:color="000000" w:sz="4" w:space="0"/>
              <w:bottom w:val="single" w:color="000000" w:sz="4" w:space="0"/>
              <w:right w:val="single" w:color="000000" w:sz="4" w:space="0"/>
            </w:tcBorders>
            <w:noWrap w:val="0"/>
            <w:vAlign w:val="top"/>
          </w:tcPr>
          <w:p w14:paraId="04F6F62D">
            <w:pPr>
              <w:pStyle w:val="95"/>
              <w:spacing w:before="45" w:line="201" w:lineRule="auto"/>
              <w:ind w:left="5155"/>
              <w:rPr>
                <w:color w:val="auto"/>
                <w:highlight w:val="none"/>
              </w:rPr>
            </w:pPr>
            <w:r>
              <w:rPr>
                <w:color w:val="auto"/>
                <w:spacing w:val="-1"/>
                <w:sz w:val="24"/>
                <w:szCs w:val="24"/>
                <w:highlight w:val="none"/>
              </w:rPr>
              <w:t>部门负责人：</w:t>
            </w:r>
          </w:p>
        </w:tc>
      </w:tr>
      <w:tr w14:paraId="3AD56820">
        <w:tblPrEx>
          <w:tblCellMar>
            <w:top w:w="0" w:type="dxa"/>
            <w:left w:w="0" w:type="dxa"/>
            <w:bottom w:w="0" w:type="dxa"/>
            <w:right w:w="0" w:type="dxa"/>
          </w:tblCellMar>
        </w:tblPrEx>
        <w:trPr>
          <w:trHeight w:val="1697" w:hRule="atLeast"/>
        </w:trPr>
        <w:tc>
          <w:tcPr>
            <w:tcW w:w="9130" w:type="dxa"/>
            <w:gridSpan w:val="4"/>
            <w:tcBorders>
              <w:top w:val="single" w:color="000000" w:sz="4" w:space="0"/>
              <w:left w:val="single" w:color="000000" w:sz="4" w:space="0"/>
              <w:bottom w:val="single" w:color="000000" w:sz="4" w:space="0"/>
              <w:right w:val="single" w:color="000000" w:sz="4" w:space="0"/>
            </w:tcBorders>
            <w:noWrap w:val="0"/>
            <w:vAlign w:val="top"/>
          </w:tcPr>
          <w:p w14:paraId="6D8AAB50">
            <w:pPr>
              <w:pStyle w:val="95"/>
              <w:spacing w:before="36" w:line="218" w:lineRule="auto"/>
              <w:ind w:left="565"/>
              <w:rPr>
                <w:color w:val="auto"/>
                <w:sz w:val="24"/>
                <w:szCs w:val="24"/>
                <w:highlight w:val="none"/>
              </w:rPr>
            </w:pPr>
            <w:r>
              <w:rPr>
                <w:color w:val="auto"/>
                <w:spacing w:val="-1"/>
                <w:sz w:val="24"/>
                <w:szCs w:val="24"/>
                <w:highlight w:val="none"/>
              </w:rPr>
              <w:t>综合评定结论：</w:t>
            </w:r>
          </w:p>
          <w:p w14:paraId="5B4EDDFC">
            <w:pPr>
              <w:pStyle w:val="95"/>
              <w:spacing w:before="11" w:line="223" w:lineRule="auto"/>
              <w:ind w:left="565" w:right="4113"/>
              <w:rPr>
                <w:color w:val="auto"/>
                <w:highlight w:val="none"/>
              </w:rPr>
            </w:pPr>
            <w:r>
              <w:rPr>
                <w:color w:val="auto"/>
                <w:sz w:val="24"/>
                <w:szCs w:val="24"/>
                <w:highlight w:val="none"/>
              </w:rPr>
              <w:t>本考核期总得分：</w:t>
            </w:r>
            <w:r>
              <w:rPr>
                <w:rFonts w:hint="eastAsia"/>
                <w:color w:val="auto"/>
                <w:sz w:val="24"/>
                <w:szCs w:val="24"/>
                <w:highlight w:val="none"/>
                <w:lang w:val="en-US" w:eastAsia="zh-CN"/>
              </w:rPr>
              <w:t xml:space="preserve">    </w:t>
            </w:r>
            <w:r>
              <w:rPr>
                <w:color w:val="auto"/>
                <w:sz w:val="24"/>
                <w:szCs w:val="24"/>
                <w:highlight w:val="none"/>
              </w:rPr>
              <w:t>分，应扣除费用为元。本期实际支付的费用为</w:t>
            </w:r>
            <w:r>
              <w:rPr>
                <w:rFonts w:hint="eastAsia"/>
                <w:color w:val="auto"/>
                <w:sz w:val="24"/>
                <w:szCs w:val="24"/>
                <w:highlight w:val="none"/>
                <w:lang w:val="en-US" w:eastAsia="zh-CN"/>
              </w:rPr>
              <w:t xml:space="preserve">      </w:t>
            </w:r>
            <w:r>
              <w:rPr>
                <w:color w:val="auto"/>
                <w:sz w:val="24"/>
                <w:szCs w:val="24"/>
                <w:highlight w:val="none"/>
              </w:rPr>
              <w:t>元整。</w:t>
            </w:r>
          </w:p>
        </w:tc>
      </w:tr>
      <w:tr w14:paraId="796BCB11">
        <w:tblPrEx>
          <w:tblCellMar>
            <w:top w:w="0" w:type="dxa"/>
            <w:left w:w="0" w:type="dxa"/>
            <w:bottom w:w="0" w:type="dxa"/>
            <w:right w:w="0" w:type="dxa"/>
          </w:tblCellMar>
        </w:tblPrEx>
        <w:trPr>
          <w:trHeight w:val="2479" w:hRule="atLeast"/>
        </w:trPr>
        <w:tc>
          <w:tcPr>
            <w:tcW w:w="3051" w:type="dxa"/>
            <w:gridSpan w:val="2"/>
            <w:tcBorders>
              <w:top w:val="single" w:color="000000" w:sz="4" w:space="0"/>
              <w:left w:val="single" w:color="000000" w:sz="4" w:space="0"/>
              <w:bottom w:val="single" w:color="000000" w:sz="4" w:space="0"/>
              <w:right w:val="single" w:color="000000" w:sz="4" w:space="0"/>
            </w:tcBorders>
            <w:noWrap w:val="0"/>
            <w:vAlign w:val="top"/>
          </w:tcPr>
          <w:p w14:paraId="3067D3BA">
            <w:pPr>
              <w:pStyle w:val="95"/>
              <w:spacing w:before="47" w:line="218" w:lineRule="auto"/>
              <w:ind w:left="94"/>
              <w:rPr>
                <w:color w:val="auto"/>
                <w:spacing w:val="-1"/>
                <w:position w:val="1"/>
                <w:sz w:val="24"/>
                <w:szCs w:val="24"/>
                <w:highlight w:val="none"/>
              </w:rPr>
            </w:pPr>
            <w:r>
              <w:rPr>
                <w:color w:val="auto"/>
                <w:spacing w:val="-2"/>
                <w:sz w:val="24"/>
                <w:szCs w:val="24"/>
                <w:highlight w:val="none"/>
              </w:rPr>
              <w:t>承包方负责人</w:t>
            </w:r>
          </w:p>
          <w:p w14:paraId="5695C6C3">
            <w:pPr>
              <w:pStyle w:val="95"/>
              <w:spacing w:before="315" w:line="228" w:lineRule="auto"/>
              <w:ind w:left="94"/>
              <w:rPr>
                <w:color w:val="auto"/>
                <w:highlight w:val="none"/>
              </w:rPr>
            </w:pPr>
            <w:r>
              <w:rPr>
                <w:color w:val="auto"/>
                <w:spacing w:val="-1"/>
                <w:position w:val="1"/>
                <w:sz w:val="24"/>
                <w:szCs w:val="24"/>
                <w:highlight w:val="none"/>
              </w:rPr>
              <w:t>签字：</w:t>
            </w:r>
            <w:r>
              <w:rPr>
                <w:color w:val="auto"/>
                <w:spacing w:val="6"/>
                <w:position w:val="1"/>
                <w:sz w:val="24"/>
                <w:szCs w:val="24"/>
                <w:highlight w:val="none"/>
              </w:rPr>
              <w:t xml:space="preserve">       </w:t>
            </w:r>
            <w:r>
              <w:rPr>
                <w:color w:val="auto"/>
                <w:spacing w:val="-1"/>
                <w:position w:val="-1"/>
                <w:sz w:val="24"/>
                <w:szCs w:val="24"/>
                <w:highlight w:val="none"/>
              </w:rPr>
              <w:t>日期：</w:t>
            </w:r>
          </w:p>
        </w:tc>
        <w:tc>
          <w:tcPr>
            <w:tcW w:w="3037" w:type="dxa"/>
            <w:tcBorders>
              <w:top w:val="single" w:color="000000" w:sz="4" w:space="0"/>
              <w:left w:val="single" w:color="000000" w:sz="4" w:space="0"/>
              <w:bottom w:val="single" w:color="000000" w:sz="4" w:space="0"/>
              <w:right w:val="single" w:color="000000" w:sz="4" w:space="0"/>
            </w:tcBorders>
            <w:noWrap w:val="0"/>
            <w:vAlign w:val="top"/>
          </w:tcPr>
          <w:p w14:paraId="18B4454A">
            <w:pPr>
              <w:pStyle w:val="95"/>
              <w:spacing w:before="37" w:line="218" w:lineRule="auto"/>
              <w:ind w:left="84"/>
              <w:rPr>
                <w:rFonts w:ascii="Arial" w:hAnsi="Arial"/>
                <w:color w:val="auto"/>
                <w:sz w:val="24"/>
                <w:szCs w:val="24"/>
                <w:highlight w:val="none"/>
              </w:rPr>
            </w:pPr>
            <w:r>
              <w:rPr>
                <w:color w:val="auto"/>
                <w:spacing w:val="3"/>
                <w:sz w:val="24"/>
                <w:szCs w:val="24"/>
                <w:highlight w:val="none"/>
              </w:rPr>
              <w:t>维序督导</w:t>
            </w:r>
          </w:p>
          <w:p w14:paraId="45F087D0">
            <w:pPr>
              <w:spacing w:line="242" w:lineRule="auto"/>
              <w:rPr>
                <w:rFonts w:ascii="Arial" w:hAnsi="Arial"/>
                <w:color w:val="auto"/>
                <w:sz w:val="24"/>
                <w:highlight w:val="none"/>
              </w:rPr>
            </w:pPr>
          </w:p>
          <w:p w14:paraId="2FBE9E3B">
            <w:pPr>
              <w:pStyle w:val="95"/>
              <w:spacing w:before="78" w:line="218" w:lineRule="auto"/>
              <w:ind w:left="84"/>
              <w:rPr>
                <w:color w:val="auto"/>
                <w:highlight w:val="none"/>
              </w:rPr>
            </w:pPr>
            <w:r>
              <w:rPr>
                <w:color w:val="auto"/>
                <w:sz w:val="24"/>
                <w:szCs w:val="24"/>
                <w:highlight w:val="none"/>
              </w:rPr>
              <w:t>签字：       日期：</w:t>
            </w:r>
          </w:p>
        </w:tc>
        <w:tc>
          <w:tcPr>
            <w:tcW w:w="3042" w:type="dxa"/>
            <w:tcBorders>
              <w:top w:val="single" w:color="000000" w:sz="4" w:space="0"/>
              <w:left w:val="single" w:color="000000" w:sz="4" w:space="0"/>
              <w:bottom w:val="single" w:color="000000" w:sz="4" w:space="0"/>
              <w:right w:val="single" w:color="000000" w:sz="4" w:space="0"/>
            </w:tcBorders>
            <w:noWrap w:val="0"/>
            <w:vAlign w:val="top"/>
          </w:tcPr>
          <w:p w14:paraId="6FC59E82">
            <w:pPr>
              <w:pStyle w:val="95"/>
              <w:spacing w:before="27" w:line="218" w:lineRule="auto"/>
              <w:ind w:left="97"/>
              <w:rPr>
                <w:rFonts w:ascii="Arial" w:hAnsi="Arial"/>
                <w:color w:val="auto"/>
                <w:sz w:val="24"/>
                <w:szCs w:val="24"/>
                <w:highlight w:val="none"/>
              </w:rPr>
            </w:pPr>
            <w:r>
              <w:rPr>
                <w:color w:val="auto"/>
                <w:spacing w:val="-2"/>
                <w:sz w:val="24"/>
                <w:szCs w:val="24"/>
                <w:highlight w:val="none"/>
              </w:rPr>
              <w:t>物业服务处</w:t>
            </w:r>
          </w:p>
          <w:p w14:paraId="0FB378E6">
            <w:pPr>
              <w:spacing w:line="254" w:lineRule="auto"/>
              <w:rPr>
                <w:rFonts w:ascii="Arial" w:hAnsi="Arial"/>
                <w:color w:val="auto"/>
                <w:sz w:val="24"/>
                <w:highlight w:val="none"/>
              </w:rPr>
            </w:pPr>
          </w:p>
          <w:p w14:paraId="18824B5A">
            <w:pPr>
              <w:pStyle w:val="95"/>
              <w:spacing w:before="78" w:line="218" w:lineRule="auto"/>
              <w:ind w:left="97"/>
              <w:rPr>
                <w:color w:val="auto"/>
                <w:highlight w:val="none"/>
              </w:rPr>
            </w:pPr>
            <w:r>
              <w:rPr>
                <w:color w:val="auto"/>
                <w:spacing w:val="1"/>
                <w:sz w:val="24"/>
                <w:szCs w:val="24"/>
                <w:highlight w:val="none"/>
              </w:rPr>
              <w:t>签字：       日期：</w:t>
            </w:r>
          </w:p>
        </w:tc>
      </w:tr>
      <w:tr w14:paraId="4C45F258">
        <w:tblPrEx>
          <w:tblCellMar>
            <w:top w:w="0" w:type="dxa"/>
            <w:left w:w="0" w:type="dxa"/>
            <w:bottom w:w="0" w:type="dxa"/>
            <w:right w:w="0" w:type="dxa"/>
          </w:tblCellMar>
        </w:tblPrEx>
        <w:trPr>
          <w:trHeight w:val="1526" w:hRule="atLeast"/>
        </w:trPr>
        <w:tc>
          <w:tcPr>
            <w:tcW w:w="9130" w:type="dxa"/>
            <w:gridSpan w:val="4"/>
            <w:tcBorders>
              <w:top w:val="single" w:color="000000" w:sz="4" w:space="0"/>
              <w:left w:val="single" w:color="000000" w:sz="4" w:space="0"/>
              <w:bottom w:val="single" w:color="000000" w:sz="4" w:space="0"/>
              <w:right w:val="single" w:color="000000" w:sz="4" w:space="0"/>
            </w:tcBorders>
            <w:noWrap w:val="0"/>
            <w:vAlign w:val="top"/>
          </w:tcPr>
          <w:p w14:paraId="481669B8">
            <w:pPr>
              <w:pStyle w:val="95"/>
              <w:spacing w:before="49" w:line="218" w:lineRule="auto"/>
              <w:rPr>
                <w:color w:val="auto"/>
                <w:spacing w:val="1"/>
                <w:sz w:val="24"/>
                <w:szCs w:val="24"/>
                <w:highlight w:val="none"/>
              </w:rPr>
            </w:pPr>
            <w:r>
              <w:rPr>
                <w:color w:val="auto"/>
                <w:sz w:val="24"/>
                <w:szCs w:val="24"/>
                <w:highlight w:val="none"/>
              </w:rPr>
              <w:t>物业分管领导审批意见：</w:t>
            </w:r>
          </w:p>
          <w:p w14:paraId="4A607BDB">
            <w:pPr>
              <w:pStyle w:val="95"/>
              <w:spacing w:before="315" w:line="208" w:lineRule="auto"/>
              <w:ind w:left="3464"/>
              <w:rPr>
                <w:color w:val="auto"/>
                <w:highlight w:val="none"/>
              </w:rPr>
            </w:pPr>
            <w:r>
              <w:rPr>
                <w:color w:val="auto"/>
                <w:spacing w:val="1"/>
                <w:sz w:val="24"/>
                <w:szCs w:val="24"/>
                <w:highlight w:val="none"/>
              </w:rPr>
              <w:t xml:space="preserve">签字：                </w:t>
            </w:r>
            <w:r>
              <w:rPr>
                <w:color w:val="auto"/>
                <w:sz w:val="24"/>
                <w:szCs w:val="24"/>
                <w:highlight w:val="none"/>
              </w:rPr>
              <w:t xml:space="preserve">  日期：</w:t>
            </w:r>
          </w:p>
        </w:tc>
      </w:tr>
    </w:tbl>
    <w:p w14:paraId="13C852BC">
      <w:pPr>
        <w:pStyle w:val="15"/>
        <w:rPr>
          <w:color w:val="auto"/>
          <w:highlight w:val="none"/>
        </w:rPr>
      </w:pPr>
    </w:p>
    <w:p w14:paraId="5D281468">
      <w:pPr>
        <w:pStyle w:val="15"/>
        <w:rPr>
          <w:color w:val="auto"/>
          <w:highlight w:val="none"/>
        </w:rPr>
      </w:pPr>
    </w:p>
    <w:p w14:paraId="223D0E45">
      <w:pPr>
        <w:rPr>
          <w:rFonts w:hint="eastAsia" w:ascii="方正小标宋简体" w:hAnsi="方正小标宋简体" w:eastAsia="方正小标宋简体" w:cs="方正小标宋简体"/>
          <w:bCs/>
          <w:color w:val="auto"/>
          <w:sz w:val="32"/>
          <w:szCs w:val="44"/>
          <w:highlight w:val="none"/>
        </w:rPr>
      </w:pPr>
      <w:r>
        <w:rPr>
          <w:rFonts w:hint="eastAsia" w:ascii="宋体" w:hAnsi="宋体" w:cs="宋体"/>
          <w:b/>
          <w:bCs/>
          <w:color w:val="auto"/>
          <w:spacing w:val="-20"/>
          <w:sz w:val="26"/>
          <w:szCs w:val="26"/>
          <w:highlight w:val="none"/>
        </w:rPr>
        <w:t>附件九：</w:t>
      </w:r>
    </w:p>
    <w:p w14:paraId="1B3036D0">
      <w:pPr>
        <w:spacing w:line="560" w:lineRule="exact"/>
        <w:jc w:val="center"/>
        <w:rPr>
          <w:rFonts w:hint="eastAsia" w:ascii="仿宋" w:hAnsi="仿宋" w:eastAsia="仿宋" w:cs="仿宋"/>
          <w:bCs/>
          <w:color w:val="auto"/>
          <w:sz w:val="28"/>
          <w:szCs w:val="28"/>
          <w:highlight w:val="none"/>
        </w:rPr>
      </w:pPr>
      <w:r>
        <w:rPr>
          <w:rFonts w:hint="eastAsia" w:ascii="方正小标宋简体" w:hAnsi="方正小标宋简体" w:eastAsia="方正小标宋简体" w:cs="方正小标宋简体"/>
          <w:bCs/>
          <w:color w:val="auto"/>
          <w:sz w:val="32"/>
          <w:szCs w:val="44"/>
          <w:highlight w:val="none"/>
        </w:rPr>
        <w:t>廉洁承诺书</w:t>
      </w:r>
    </w:p>
    <w:p w14:paraId="717AD559">
      <w:pPr>
        <w:rPr>
          <w:rFonts w:hint="eastAsia" w:ascii="仿宋" w:hAnsi="仿宋" w:eastAsia="仿宋" w:cs="仿宋"/>
          <w:bCs/>
          <w:color w:val="auto"/>
          <w:sz w:val="28"/>
          <w:szCs w:val="28"/>
          <w:highlight w:val="none"/>
        </w:rPr>
      </w:pPr>
    </w:p>
    <w:p w14:paraId="7DFA7250">
      <w:pPr>
        <w:spacing w:line="400" w:lineRule="exact"/>
        <w:rPr>
          <w:rFonts w:hint="eastAsia" w:ascii="仿宋" w:hAnsi="仿宋" w:eastAsia="仿宋" w:cs="仿宋"/>
          <w:color w:val="auto"/>
          <w:sz w:val="28"/>
          <w:szCs w:val="32"/>
          <w:highlight w:val="none"/>
        </w:rPr>
      </w:pPr>
      <w:r>
        <w:rPr>
          <w:rFonts w:hint="eastAsia" w:ascii="仿宋" w:hAnsi="仿宋" w:eastAsia="仿宋" w:cs="仿宋"/>
          <w:color w:val="auto"/>
          <w:sz w:val="28"/>
          <w:szCs w:val="32"/>
          <w:highlight w:val="none"/>
        </w:rPr>
        <w:t>致厦门湖里国投物业服务有限公司：</w:t>
      </w:r>
    </w:p>
    <w:p w14:paraId="3E6C671C">
      <w:pPr>
        <w:spacing w:line="400" w:lineRule="exact"/>
        <w:ind w:firstLine="560"/>
        <w:rPr>
          <w:rFonts w:hint="eastAsia" w:ascii="仿宋" w:hAnsi="仿宋" w:eastAsia="仿宋" w:cs="仿宋"/>
          <w:color w:val="auto"/>
          <w:sz w:val="28"/>
          <w:szCs w:val="32"/>
          <w:highlight w:val="none"/>
        </w:rPr>
      </w:pPr>
      <w:r>
        <w:rPr>
          <w:rFonts w:hint="eastAsia" w:ascii="仿宋" w:hAnsi="仿宋" w:eastAsia="仿宋" w:cs="仿宋"/>
          <w:color w:val="auto"/>
          <w:sz w:val="28"/>
          <w:szCs w:val="32"/>
          <w:highlight w:val="none"/>
        </w:rPr>
        <w:t>为促进廉洁自律有关规定的落实，打击贿赂、以权谋私 等违法犯罪行为，保证各项经营活动健康有序开展，维护员 工职业操守，提高合作效率，本单位在与厦门湖里国投物业服务有限公司开展各项业务往来活动中承诺：</w:t>
      </w:r>
    </w:p>
    <w:p w14:paraId="3D09C2F1">
      <w:pPr>
        <w:spacing w:line="400" w:lineRule="exact"/>
        <w:ind w:firstLine="560"/>
        <w:rPr>
          <w:rFonts w:hint="eastAsia" w:ascii="仿宋" w:hAnsi="仿宋" w:eastAsia="仿宋" w:cs="仿宋"/>
          <w:color w:val="auto"/>
          <w:sz w:val="28"/>
          <w:szCs w:val="32"/>
          <w:highlight w:val="none"/>
        </w:rPr>
      </w:pPr>
      <w:r>
        <w:rPr>
          <w:rFonts w:hint="eastAsia" w:ascii="仿宋" w:hAnsi="仿宋" w:eastAsia="仿宋" w:cs="仿宋"/>
          <w:color w:val="auto"/>
          <w:sz w:val="28"/>
          <w:szCs w:val="32"/>
          <w:highlight w:val="none"/>
        </w:rPr>
        <w:t>一、自觉遵守国家法律、法规，按照《中华人民共和国 反不正当竞争法》《关于禁止商业贿赂行为的暂行规定》以 及有关要求进行各项业务活动。</w:t>
      </w:r>
    </w:p>
    <w:p w14:paraId="25935B04">
      <w:pPr>
        <w:spacing w:line="400" w:lineRule="exact"/>
        <w:ind w:firstLine="560"/>
        <w:rPr>
          <w:rFonts w:hint="eastAsia" w:ascii="仿宋" w:hAnsi="仿宋" w:eastAsia="仿宋" w:cs="仿宋"/>
          <w:color w:val="auto"/>
          <w:sz w:val="28"/>
          <w:szCs w:val="32"/>
          <w:highlight w:val="none"/>
        </w:rPr>
      </w:pPr>
      <w:r>
        <w:rPr>
          <w:rFonts w:hint="eastAsia" w:ascii="仿宋" w:hAnsi="仿宋" w:eastAsia="仿宋" w:cs="仿宋"/>
          <w:color w:val="auto"/>
          <w:sz w:val="28"/>
          <w:szCs w:val="32"/>
          <w:highlight w:val="none"/>
        </w:rPr>
        <w:t>二、不得向厦门湖里国投物业服务有限公司的工作人员及其亲属馈赠礼金、礼品(含有价证券);不得向厦门湖里国投物业服务有限公司的工作人员提供任何应由其个人支付报酬的劳务(如：建、修住宅等)和其它服务；不得为厦门湖里国投物业服务有限公司的工作人员安排可能影响公正执行公务的任何活动(如：旅游、高消费宴请、娱乐等);不得为厦门湖里国投物业服务有限公司的工作人员支付应由其个人支付的任何赞助费、宣传费、咨询费、劳务费等；不得为厦门湖里国投物业服务有限公司的工作人员报销任何名义 的个人消费凭证；不得为厦门湖里国投物业服务有限公司的工作人员安排违反社会公德的活动；不得为厦门湖里国投物 业服务有限公司的工作人员提供经商、办企业、消费提供特 殊便利或优惠等。</w:t>
      </w:r>
    </w:p>
    <w:p w14:paraId="7B46F9F2">
      <w:pPr>
        <w:spacing w:line="400" w:lineRule="exact"/>
        <w:ind w:firstLine="560"/>
        <w:rPr>
          <w:rFonts w:hint="eastAsia" w:ascii="仿宋" w:hAnsi="仿宋" w:eastAsia="仿宋" w:cs="仿宋"/>
          <w:color w:val="auto"/>
          <w:sz w:val="28"/>
          <w:szCs w:val="32"/>
          <w:highlight w:val="none"/>
        </w:rPr>
      </w:pPr>
      <w:r>
        <w:rPr>
          <w:rFonts w:hint="eastAsia" w:ascii="仿宋" w:hAnsi="仿宋" w:eastAsia="仿宋" w:cs="仿宋"/>
          <w:color w:val="auto"/>
          <w:sz w:val="28"/>
          <w:szCs w:val="32"/>
          <w:highlight w:val="none"/>
        </w:rPr>
        <w:t>三、不与其他经营者串通报价和投标，不排挤其他经营 者的公平竞争，损害其他经营者的合法权益；不在工程建设 的预决算编制工作中弄虚作假、高估冒算。</w:t>
      </w:r>
    </w:p>
    <w:p w14:paraId="2BB779C4">
      <w:pPr>
        <w:spacing w:line="400" w:lineRule="exact"/>
        <w:ind w:firstLine="560"/>
        <w:rPr>
          <w:rFonts w:hint="eastAsia" w:ascii="仿宋" w:hAnsi="仿宋" w:eastAsia="仿宋" w:cs="仿宋"/>
          <w:color w:val="auto"/>
          <w:sz w:val="28"/>
          <w:szCs w:val="32"/>
          <w:highlight w:val="none"/>
        </w:rPr>
      </w:pPr>
      <w:r>
        <w:rPr>
          <w:rFonts w:hint="eastAsia" w:ascii="仿宋" w:hAnsi="仿宋" w:eastAsia="仿宋" w:cs="仿宋"/>
          <w:color w:val="auto"/>
          <w:sz w:val="28"/>
          <w:szCs w:val="32"/>
          <w:highlight w:val="none"/>
        </w:rPr>
        <w:t>四、发现厦门湖里国投物业服务有限公司的工作人员有 受贿行为或索贿要求、徇私舞弊、滥用职权时，将予以举报 并 提 供 证 据 。 举 报 电 话 ： 5 3 8 2 8 9 9 ; 举 报 邮 箱 ： 3071079904@qq.com; 举报信件：厦门市湖里区园山南路792 号401室厦门湖里国投物业服务有限公司，总经理收。</w:t>
      </w:r>
    </w:p>
    <w:p w14:paraId="1B77995D">
      <w:pPr>
        <w:spacing w:line="400" w:lineRule="exact"/>
        <w:ind w:firstLine="560"/>
        <w:rPr>
          <w:rFonts w:hint="eastAsia" w:ascii="仿宋" w:hAnsi="仿宋" w:eastAsia="仿宋" w:cs="仿宋"/>
          <w:color w:val="auto"/>
          <w:sz w:val="28"/>
          <w:szCs w:val="32"/>
          <w:highlight w:val="none"/>
        </w:rPr>
      </w:pPr>
      <w:r>
        <w:rPr>
          <w:rFonts w:hint="eastAsia" w:ascii="仿宋" w:hAnsi="仿宋" w:eastAsia="仿宋" w:cs="仿宋"/>
          <w:color w:val="auto"/>
          <w:sz w:val="28"/>
          <w:szCs w:val="32"/>
          <w:highlight w:val="none"/>
        </w:rPr>
        <w:t>五、自觉接受监督，本单位及员工若有违反本承诺书(包括但不限于本承诺书所列举禁止项目),同意接受厦门湖里国投物业服务有限公司或当地政府相关部门处理。</w:t>
      </w:r>
    </w:p>
    <w:p w14:paraId="59B2261E">
      <w:pPr>
        <w:spacing w:line="400" w:lineRule="exact"/>
        <w:ind w:firstLine="560"/>
        <w:rPr>
          <w:rFonts w:hint="eastAsia" w:ascii="仿宋" w:hAnsi="仿宋" w:eastAsia="仿宋" w:cs="仿宋"/>
          <w:color w:val="auto"/>
          <w:sz w:val="28"/>
          <w:szCs w:val="32"/>
          <w:highlight w:val="none"/>
        </w:rPr>
      </w:pPr>
      <w:r>
        <w:rPr>
          <w:rFonts w:hint="eastAsia" w:ascii="仿宋" w:hAnsi="仿宋" w:eastAsia="仿宋" w:cs="仿宋"/>
          <w:color w:val="auto"/>
          <w:sz w:val="28"/>
          <w:szCs w:val="32"/>
          <w:highlight w:val="none"/>
        </w:rPr>
        <w:t>特此承诺。</w:t>
      </w:r>
    </w:p>
    <w:p w14:paraId="20B5417F">
      <w:pPr>
        <w:spacing w:line="400" w:lineRule="exact"/>
        <w:rPr>
          <w:rFonts w:hint="eastAsia" w:ascii="仿宋" w:hAnsi="仿宋" w:eastAsia="仿宋" w:cs="仿宋"/>
          <w:color w:val="auto"/>
          <w:sz w:val="28"/>
          <w:szCs w:val="32"/>
          <w:highlight w:val="none"/>
        </w:rPr>
      </w:pPr>
    </w:p>
    <w:p w14:paraId="2173A871">
      <w:pPr>
        <w:spacing w:line="400" w:lineRule="exact"/>
        <w:rPr>
          <w:rFonts w:hint="eastAsia" w:ascii="仿宋" w:hAnsi="仿宋" w:eastAsia="仿宋" w:cs="仿宋"/>
          <w:color w:val="auto"/>
          <w:sz w:val="28"/>
          <w:szCs w:val="32"/>
          <w:highlight w:val="none"/>
        </w:rPr>
      </w:pPr>
    </w:p>
    <w:p w14:paraId="5A7CA8AA">
      <w:pPr>
        <w:spacing w:line="400" w:lineRule="exact"/>
        <w:rPr>
          <w:rFonts w:hint="eastAsia" w:ascii="仿宋" w:hAnsi="仿宋" w:eastAsia="仿宋" w:cs="仿宋"/>
          <w:color w:val="auto"/>
          <w:sz w:val="28"/>
          <w:szCs w:val="32"/>
          <w:highlight w:val="none"/>
        </w:rPr>
      </w:pPr>
    </w:p>
    <w:p w14:paraId="210B157B">
      <w:pPr>
        <w:spacing w:line="400" w:lineRule="exact"/>
        <w:rPr>
          <w:rFonts w:hint="eastAsia" w:ascii="仿宋" w:hAnsi="仿宋" w:eastAsia="仿宋" w:cs="仿宋"/>
          <w:color w:val="auto"/>
          <w:sz w:val="28"/>
          <w:szCs w:val="32"/>
          <w:highlight w:val="none"/>
        </w:rPr>
      </w:pPr>
    </w:p>
    <w:p w14:paraId="2CEF9112">
      <w:pPr>
        <w:spacing w:line="400" w:lineRule="exact"/>
        <w:rPr>
          <w:rFonts w:hint="eastAsia" w:ascii="仿宋" w:hAnsi="仿宋" w:eastAsia="仿宋" w:cs="仿宋"/>
          <w:color w:val="auto"/>
          <w:sz w:val="28"/>
          <w:szCs w:val="32"/>
          <w:highlight w:val="none"/>
          <w:lang w:val="en-US" w:eastAsia="zh-CN"/>
        </w:rPr>
      </w:pPr>
      <w:r>
        <w:rPr>
          <w:rFonts w:hint="eastAsia" w:ascii="仿宋" w:hAnsi="仿宋" w:eastAsia="仿宋" w:cs="仿宋"/>
          <w:color w:val="auto"/>
          <w:sz w:val="28"/>
          <w:szCs w:val="32"/>
          <w:highlight w:val="none"/>
        </w:rPr>
        <w:t>承诺单位(盖章):</w:t>
      </w:r>
      <w:r>
        <w:rPr>
          <w:rFonts w:hint="eastAsia" w:ascii="仿宋" w:hAnsi="仿宋" w:eastAsia="仿宋" w:cs="仿宋"/>
          <w:color w:val="auto"/>
          <w:sz w:val="28"/>
          <w:szCs w:val="32"/>
          <w:highlight w:val="none"/>
          <w:lang w:val="en-US" w:eastAsia="zh-CN"/>
        </w:rPr>
        <w:t xml:space="preserve"> </w:t>
      </w:r>
    </w:p>
    <w:p w14:paraId="5D5BC237">
      <w:pPr>
        <w:spacing w:line="400" w:lineRule="exact"/>
        <w:rPr>
          <w:rFonts w:hint="eastAsia" w:ascii="宋体" w:hAnsi="宋体" w:cs="宋体"/>
          <w:b/>
          <w:bCs/>
          <w:color w:val="auto"/>
          <w:spacing w:val="-20"/>
          <w:sz w:val="26"/>
          <w:szCs w:val="26"/>
          <w:highlight w:val="none"/>
        </w:rPr>
      </w:pPr>
      <w:r>
        <w:rPr>
          <w:rFonts w:hint="eastAsia" w:ascii="仿宋" w:hAnsi="仿宋" w:eastAsia="仿宋" w:cs="仿宋"/>
          <w:color w:val="auto"/>
          <w:sz w:val="32"/>
          <w:szCs w:val="32"/>
          <w:highlight w:val="none"/>
        </w:rPr>
        <w:t>日期：</w:t>
      </w:r>
    </w:p>
    <w:p w14:paraId="7F9E1E30">
      <w:pPr>
        <w:pageBreakBefore/>
        <w:spacing w:line="400" w:lineRule="exact"/>
        <w:rPr>
          <w:rFonts w:hint="eastAsia" w:ascii="方正小标宋简体" w:hAnsi="方正小标宋简体" w:eastAsia="方正小标宋简体" w:cs="方正小标宋简体"/>
          <w:bCs/>
          <w:color w:val="auto"/>
          <w:sz w:val="32"/>
          <w:szCs w:val="44"/>
          <w:highlight w:val="none"/>
        </w:rPr>
      </w:pPr>
      <w:r>
        <w:rPr>
          <w:rFonts w:hint="eastAsia" w:ascii="宋体" w:hAnsi="宋体" w:cs="宋体"/>
          <w:b/>
          <w:bCs/>
          <w:color w:val="auto"/>
          <w:spacing w:val="-20"/>
          <w:sz w:val="26"/>
          <w:szCs w:val="26"/>
          <w:highlight w:val="none"/>
        </w:rPr>
        <w:t>附件十：</w:t>
      </w:r>
    </w:p>
    <w:p w14:paraId="194DC845">
      <w:pPr>
        <w:spacing w:line="500" w:lineRule="exact"/>
        <w:jc w:val="center"/>
        <w:rPr>
          <w:rFonts w:hint="eastAsia" w:ascii="宋体" w:hAnsi="宋体"/>
          <w:b/>
          <w:bCs/>
          <w:color w:val="auto"/>
          <w:sz w:val="32"/>
          <w:szCs w:val="32"/>
          <w:highlight w:val="none"/>
        </w:rPr>
      </w:pPr>
      <w:bookmarkStart w:id="201" w:name="OLE_LINK1"/>
      <w:bookmarkStart w:id="202" w:name="OLE_LINK2"/>
      <w:r>
        <w:rPr>
          <w:rFonts w:hint="eastAsia" w:ascii="宋体" w:hAnsi="宋体"/>
          <w:b/>
          <w:bCs/>
          <w:color w:val="auto"/>
          <w:sz w:val="32"/>
          <w:szCs w:val="32"/>
          <w:highlight w:val="none"/>
        </w:rPr>
        <w:t>维序外包安全生产管理协议</w:t>
      </w:r>
    </w:p>
    <w:p w14:paraId="51E095D6">
      <w:pPr>
        <w:widowControl/>
        <w:autoSpaceDE w:val="0"/>
        <w:autoSpaceDN w:val="0"/>
        <w:spacing w:line="400" w:lineRule="exact"/>
        <w:jc w:val="center"/>
        <w:rPr>
          <w:rFonts w:hint="eastAsia" w:ascii="宋体" w:hAnsi="宋体"/>
          <w:b/>
          <w:bCs/>
          <w:color w:val="auto"/>
          <w:kern w:val="0"/>
          <w:sz w:val="24"/>
          <w:szCs w:val="24"/>
          <w:highlight w:val="none"/>
        </w:rPr>
      </w:pPr>
      <w:r>
        <w:rPr>
          <w:rFonts w:hint="eastAsia" w:ascii="宋体" w:hAnsi="宋体"/>
          <w:b/>
          <w:bCs/>
          <w:color w:val="auto"/>
          <w:kern w:val="0"/>
          <w:highlight w:val="none"/>
        </w:rPr>
        <w:t xml:space="preserve">                                             </w:t>
      </w:r>
      <w:r>
        <w:rPr>
          <w:rFonts w:hint="eastAsia" w:ascii="宋体" w:hAnsi="宋体"/>
          <w:b/>
          <w:bCs/>
          <w:color w:val="auto"/>
          <w:kern w:val="0"/>
          <w:sz w:val="24"/>
          <w:szCs w:val="24"/>
          <w:highlight w:val="none"/>
        </w:rPr>
        <w:t xml:space="preserve"> 合同编号：</w:t>
      </w:r>
    </w:p>
    <w:p w14:paraId="378D5FCF">
      <w:pPr>
        <w:widowControl/>
        <w:autoSpaceDE w:val="0"/>
        <w:autoSpaceDN w:val="0"/>
        <w:spacing w:line="400" w:lineRule="exact"/>
        <w:ind w:firstLine="480" w:firstLineChars="200"/>
        <w:rPr>
          <w:rFonts w:hint="eastAsia" w:ascii="宋体" w:hAnsi="宋体"/>
          <w:b/>
          <w:bCs/>
          <w:color w:val="auto"/>
          <w:kern w:val="0"/>
          <w:sz w:val="24"/>
          <w:szCs w:val="24"/>
          <w:highlight w:val="none"/>
          <w:u w:val="single"/>
        </w:rPr>
      </w:pPr>
      <w:r>
        <w:rPr>
          <w:rFonts w:hint="eastAsia" w:ascii="宋体" w:hAnsi="宋体"/>
          <w:color w:val="auto"/>
          <w:kern w:val="0"/>
          <w:sz w:val="24"/>
          <w:szCs w:val="24"/>
          <w:highlight w:val="none"/>
        </w:rPr>
        <w:t>甲方：</w:t>
      </w:r>
      <w:r>
        <w:rPr>
          <w:rFonts w:hint="eastAsia" w:ascii="宋体" w:hAnsi="宋体"/>
          <w:color w:val="auto"/>
          <w:kern w:val="0"/>
          <w:sz w:val="24"/>
          <w:szCs w:val="24"/>
          <w:highlight w:val="none"/>
          <w:lang w:val="en-US" w:eastAsia="zh-CN"/>
        </w:rPr>
        <w:t xml:space="preserve">  </w:t>
      </w:r>
      <w:r>
        <w:rPr>
          <w:rFonts w:hint="eastAsia" w:ascii="宋体" w:hAnsi="宋体"/>
          <w:color w:val="auto"/>
          <w:kern w:val="0"/>
          <w:sz w:val="24"/>
          <w:szCs w:val="24"/>
          <w:highlight w:val="none"/>
        </w:rPr>
        <w:t xml:space="preserve"> </w:t>
      </w:r>
    </w:p>
    <w:p w14:paraId="7281CE82">
      <w:pPr>
        <w:widowControl/>
        <w:autoSpaceDE w:val="0"/>
        <w:autoSpaceDN w:val="0"/>
        <w:spacing w:line="400" w:lineRule="exact"/>
        <w:ind w:firstLine="480" w:firstLineChars="200"/>
        <w:rPr>
          <w:rFonts w:hint="eastAsia" w:ascii="宋体" w:hAnsi="宋体"/>
          <w:color w:val="auto"/>
          <w:kern w:val="0"/>
          <w:sz w:val="24"/>
          <w:szCs w:val="24"/>
          <w:highlight w:val="none"/>
          <w:u w:val="single"/>
        </w:rPr>
      </w:pPr>
      <w:r>
        <w:rPr>
          <w:rFonts w:hint="eastAsia" w:ascii="宋体" w:hAnsi="宋体"/>
          <w:color w:val="auto"/>
          <w:kern w:val="0"/>
          <w:sz w:val="24"/>
          <w:szCs w:val="24"/>
          <w:highlight w:val="none"/>
        </w:rPr>
        <w:t>乙方：</w:t>
      </w:r>
    </w:p>
    <w:p w14:paraId="3188DA58">
      <w:pPr>
        <w:widowControl/>
        <w:autoSpaceDE w:val="0"/>
        <w:autoSpaceDN w:val="0"/>
        <w:spacing w:line="520" w:lineRule="exact"/>
        <w:jc w:val="left"/>
        <w:rPr>
          <w:rFonts w:hint="eastAsia" w:ascii="宋体" w:hAnsi="宋体"/>
          <w:color w:val="auto"/>
          <w:kern w:val="0"/>
          <w:sz w:val="24"/>
          <w:szCs w:val="24"/>
          <w:highlight w:val="none"/>
        </w:rPr>
      </w:pPr>
    </w:p>
    <w:p w14:paraId="71D7DE7D">
      <w:pPr>
        <w:widowControl/>
        <w:autoSpaceDE w:val="0"/>
        <w:autoSpaceDN w:val="0"/>
        <w:spacing w:line="480" w:lineRule="exact"/>
        <w:ind w:firstLine="480" w:firstLineChars="200"/>
        <w:jc w:val="left"/>
        <w:rPr>
          <w:rFonts w:hint="eastAsia" w:ascii="宋体" w:hAnsi="宋体"/>
          <w:color w:val="auto"/>
          <w:sz w:val="24"/>
          <w:szCs w:val="24"/>
          <w:highlight w:val="none"/>
        </w:rPr>
      </w:pPr>
      <w:r>
        <w:rPr>
          <w:rFonts w:hint="eastAsia" w:ascii="宋体" w:hAnsi="宋体"/>
          <w:color w:val="auto"/>
          <w:sz w:val="24"/>
          <w:szCs w:val="24"/>
          <w:highlight w:val="none"/>
        </w:rPr>
        <w:t>为贯彻落实“安全第一，预防为主、综合治理”的安全生产方针，明确甲乙双方安全、环保及职业病防治相关责任，确保</w:t>
      </w:r>
      <w:r>
        <w:rPr>
          <w:rFonts w:hint="eastAsia" w:ascii="宋体" w:hAnsi="宋体"/>
          <w:color w:val="auto"/>
          <w:sz w:val="24"/>
          <w:szCs w:val="24"/>
          <w:highlight w:val="none"/>
          <w:u w:val="single"/>
          <w:lang w:eastAsia="zh-CN"/>
        </w:rPr>
        <w:t>源昌国际城维序服务</w:t>
      </w:r>
      <w:r>
        <w:rPr>
          <w:rFonts w:hint="eastAsia" w:ascii="宋体" w:hAnsi="宋体"/>
          <w:color w:val="auto"/>
          <w:sz w:val="24"/>
          <w:szCs w:val="24"/>
          <w:highlight w:val="none"/>
        </w:rPr>
        <w:t>项目的</w:t>
      </w:r>
      <w:r>
        <w:rPr>
          <w:rFonts w:hint="eastAsia" w:ascii="宋体" w:hAnsi="宋体"/>
          <w:color w:val="auto"/>
          <w:sz w:val="24"/>
          <w:szCs w:val="24"/>
          <w:highlight w:val="none"/>
          <w:u w:val="single"/>
        </w:rPr>
        <w:t xml:space="preserve">          施工/维保</w:t>
      </w:r>
      <w:r>
        <w:rPr>
          <w:rFonts w:hint="eastAsia" w:ascii="宋体" w:hAnsi="宋体"/>
          <w:color w:val="auto"/>
          <w:sz w:val="24"/>
          <w:szCs w:val="24"/>
          <w:highlight w:val="none"/>
        </w:rPr>
        <w:t>实施过程中甲方、乙方及第三方人员人身、财产及设备安全，贯彻执行安全工作计划和措施，防治环境污染和其他公害，预防、控制和消除职业病危害，根据《安全生产法》等有关法律法规，经双方协商一致签订本协议。</w:t>
      </w:r>
    </w:p>
    <w:p w14:paraId="2419D6A2">
      <w:pPr>
        <w:widowControl/>
        <w:autoSpaceDE w:val="0"/>
        <w:autoSpaceDN w:val="0"/>
        <w:spacing w:line="480" w:lineRule="exact"/>
        <w:ind w:firstLine="480" w:firstLineChars="200"/>
        <w:jc w:val="left"/>
        <w:rPr>
          <w:rFonts w:hint="eastAsia" w:ascii="宋体" w:hAnsi="宋体"/>
          <w:color w:val="auto"/>
          <w:sz w:val="24"/>
          <w:szCs w:val="24"/>
          <w:highlight w:val="none"/>
        </w:rPr>
      </w:pPr>
      <w:r>
        <w:rPr>
          <w:rFonts w:hint="eastAsia" w:ascii="宋体" w:hAnsi="宋体"/>
          <w:color w:val="auto"/>
          <w:sz w:val="24"/>
          <w:szCs w:val="24"/>
          <w:highlight w:val="none"/>
        </w:rPr>
        <w:t>1 概述</w:t>
      </w:r>
    </w:p>
    <w:p w14:paraId="4FD7CE10">
      <w:pPr>
        <w:widowControl/>
        <w:autoSpaceDE w:val="0"/>
        <w:autoSpaceDN w:val="0"/>
        <w:spacing w:line="480" w:lineRule="exact"/>
        <w:ind w:firstLine="480" w:firstLineChars="200"/>
        <w:jc w:val="left"/>
        <w:rPr>
          <w:rFonts w:hint="eastAsia" w:ascii="宋体" w:hAnsi="宋体"/>
          <w:color w:val="auto"/>
          <w:sz w:val="24"/>
          <w:szCs w:val="24"/>
          <w:highlight w:val="none"/>
        </w:rPr>
      </w:pPr>
      <w:r>
        <w:rPr>
          <w:rFonts w:hint="eastAsia" w:ascii="宋体" w:hAnsi="宋体"/>
          <w:color w:val="auto"/>
          <w:sz w:val="24"/>
          <w:szCs w:val="24"/>
          <w:highlight w:val="none"/>
        </w:rPr>
        <w:t>1.1 合同执行期间，甲乙双方项目负责人(项目经理)全权负责合同期间的工作过程中安全管理工作。按照“三管三必须”原则，乙方单位要对该项目作业过程中安全、环保、职业健康工作全面负责。</w:t>
      </w:r>
    </w:p>
    <w:p w14:paraId="34D0DF41">
      <w:pPr>
        <w:widowControl/>
        <w:autoSpaceDE w:val="0"/>
        <w:autoSpaceDN w:val="0"/>
        <w:spacing w:line="480" w:lineRule="exact"/>
        <w:ind w:firstLine="480" w:firstLineChars="200"/>
        <w:jc w:val="left"/>
        <w:rPr>
          <w:rFonts w:hint="eastAsia" w:ascii="宋体" w:hAnsi="宋体"/>
          <w:color w:val="auto"/>
          <w:sz w:val="24"/>
          <w:szCs w:val="24"/>
          <w:highlight w:val="none"/>
        </w:rPr>
      </w:pPr>
      <w:r>
        <w:rPr>
          <w:rFonts w:hint="eastAsia" w:ascii="宋体" w:hAnsi="宋体"/>
          <w:color w:val="auto"/>
          <w:sz w:val="24"/>
          <w:szCs w:val="24"/>
          <w:highlight w:val="none"/>
        </w:rPr>
        <w:t>1.2 本项目作业过程安全管理遵循“安全第一、预防为主、综合治理”的安全生产方针，甲乙双方应根据主合同及本协议要求，分别认真做好各自业务内的安全管理工作，杜绝各类伤亡事故的发生。安全生产目标：</w:t>
      </w:r>
    </w:p>
    <w:p w14:paraId="25A28B2A">
      <w:pPr>
        <w:widowControl/>
        <w:autoSpaceDE w:val="0"/>
        <w:autoSpaceDN w:val="0"/>
        <w:spacing w:line="480" w:lineRule="exact"/>
        <w:ind w:firstLine="480" w:firstLineChars="200"/>
        <w:jc w:val="left"/>
        <w:rPr>
          <w:rFonts w:hint="eastAsia" w:ascii="宋体" w:hAnsi="宋体"/>
          <w:color w:val="auto"/>
          <w:sz w:val="24"/>
          <w:szCs w:val="24"/>
          <w:highlight w:val="none"/>
        </w:rPr>
      </w:pPr>
      <w:r>
        <w:rPr>
          <w:rFonts w:hint="eastAsia" w:ascii="宋体" w:hAnsi="宋体"/>
          <w:color w:val="auto"/>
          <w:sz w:val="24"/>
          <w:szCs w:val="24"/>
          <w:highlight w:val="none"/>
        </w:rPr>
        <w:t>1.2.1 不发生人身轻伤及以上事故；</w:t>
      </w:r>
    </w:p>
    <w:p w14:paraId="27A582A5">
      <w:pPr>
        <w:widowControl/>
        <w:autoSpaceDE w:val="0"/>
        <w:autoSpaceDN w:val="0"/>
        <w:spacing w:line="480" w:lineRule="exact"/>
        <w:ind w:firstLine="480" w:firstLineChars="200"/>
        <w:jc w:val="left"/>
        <w:rPr>
          <w:rFonts w:hint="eastAsia" w:ascii="宋体" w:hAnsi="宋体"/>
          <w:color w:val="auto"/>
          <w:sz w:val="24"/>
          <w:szCs w:val="24"/>
          <w:highlight w:val="none"/>
        </w:rPr>
      </w:pPr>
      <w:r>
        <w:rPr>
          <w:rFonts w:hint="eastAsia" w:ascii="宋体" w:hAnsi="宋体"/>
          <w:color w:val="auto"/>
          <w:sz w:val="24"/>
          <w:szCs w:val="24"/>
          <w:highlight w:val="none"/>
        </w:rPr>
        <w:t>1.2.2 不发生承包单位负主要责任的重大及以上交通事故；</w:t>
      </w:r>
    </w:p>
    <w:p w14:paraId="6C206A8B">
      <w:pPr>
        <w:widowControl/>
        <w:autoSpaceDE w:val="0"/>
        <w:autoSpaceDN w:val="0"/>
        <w:spacing w:line="480" w:lineRule="exact"/>
        <w:ind w:firstLine="480" w:firstLineChars="200"/>
        <w:jc w:val="left"/>
        <w:rPr>
          <w:rFonts w:hint="eastAsia" w:ascii="宋体" w:hAnsi="宋体"/>
          <w:color w:val="auto"/>
          <w:sz w:val="24"/>
          <w:szCs w:val="24"/>
          <w:highlight w:val="none"/>
        </w:rPr>
      </w:pPr>
      <w:r>
        <w:rPr>
          <w:rFonts w:hint="eastAsia" w:ascii="宋体" w:hAnsi="宋体"/>
          <w:color w:val="auto"/>
          <w:sz w:val="24"/>
          <w:szCs w:val="24"/>
          <w:highlight w:val="none"/>
        </w:rPr>
        <w:t>1.2.3 不发生火灾事故；</w:t>
      </w:r>
    </w:p>
    <w:p w14:paraId="06875B43">
      <w:pPr>
        <w:widowControl/>
        <w:autoSpaceDE w:val="0"/>
        <w:autoSpaceDN w:val="0"/>
        <w:spacing w:line="480" w:lineRule="exact"/>
        <w:ind w:firstLine="480" w:firstLineChars="200"/>
        <w:jc w:val="left"/>
        <w:rPr>
          <w:rFonts w:hint="eastAsia" w:ascii="宋体" w:hAnsi="宋体"/>
          <w:color w:val="auto"/>
          <w:sz w:val="24"/>
          <w:szCs w:val="24"/>
          <w:highlight w:val="none"/>
        </w:rPr>
      </w:pPr>
      <w:r>
        <w:rPr>
          <w:rFonts w:hint="eastAsia" w:ascii="宋体" w:hAnsi="宋体"/>
          <w:color w:val="auto"/>
          <w:sz w:val="24"/>
          <w:szCs w:val="24"/>
          <w:highlight w:val="none"/>
        </w:rPr>
        <w:t>1.2.4 不发生触电事故；</w:t>
      </w:r>
    </w:p>
    <w:p w14:paraId="18D2892E">
      <w:pPr>
        <w:widowControl/>
        <w:autoSpaceDE w:val="0"/>
        <w:autoSpaceDN w:val="0"/>
        <w:spacing w:line="480" w:lineRule="exact"/>
        <w:ind w:firstLine="480" w:firstLineChars="200"/>
        <w:jc w:val="left"/>
        <w:rPr>
          <w:rFonts w:hint="eastAsia" w:ascii="宋体" w:hAnsi="宋体"/>
          <w:color w:val="auto"/>
          <w:sz w:val="24"/>
          <w:szCs w:val="24"/>
          <w:highlight w:val="none"/>
        </w:rPr>
      </w:pPr>
      <w:r>
        <w:rPr>
          <w:rFonts w:hint="eastAsia" w:ascii="宋体" w:hAnsi="宋体"/>
          <w:color w:val="auto"/>
          <w:sz w:val="24"/>
          <w:szCs w:val="24"/>
          <w:highlight w:val="none"/>
        </w:rPr>
        <w:t>1.2.5 不发生坠落事故；</w:t>
      </w:r>
    </w:p>
    <w:p w14:paraId="6F3287EA">
      <w:pPr>
        <w:widowControl/>
        <w:autoSpaceDE w:val="0"/>
        <w:autoSpaceDN w:val="0"/>
        <w:spacing w:line="480" w:lineRule="exact"/>
        <w:ind w:firstLine="480" w:firstLineChars="200"/>
        <w:jc w:val="left"/>
        <w:rPr>
          <w:rFonts w:hint="eastAsia" w:ascii="宋体" w:hAnsi="宋体"/>
          <w:color w:val="auto"/>
          <w:sz w:val="24"/>
          <w:szCs w:val="24"/>
          <w:highlight w:val="none"/>
        </w:rPr>
      </w:pPr>
      <w:r>
        <w:rPr>
          <w:rFonts w:hint="eastAsia" w:ascii="宋体" w:hAnsi="宋体"/>
          <w:color w:val="auto"/>
          <w:sz w:val="24"/>
          <w:szCs w:val="24"/>
          <w:highlight w:val="none"/>
        </w:rPr>
        <w:t>1.2.6 不发生灼烫事故；</w:t>
      </w:r>
    </w:p>
    <w:p w14:paraId="16CE29A4">
      <w:pPr>
        <w:widowControl/>
        <w:autoSpaceDE w:val="0"/>
        <w:autoSpaceDN w:val="0"/>
        <w:spacing w:line="480" w:lineRule="exact"/>
        <w:ind w:firstLine="480" w:firstLineChars="200"/>
        <w:jc w:val="left"/>
        <w:rPr>
          <w:rFonts w:hint="eastAsia" w:ascii="宋体" w:hAnsi="宋体"/>
          <w:color w:val="auto"/>
          <w:sz w:val="24"/>
          <w:szCs w:val="24"/>
          <w:highlight w:val="none"/>
        </w:rPr>
      </w:pPr>
      <w:r>
        <w:rPr>
          <w:rFonts w:hint="eastAsia" w:ascii="宋体" w:hAnsi="宋体"/>
          <w:color w:val="auto"/>
          <w:sz w:val="24"/>
          <w:szCs w:val="24"/>
          <w:highlight w:val="none"/>
        </w:rPr>
        <w:t>1.2.7 不发生机械伤害事故；</w:t>
      </w:r>
    </w:p>
    <w:p w14:paraId="0AF2FFE3">
      <w:pPr>
        <w:widowControl/>
        <w:autoSpaceDE w:val="0"/>
        <w:autoSpaceDN w:val="0"/>
        <w:spacing w:line="480" w:lineRule="exact"/>
        <w:ind w:firstLine="480" w:firstLineChars="200"/>
        <w:jc w:val="left"/>
        <w:rPr>
          <w:rFonts w:hint="eastAsia" w:ascii="宋体" w:hAnsi="宋体"/>
          <w:color w:val="auto"/>
          <w:sz w:val="24"/>
          <w:szCs w:val="24"/>
          <w:highlight w:val="none"/>
        </w:rPr>
      </w:pPr>
      <w:r>
        <w:rPr>
          <w:rFonts w:hint="eastAsia" w:ascii="宋体" w:hAnsi="宋体"/>
          <w:color w:val="auto"/>
          <w:sz w:val="24"/>
          <w:szCs w:val="24"/>
          <w:highlight w:val="none"/>
        </w:rPr>
        <w:t>1.2.8 不发生物体打击事故；</w:t>
      </w:r>
    </w:p>
    <w:p w14:paraId="206AA62C">
      <w:pPr>
        <w:widowControl/>
        <w:autoSpaceDE w:val="0"/>
        <w:autoSpaceDN w:val="0"/>
        <w:spacing w:line="480" w:lineRule="exact"/>
        <w:ind w:firstLine="480" w:firstLineChars="200"/>
        <w:jc w:val="left"/>
        <w:rPr>
          <w:rFonts w:hint="eastAsia" w:ascii="宋体" w:hAnsi="宋体"/>
          <w:color w:val="auto"/>
          <w:sz w:val="24"/>
          <w:szCs w:val="24"/>
          <w:highlight w:val="none"/>
        </w:rPr>
      </w:pPr>
      <w:r>
        <w:rPr>
          <w:rFonts w:hint="eastAsia" w:ascii="宋体" w:hAnsi="宋体"/>
          <w:color w:val="auto"/>
          <w:sz w:val="24"/>
          <w:szCs w:val="24"/>
          <w:highlight w:val="none"/>
        </w:rPr>
        <w:t>1.2.9 不发生重大社会影响事件；</w:t>
      </w:r>
    </w:p>
    <w:p w14:paraId="5D796C24">
      <w:pPr>
        <w:widowControl/>
        <w:autoSpaceDE w:val="0"/>
        <w:autoSpaceDN w:val="0"/>
        <w:spacing w:line="480" w:lineRule="exact"/>
        <w:ind w:firstLine="480" w:firstLineChars="200"/>
        <w:jc w:val="left"/>
        <w:rPr>
          <w:rFonts w:hint="eastAsia" w:ascii="宋体" w:hAnsi="宋体"/>
          <w:color w:val="auto"/>
          <w:sz w:val="24"/>
          <w:szCs w:val="24"/>
          <w:highlight w:val="none"/>
        </w:rPr>
      </w:pPr>
      <w:r>
        <w:rPr>
          <w:rFonts w:hint="eastAsia" w:ascii="宋体" w:hAnsi="宋体"/>
          <w:color w:val="auto"/>
          <w:sz w:val="24"/>
          <w:szCs w:val="24"/>
          <w:highlight w:val="none"/>
        </w:rPr>
        <w:t>1.2.10 无重大财产损失事故；</w:t>
      </w:r>
    </w:p>
    <w:p w14:paraId="04CD505D">
      <w:pPr>
        <w:widowControl/>
        <w:autoSpaceDE w:val="0"/>
        <w:autoSpaceDN w:val="0"/>
        <w:spacing w:line="480" w:lineRule="exact"/>
        <w:ind w:firstLine="480" w:firstLineChars="200"/>
        <w:jc w:val="left"/>
        <w:rPr>
          <w:rFonts w:hint="eastAsia" w:ascii="宋体" w:hAnsi="宋体"/>
          <w:color w:val="auto"/>
          <w:sz w:val="24"/>
          <w:szCs w:val="24"/>
          <w:highlight w:val="none"/>
        </w:rPr>
      </w:pPr>
      <w:r>
        <w:rPr>
          <w:rFonts w:hint="eastAsia" w:ascii="宋体" w:hAnsi="宋体"/>
          <w:color w:val="auto"/>
          <w:sz w:val="24"/>
          <w:szCs w:val="24"/>
          <w:highlight w:val="none"/>
        </w:rPr>
        <w:t>1.2.11 安全教育培训率100%；</w:t>
      </w:r>
    </w:p>
    <w:p w14:paraId="280A1B43">
      <w:pPr>
        <w:widowControl/>
        <w:autoSpaceDE w:val="0"/>
        <w:autoSpaceDN w:val="0"/>
        <w:spacing w:line="480" w:lineRule="exact"/>
        <w:ind w:firstLine="480" w:firstLineChars="200"/>
        <w:jc w:val="left"/>
        <w:rPr>
          <w:rFonts w:hint="eastAsia" w:ascii="宋体" w:hAnsi="宋体"/>
          <w:color w:val="auto"/>
          <w:sz w:val="24"/>
          <w:szCs w:val="24"/>
          <w:highlight w:val="none"/>
        </w:rPr>
      </w:pPr>
      <w:r>
        <w:rPr>
          <w:rFonts w:hint="eastAsia" w:ascii="宋体" w:hAnsi="宋体"/>
          <w:color w:val="auto"/>
          <w:sz w:val="24"/>
          <w:szCs w:val="24"/>
          <w:highlight w:val="none"/>
        </w:rPr>
        <w:t>1.2.12 隐患治理率100%；</w:t>
      </w:r>
    </w:p>
    <w:p w14:paraId="05DDDCCD">
      <w:pPr>
        <w:widowControl/>
        <w:autoSpaceDE w:val="0"/>
        <w:autoSpaceDN w:val="0"/>
        <w:spacing w:line="480" w:lineRule="exact"/>
        <w:ind w:firstLine="480" w:firstLineChars="200"/>
        <w:jc w:val="left"/>
        <w:rPr>
          <w:rFonts w:hint="eastAsia" w:ascii="宋体" w:hAnsi="宋体"/>
          <w:color w:val="auto"/>
          <w:sz w:val="24"/>
          <w:szCs w:val="24"/>
          <w:highlight w:val="none"/>
        </w:rPr>
      </w:pPr>
      <w:r>
        <w:rPr>
          <w:rFonts w:hint="eastAsia" w:ascii="宋体" w:hAnsi="宋体"/>
          <w:color w:val="auto"/>
          <w:sz w:val="24"/>
          <w:szCs w:val="24"/>
          <w:highlight w:val="none"/>
        </w:rPr>
        <w:t>1.2.13 应急演练完成率100%。</w:t>
      </w:r>
    </w:p>
    <w:p w14:paraId="46C3A058">
      <w:pPr>
        <w:widowControl/>
        <w:autoSpaceDE w:val="0"/>
        <w:autoSpaceDN w:val="0"/>
        <w:spacing w:line="480" w:lineRule="exact"/>
        <w:ind w:firstLine="480" w:firstLineChars="200"/>
        <w:jc w:val="left"/>
        <w:rPr>
          <w:rFonts w:hint="eastAsia" w:ascii="宋体" w:hAnsi="宋体"/>
          <w:color w:val="auto"/>
          <w:sz w:val="24"/>
          <w:szCs w:val="24"/>
          <w:highlight w:val="none"/>
        </w:rPr>
      </w:pPr>
      <w:r>
        <w:rPr>
          <w:rFonts w:hint="eastAsia" w:ascii="宋体" w:hAnsi="宋体"/>
          <w:color w:val="auto"/>
          <w:sz w:val="24"/>
          <w:szCs w:val="24"/>
          <w:highlight w:val="none"/>
        </w:rPr>
        <w:t>1.3 甲乙双方在履行法律法规要求双方合作完成的安全职责中，甲乙双方必须严格按照协议约定的工作程序执行，确保法律法规要求的职责得到落实。</w:t>
      </w:r>
    </w:p>
    <w:p w14:paraId="72516ABF">
      <w:pPr>
        <w:widowControl/>
        <w:autoSpaceDE w:val="0"/>
        <w:autoSpaceDN w:val="0"/>
        <w:spacing w:line="480" w:lineRule="exact"/>
        <w:ind w:firstLine="480" w:firstLineChars="200"/>
        <w:jc w:val="left"/>
        <w:rPr>
          <w:rFonts w:hint="eastAsia" w:ascii="宋体" w:hAnsi="宋体"/>
          <w:color w:val="auto"/>
          <w:sz w:val="24"/>
          <w:szCs w:val="24"/>
          <w:highlight w:val="none"/>
        </w:rPr>
      </w:pPr>
      <w:r>
        <w:rPr>
          <w:rFonts w:hint="eastAsia" w:ascii="宋体" w:hAnsi="宋体"/>
          <w:color w:val="auto"/>
          <w:sz w:val="24"/>
          <w:szCs w:val="24"/>
          <w:highlight w:val="none"/>
        </w:rPr>
        <w:t>1</w:t>
      </w:r>
      <w:r>
        <w:rPr>
          <w:rFonts w:ascii="宋体" w:hAnsi="宋体"/>
          <w:color w:val="auto"/>
          <w:sz w:val="24"/>
          <w:szCs w:val="24"/>
          <w:highlight w:val="none"/>
        </w:rPr>
        <w:t>.</w:t>
      </w:r>
      <w:r>
        <w:rPr>
          <w:rFonts w:hint="eastAsia" w:ascii="宋体" w:hAnsi="宋体"/>
          <w:color w:val="auto"/>
          <w:sz w:val="24"/>
          <w:szCs w:val="24"/>
          <w:highlight w:val="none"/>
        </w:rPr>
        <w:t>4</w:t>
      </w:r>
      <w:r>
        <w:rPr>
          <w:rFonts w:ascii="宋体" w:hAnsi="宋体"/>
          <w:color w:val="auto"/>
          <w:sz w:val="24"/>
          <w:szCs w:val="24"/>
          <w:highlight w:val="none"/>
        </w:rPr>
        <w:t xml:space="preserve">. </w:t>
      </w:r>
      <w:r>
        <w:rPr>
          <w:rFonts w:hint="eastAsia" w:ascii="宋体" w:hAnsi="宋体"/>
          <w:color w:val="auto"/>
          <w:sz w:val="24"/>
          <w:szCs w:val="24"/>
          <w:highlight w:val="none"/>
        </w:rPr>
        <w:t>乙方承诺按照法律法规、主管部门规定及地方有关安全文明的规定。</w:t>
      </w:r>
    </w:p>
    <w:p w14:paraId="580C76C0">
      <w:pPr>
        <w:widowControl/>
        <w:autoSpaceDE w:val="0"/>
        <w:autoSpaceDN w:val="0"/>
        <w:spacing w:line="480" w:lineRule="exact"/>
        <w:ind w:firstLine="480" w:firstLineChars="200"/>
        <w:jc w:val="left"/>
        <w:rPr>
          <w:rFonts w:hint="eastAsia" w:ascii="宋体" w:hAnsi="宋体"/>
          <w:color w:val="auto"/>
          <w:sz w:val="24"/>
          <w:szCs w:val="24"/>
          <w:highlight w:val="none"/>
        </w:rPr>
      </w:pPr>
      <w:r>
        <w:rPr>
          <w:rFonts w:hint="eastAsia" w:ascii="宋体" w:hAnsi="宋体"/>
          <w:color w:val="auto"/>
          <w:sz w:val="24"/>
          <w:szCs w:val="24"/>
          <w:highlight w:val="none"/>
        </w:rPr>
        <w:t>1</w:t>
      </w:r>
      <w:r>
        <w:rPr>
          <w:rFonts w:ascii="宋体" w:hAnsi="宋体"/>
          <w:color w:val="auto"/>
          <w:sz w:val="24"/>
          <w:szCs w:val="24"/>
          <w:highlight w:val="none"/>
        </w:rPr>
        <w:t>.</w:t>
      </w:r>
      <w:r>
        <w:rPr>
          <w:rFonts w:hint="eastAsia" w:ascii="宋体" w:hAnsi="宋体"/>
          <w:color w:val="auto"/>
          <w:sz w:val="24"/>
          <w:szCs w:val="24"/>
          <w:highlight w:val="none"/>
        </w:rPr>
        <w:t>5</w:t>
      </w:r>
      <w:r>
        <w:rPr>
          <w:rFonts w:ascii="宋体" w:hAnsi="宋体"/>
          <w:color w:val="auto"/>
          <w:sz w:val="24"/>
          <w:szCs w:val="24"/>
          <w:highlight w:val="none"/>
        </w:rPr>
        <w:t xml:space="preserve"> </w:t>
      </w:r>
      <w:r>
        <w:rPr>
          <w:rFonts w:hint="eastAsia" w:ascii="宋体" w:hAnsi="宋体"/>
          <w:color w:val="auto"/>
          <w:sz w:val="24"/>
          <w:szCs w:val="24"/>
          <w:highlight w:val="none"/>
        </w:rPr>
        <w:t>由于乙方原因引发治安安全、生产安全、交通安全、消防安全、环境安全等事件，对甲方造成经济损失或不良影响的，乙方应当赔偿甲方的损失并消除不良影响，甲方保留进一步追究乙方法律责任的权利。</w:t>
      </w:r>
    </w:p>
    <w:p w14:paraId="6D09AB6A">
      <w:pPr>
        <w:widowControl/>
        <w:autoSpaceDE w:val="0"/>
        <w:autoSpaceDN w:val="0"/>
        <w:spacing w:line="480" w:lineRule="exact"/>
        <w:ind w:firstLine="480" w:firstLineChars="200"/>
        <w:jc w:val="left"/>
        <w:rPr>
          <w:rFonts w:hint="eastAsia" w:ascii="宋体" w:hAnsi="宋体"/>
          <w:color w:val="auto"/>
          <w:sz w:val="24"/>
          <w:szCs w:val="24"/>
          <w:highlight w:val="none"/>
        </w:rPr>
      </w:pPr>
      <w:r>
        <w:rPr>
          <w:rFonts w:hint="eastAsia" w:ascii="宋体" w:hAnsi="宋体"/>
          <w:color w:val="auto"/>
          <w:sz w:val="24"/>
          <w:szCs w:val="24"/>
          <w:highlight w:val="none"/>
        </w:rPr>
        <w:t>1</w:t>
      </w:r>
      <w:r>
        <w:rPr>
          <w:rFonts w:ascii="宋体" w:hAnsi="宋体"/>
          <w:color w:val="auto"/>
          <w:sz w:val="24"/>
          <w:szCs w:val="24"/>
          <w:highlight w:val="none"/>
        </w:rPr>
        <w:t>.</w:t>
      </w:r>
      <w:r>
        <w:rPr>
          <w:rFonts w:hint="eastAsia" w:ascii="宋体" w:hAnsi="宋体"/>
          <w:color w:val="auto"/>
          <w:sz w:val="24"/>
          <w:szCs w:val="24"/>
          <w:highlight w:val="none"/>
        </w:rPr>
        <w:t>6</w:t>
      </w:r>
      <w:r>
        <w:rPr>
          <w:rFonts w:ascii="宋体" w:hAnsi="宋体"/>
          <w:color w:val="auto"/>
          <w:sz w:val="24"/>
          <w:szCs w:val="24"/>
          <w:highlight w:val="none"/>
        </w:rPr>
        <w:t xml:space="preserve">. </w:t>
      </w:r>
      <w:r>
        <w:rPr>
          <w:rFonts w:hint="eastAsia" w:ascii="宋体" w:hAnsi="宋体"/>
          <w:color w:val="auto"/>
          <w:sz w:val="24"/>
          <w:szCs w:val="24"/>
          <w:highlight w:val="none"/>
        </w:rPr>
        <w:t>乙方对其所有进入甲方项目现场人员的安全负责。乙方人员发生的责任事故，乙方应对事故负责，并负责事故的调查，向甲方提供事故调查及处理报告，接受甲方的相关处罚。</w:t>
      </w:r>
    </w:p>
    <w:p w14:paraId="7BE4F708">
      <w:pPr>
        <w:widowControl/>
        <w:autoSpaceDE w:val="0"/>
        <w:autoSpaceDN w:val="0"/>
        <w:spacing w:line="480" w:lineRule="exact"/>
        <w:ind w:firstLine="480" w:firstLineChars="200"/>
        <w:jc w:val="left"/>
        <w:rPr>
          <w:rFonts w:hint="eastAsia" w:ascii="宋体" w:hAnsi="宋体"/>
          <w:color w:val="auto"/>
          <w:sz w:val="24"/>
          <w:szCs w:val="24"/>
          <w:highlight w:val="none"/>
        </w:rPr>
      </w:pPr>
      <w:r>
        <w:rPr>
          <w:rFonts w:hint="eastAsia" w:ascii="宋体" w:hAnsi="宋体"/>
          <w:color w:val="auto"/>
          <w:sz w:val="24"/>
          <w:szCs w:val="24"/>
          <w:highlight w:val="none"/>
        </w:rPr>
        <w:t>1</w:t>
      </w:r>
      <w:r>
        <w:rPr>
          <w:rFonts w:ascii="宋体" w:hAnsi="宋体"/>
          <w:color w:val="auto"/>
          <w:sz w:val="24"/>
          <w:szCs w:val="24"/>
          <w:highlight w:val="none"/>
        </w:rPr>
        <w:t>.</w:t>
      </w:r>
      <w:r>
        <w:rPr>
          <w:rFonts w:hint="eastAsia" w:ascii="宋体" w:hAnsi="宋体"/>
          <w:color w:val="auto"/>
          <w:sz w:val="24"/>
          <w:szCs w:val="24"/>
          <w:highlight w:val="none"/>
        </w:rPr>
        <w:t>7</w:t>
      </w:r>
      <w:r>
        <w:rPr>
          <w:rFonts w:ascii="宋体" w:hAnsi="宋体"/>
          <w:color w:val="auto"/>
          <w:sz w:val="24"/>
          <w:szCs w:val="24"/>
          <w:highlight w:val="none"/>
        </w:rPr>
        <w:t xml:space="preserve">. </w:t>
      </w:r>
      <w:r>
        <w:rPr>
          <w:rFonts w:hint="eastAsia" w:ascii="宋体" w:hAnsi="宋体"/>
          <w:color w:val="auto"/>
          <w:sz w:val="24"/>
          <w:szCs w:val="24"/>
          <w:highlight w:val="none"/>
        </w:rPr>
        <w:t>乙方人员进入项目现场后应当在甲方指定区域进行活动，未经甲方同意不得进入与其工作无关的区域。乙方人员在项目现场发生人身伤害或财产损失，由乙方负责处理并承担所有费用和责任，甲方给予必要的协助。</w:t>
      </w:r>
    </w:p>
    <w:p w14:paraId="04D78EA7">
      <w:pPr>
        <w:widowControl/>
        <w:autoSpaceDE w:val="0"/>
        <w:autoSpaceDN w:val="0"/>
        <w:spacing w:line="480" w:lineRule="exact"/>
        <w:ind w:firstLine="480" w:firstLineChars="200"/>
        <w:jc w:val="left"/>
        <w:rPr>
          <w:rFonts w:hint="eastAsia" w:ascii="宋体" w:hAnsi="宋体"/>
          <w:color w:val="auto"/>
          <w:sz w:val="24"/>
          <w:szCs w:val="24"/>
          <w:highlight w:val="none"/>
        </w:rPr>
      </w:pPr>
      <w:r>
        <w:rPr>
          <w:rFonts w:hint="eastAsia" w:ascii="宋体" w:hAnsi="宋体"/>
          <w:color w:val="auto"/>
          <w:sz w:val="24"/>
          <w:szCs w:val="24"/>
          <w:highlight w:val="none"/>
        </w:rPr>
        <w:t>1</w:t>
      </w:r>
      <w:r>
        <w:rPr>
          <w:rFonts w:ascii="宋体" w:hAnsi="宋体"/>
          <w:color w:val="auto"/>
          <w:sz w:val="24"/>
          <w:szCs w:val="24"/>
          <w:highlight w:val="none"/>
        </w:rPr>
        <w:t>.</w:t>
      </w:r>
      <w:r>
        <w:rPr>
          <w:rFonts w:hint="eastAsia" w:ascii="宋体" w:hAnsi="宋体"/>
          <w:color w:val="auto"/>
          <w:sz w:val="24"/>
          <w:szCs w:val="24"/>
          <w:highlight w:val="none"/>
        </w:rPr>
        <w:t>8</w:t>
      </w:r>
      <w:r>
        <w:rPr>
          <w:rFonts w:ascii="宋体" w:hAnsi="宋体"/>
          <w:color w:val="auto"/>
          <w:sz w:val="24"/>
          <w:szCs w:val="24"/>
          <w:highlight w:val="none"/>
        </w:rPr>
        <w:t>.</w:t>
      </w:r>
      <w:r>
        <w:rPr>
          <w:rFonts w:hint="eastAsia" w:ascii="宋体" w:hAnsi="宋体"/>
          <w:color w:val="auto"/>
          <w:sz w:val="24"/>
          <w:szCs w:val="24"/>
          <w:highlight w:val="none"/>
        </w:rPr>
        <w:t>项目现场发生的安全事故，应按法律法规要求进行报告、调查、处理；乙方应当按照甲方的要求及时提供配合、协助。</w:t>
      </w:r>
    </w:p>
    <w:p w14:paraId="5208E457">
      <w:pPr>
        <w:widowControl/>
        <w:autoSpaceDE w:val="0"/>
        <w:autoSpaceDN w:val="0"/>
        <w:spacing w:line="480" w:lineRule="exact"/>
        <w:ind w:firstLine="480" w:firstLineChars="200"/>
        <w:jc w:val="left"/>
        <w:rPr>
          <w:rFonts w:hint="eastAsia" w:ascii="宋体" w:hAnsi="宋体"/>
          <w:color w:val="auto"/>
          <w:sz w:val="24"/>
          <w:szCs w:val="24"/>
          <w:highlight w:val="none"/>
        </w:rPr>
      </w:pPr>
      <w:r>
        <w:rPr>
          <w:rFonts w:hint="eastAsia" w:ascii="宋体" w:hAnsi="宋体"/>
          <w:color w:val="auto"/>
          <w:sz w:val="24"/>
          <w:szCs w:val="24"/>
          <w:highlight w:val="none"/>
        </w:rPr>
        <w:t>1.9 甲乙双方依据国家地方法律法规、合同内容在作业过程中留存的书面记录，作为甲乙双方履行各自安全职责的主要证据。</w:t>
      </w:r>
    </w:p>
    <w:p w14:paraId="42870BFD">
      <w:pPr>
        <w:widowControl/>
        <w:autoSpaceDE w:val="0"/>
        <w:autoSpaceDN w:val="0"/>
        <w:spacing w:line="480" w:lineRule="exact"/>
        <w:ind w:firstLine="480" w:firstLineChars="200"/>
        <w:jc w:val="left"/>
        <w:rPr>
          <w:rFonts w:hint="eastAsia" w:ascii="宋体" w:hAnsi="宋体"/>
          <w:color w:val="auto"/>
          <w:sz w:val="24"/>
          <w:szCs w:val="24"/>
          <w:highlight w:val="none"/>
        </w:rPr>
      </w:pPr>
      <w:r>
        <w:rPr>
          <w:rFonts w:hint="eastAsia" w:ascii="宋体" w:hAnsi="宋体"/>
          <w:color w:val="auto"/>
          <w:sz w:val="24"/>
          <w:szCs w:val="24"/>
          <w:highlight w:val="none"/>
        </w:rPr>
        <w:t>1.10 本协议所称伤亡事故均包括对第三方人员造成的伤亡事故。</w:t>
      </w:r>
    </w:p>
    <w:p w14:paraId="34261D8F">
      <w:pPr>
        <w:widowControl/>
        <w:autoSpaceDE w:val="0"/>
        <w:autoSpaceDN w:val="0"/>
        <w:spacing w:line="480" w:lineRule="exact"/>
        <w:ind w:firstLine="480" w:firstLineChars="200"/>
        <w:jc w:val="left"/>
        <w:rPr>
          <w:rFonts w:hint="eastAsia" w:ascii="宋体" w:hAnsi="宋体"/>
          <w:color w:val="auto"/>
          <w:sz w:val="24"/>
          <w:szCs w:val="24"/>
          <w:highlight w:val="none"/>
        </w:rPr>
      </w:pPr>
      <w:r>
        <w:rPr>
          <w:rFonts w:hint="eastAsia" w:ascii="宋体" w:hAnsi="宋体"/>
          <w:color w:val="auto"/>
          <w:sz w:val="24"/>
          <w:szCs w:val="24"/>
          <w:highlight w:val="none"/>
        </w:rPr>
        <w:t>2 甲方权责</w:t>
      </w:r>
    </w:p>
    <w:p w14:paraId="5455CAE1">
      <w:pPr>
        <w:widowControl/>
        <w:autoSpaceDE w:val="0"/>
        <w:autoSpaceDN w:val="0"/>
        <w:spacing w:line="480" w:lineRule="exact"/>
        <w:ind w:firstLine="480" w:firstLineChars="200"/>
        <w:jc w:val="left"/>
        <w:rPr>
          <w:rFonts w:hint="eastAsia" w:ascii="宋体" w:hAnsi="宋体"/>
          <w:color w:val="auto"/>
          <w:sz w:val="24"/>
          <w:szCs w:val="24"/>
          <w:highlight w:val="none"/>
        </w:rPr>
      </w:pPr>
      <w:r>
        <w:rPr>
          <w:rFonts w:hint="eastAsia" w:ascii="宋体" w:hAnsi="宋体"/>
          <w:color w:val="auto"/>
          <w:sz w:val="24"/>
          <w:szCs w:val="24"/>
          <w:highlight w:val="none"/>
        </w:rPr>
        <w:t>2.1 甲方向乙方提供施工作业现场相关资料，保证资料的真实、准确、完整。</w:t>
      </w:r>
    </w:p>
    <w:p w14:paraId="7E7A61EF">
      <w:pPr>
        <w:widowControl/>
        <w:autoSpaceDE w:val="0"/>
        <w:autoSpaceDN w:val="0"/>
        <w:spacing w:line="480" w:lineRule="exact"/>
        <w:ind w:firstLine="480" w:firstLineChars="200"/>
        <w:jc w:val="left"/>
        <w:rPr>
          <w:rFonts w:hint="eastAsia" w:ascii="宋体" w:hAnsi="宋体"/>
          <w:color w:val="auto"/>
          <w:sz w:val="24"/>
          <w:szCs w:val="24"/>
          <w:highlight w:val="none"/>
        </w:rPr>
      </w:pPr>
      <w:r>
        <w:rPr>
          <w:rFonts w:hint="eastAsia" w:ascii="宋体" w:hAnsi="宋体"/>
          <w:color w:val="auto"/>
          <w:sz w:val="24"/>
          <w:szCs w:val="24"/>
          <w:highlight w:val="none"/>
        </w:rPr>
        <w:t>2.2 甲方有权监督乙方执行项目现场安全管理制度的情况，检查乙方各项安全管理工作。有权制止违章操作等违规行为，对于危及安全的违章人员可以进行教育、惩戒。</w:t>
      </w:r>
    </w:p>
    <w:p w14:paraId="03835B07">
      <w:pPr>
        <w:widowControl/>
        <w:autoSpaceDE w:val="0"/>
        <w:autoSpaceDN w:val="0"/>
        <w:spacing w:line="480" w:lineRule="exact"/>
        <w:ind w:firstLine="480" w:firstLineChars="200"/>
        <w:jc w:val="left"/>
        <w:rPr>
          <w:rFonts w:hint="eastAsia" w:ascii="宋体" w:hAnsi="宋体"/>
          <w:color w:val="auto"/>
          <w:sz w:val="24"/>
          <w:szCs w:val="24"/>
          <w:highlight w:val="none"/>
        </w:rPr>
      </w:pPr>
      <w:r>
        <w:rPr>
          <w:rFonts w:hint="eastAsia" w:ascii="宋体" w:hAnsi="宋体"/>
          <w:color w:val="auto"/>
          <w:sz w:val="24"/>
          <w:szCs w:val="24"/>
          <w:highlight w:val="none"/>
        </w:rPr>
        <w:t>2.3 发生生产安全事件时，甲方有权组织对事件进行调查，并作出安全事件报告。在事件调查过程中，甲方有权要求乙方提供与事件有关的所有资料和信息，并有权要求乙方人员无条件配合安全事件的调查工作。</w:t>
      </w:r>
    </w:p>
    <w:p w14:paraId="3FE115FD">
      <w:pPr>
        <w:widowControl/>
        <w:autoSpaceDE w:val="0"/>
        <w:autoSpaceDN w:val="0"/>
        <w:spacing w:line="480" w:lineRule="exact"/>
        <w:ind w:firstLine="480" w:firstLineChars="200"/>
        <w:jc w:val="left"/>
        <w:rPr>
          <w:rFonts w:hint="eastAsia" w:ascii="宋体" w:hAnsi="宋体"/>
          <w:color w:val="auto"/>
          <w:sz w:val="24"/>
          <w:szCs w:val="24"/>
          <w:highlight w:val="none"/>
        </w:rPr>
      </w:pPr>
      <w:r>
        <w:rPr>
          <w:rFonts w:hint="eastAsia" w:ascii="宋体" w:hAnsi="宋体"/>
          <w:color w:val="auto"/>
          <w:sz w:val="24"/>
          <w:szCs w:val="24"/>
          <w:highlight w:val="none"/>
        </w:rPr>
        <w:t>2.4 甲方向乙方提出的要求应符合安全生产法律、法规和强制性标准的规定。</w:t>
      </w:r>
    </w:p>
    <w:p w14:paraId="775938B0">
      <w:pPr>
        <w:widowControl/>
        <w:autoSpaceDE w:val="0"/>
        <w:autoSpaceDN w:val="0"/>
        <w:spacing w:line="480" w:lineRule="exact"/>
        <w:ind w:firstLine="480" w:firstLineChars="200"/>
        <w:jc w:val="left"/>
        <w:rPr>
          <w:rFonts w:hint="eastAsia" w:ascii="宋体" w:hAnsi="宋体"/>
          <w:color w:val="auto"/>
          <w:sz w:val="24"/>
          <w:szCs w:val="24"/>
          <w:highlight w:val="none"/>
        </w:rPr>
      </w:pPr>
      <w:r>
        <w:rPr>
          <w:rFonts w:hint="eastAsia" w:ascii="宋体" w:hAnsi="宋体"/>
          <w:color w:val="auto"/>
          <w:sz w:val="24"/>
          <w:szCs w:val="24"/>
          <w:highlight w:val="none"/>
        </w:rPr>
        <w:t>2.5 甲方不得明示或者暗示乙方购买、租赁、使用不符合安全施工要求的安全防护用具、机械设备、施工机具及配件、消防设施和器材。</w:t>
      </w:r>
    </w:p>
    <w:p w14:paraId="71E0E3D5">
      <w:pPr>
        <w:widowControl/>
        <w:autoSpaceDE w:val="0"/>
        <w:autoSpaceDN w:val="0"/>
        <w:spacing w:line="480" w:lineRule="exact"/>
        <w:ind w:firstLine="480" w:firstLineChars="200"/>
        <w:jc w:val="left"/>
        <w:rPr>
          <w:rFonts w:hint="eastAsia" w:ascii="宋体" w:hAnsi="宋体"/>
          <w:color w:val="auto"/>
          <w:sz w:val="24"/>
          <w:szCs w:val="24"/>
          <w:highlight w:val="none"/>
        </w:rPr>
      </w:pPr>
      <w:r>
        <w:rPr>
          <w:rFonts w:hint="eastAsia" w:ascii="宋体" w:hAnsi="宋体"/>
          <w:color w:val="auto"/>
          <w:sz w:val="24"/>
          <w:szCs w:val="24"/>
          <w:highlight w:val="none"/>
        </w:rPr>
        <w:t>3 乙方权责</w:t>
      </w:r>
    </w:p>
    <w:p w14:paraId="2A5792DC">
      <w:pPr>
        <w:widowControl/>
        <w:autoSpaceDE w:val="0"/>
        <w:autoSpaceDN w:val="0"/>
        <w:spacing w:line="480" w:lineRule="exact"/>
        <w:ind w:firstLine="480" w:firstLineChars="200"/>
        <w:jc w:val="left"/>
        <w:rPr>
          <w:rFonts w:hint="eastAsia" w:ascii="宋体" w:hAnsi="宋体"/>
          <w:color w:val="auto"/>
          <w:sz w:val="24"/>
          <w:szCs w:val="24"/>
          <w:highlight w:val="none"/>
        </w:rPr>
      </w:pPr>
      <w:r>
        <w:rPr>
          <w:rFonts w:hint="eastAsia" w:ascii="宋体" w:hAnsi="宋体"/>
          <w:color w:val="auto"/>
          <w:sz w:val="24"/>
          <w:szCs w:val="24"/>
          <w:highlight w:val="none"/>
        </w:rPr>
        <w:t>乙方法定代表人指定的项目负责人是乙方生产安全、交通安全、治安、消防和环保工作的第一责任人，全面负责乙方施工作业区域及相关责任区域内的安全、治安、消防与卫生工作，并督导本单位和分包单位人员遵守项目现场的各项管理规定。</w:t>
      </w:r>
    </w:p>
    <w:p w14:paraId="3EE19BD0">
      <w:pPr>
        <w:widowControl/>
        <w:autoSpaceDE w:val="0"/>
        <w:autoSpaceDN w:val="0"/>
        <w:spacing w:line="480" w:lineRule="exact"/>
        <w:ind w:firstLine="480" w:firstLineChars="200"/>
        <w:jc w:val="left"/>
        <w:rPr>
          <w:rFonts w:hint="eastAsia" w:ascii="宋体" w:hAnsi="宋体"/>
          <w:color w:val="auto"/>
          <w:sz w:val="24"/>
          <w:szCs w:val="24"/>
          <w:highlight w:val="none"/>
        </w:rPr>
      </w:pPr>
      <w:r>
        <w:rPr>
          <w:rFonts w:hint="eastAsia" w:ascii="宋体" w:hAnsi="宋体"/>
          <w:color w:val="auto"/>
          <w:sz w:val="24"/>
          <w:szCs w:val="24"/>
          <w:highlight w:val="none"/>
        </w:rPr>
        <w:t>乙方的安全管理职责包括但不限于：</w:t>
      </w:r>
    </w:p>
    <w:p w14:paraId="30C11192">
      <w:pPr>
        <w:widowControl/>
        <w:autoSpaceDE w:val="0"/>
        <w:autoSpaceDN w:val="0"/>
        <w:spacing w:line="480" w:lineRule="exact"/>
        <w:ind w:firstLine="480" w:firstLineChars="200"/>
        <w:jc w:val="left"/>
        <w:rPr>
          <w:rFonts w:hint="eastAsia" w:ascii="宋体" w:hAnsi="宋体"/>
          <w:color w:val="auto"/>
          <w:sz w:val="24"/>
          <w:szCs w:val="24"/>
          <w:highlight w:val="none"/>
        </w:rPr>
      </w:pPr>
      <w:r>
        <w:rPr>
          <w:rFonts w:hint="eastAsia" w:ascii="宋体" w:hAnsi="宋体"/>
          <w:color w:val="auto"/>
          <w:sz w:val="24"/>
          <w:szCs w:val="24"/>
          <w:highlight w:val="none"/>
        </w:rPr>
        <w:t>3.1 乙方必须依法建立健全安全生产责任制、安全生产规章制度、安全操作规程、应急预案和运行记录、表单等安全内业资料。</w:t>
      </w:r>
    </w:p>
    <w:p w14:paraId="7CD32306">
      <w:pPr>
        <w:widowControl/>
        <w:autoSpaceDE w:val="0"/>
        <w:autoSpaceDN w:val="0"/>
        <w:spacing w:line="480" w:lineRule="exact"/>
        <w:ind w:firstLine="480" w:firstLineChars="200"/>
        <w:jc w:val="left"/>
        <w:rPr>
          <w:rFonts w:hint="eastAsia" w:ascii="宋体" w:hAnsi="宋体"/>
          <w:color w:val="auto"/>
          <w:sz w:val="24"/>
          <w:szCs w:val="24"/>
          <w:highlight w:val="none"/>
        </w:rPr>
      </w:pPr>
      <w:r>
        <w:rPr>
          <w:rFonts w:hint="eastAsia" w:ascii="宋体" w:hAnsi="宋体"/>
          <w:color w:val="auto"/>
          <w:sz w:val="24"/>
          <w:szCs w:val="24"/>
          <w:highlight w:val="none"/>
        </w:rPr>
        <w:t>3.2 乙方负责对派出人员(包括但不限于乙方员工、乙方分包商人员等)进行上岗前安全教育培训。未经岗前安全教育培训或安全知识考试不合格者严禁进入现场。</w:t>
      </w:r>
    </w:p>
    <w:p w14:paraId="4D2478E4">
      <w:pPr>
        <w:widowControl/>
        <w:autoSpaceDE w:val="0"/>
        <w:autoSpaceDN w:val="0"/>
        <w:spacing w:line="480" w:lineRule="exact"/>
        <w:ind w:firstLine="480" w:firstLineChars="200"/>
        <w:jc w:val="left"/>
        <w:rPr>
          <w:rFonts w:hint="eastAsia" w:ascii="宋体" w:hAnsi="宋体"/>
          <w:color w:val="auto"/>
          <w:sz w:val="24"/>
          <w:szCs w:val="24"/>
          <w:highlight w:val="none"/>
        </w:rPr>
      </w:pPr>
      <w:r>
        <w:rPr>
          <w:rFonts w:hint="eastAsia" w:ascii="宋体" w:hAnsi="宋体"/>
          <w:color w:val="auto"/>
          <w:sz w:val="24"/>
          <w:szCs w:val="24"/>
          <w:highlight w:val="none"/>
        </w:rPr>
        <w:t>3.3 乙方派遣的特种作业人员、特种设备作业人员必须按国家或行业规范要求做到持证上岗，严禁无证操作、无证上岗。乙方保证所有作业人员中没有未成年和不适应现场安全作业的老、弱、病、残人员，作业人员应身体健康。动火作业、临时用电、有限空间、高处作业、吊装等危险性较大作业必须办理相应的审批手续。</w:t>
      </w:r>
    </w:p>
    <w:p w14:paraId="7326A6FD">
      <w:pPr>
        <w:widowControl/>
        <w:autoSpaceDE w:val="0"/>
        <w:autoSpaceDN w:val="0"/>
        <w:spacing w:line="480" w:lineRule="exact"/>
        <w:ind w:firstLine="480" w:firstLineChars="200"/>
        <w:jc w:val="left"/>
        <w:rPr>
          <w:rFonts w:hint="eastAsia" w:ascii="宋体" w:hAnsi="宋体"/>
          <w:color w:val="auto"/>
          <w:sz w:val="24"/>
          <w:szCs w:val="24"/>
          <w:highlight w:val="none"/>
        </w:rPr>
      </w:pPr>
      <w:r>
        <w:rPr>
          <w:rFonts w:hint="eastAsia" w:ascii="宋体" w:hAnsi="宋体"/>
          <w:color w:val="auto"/>
          <w:sz w:val="24"/>
          <w:szCs w:val="24"/>
          <w:highlight w:val="none"/>
        </w:rPr>
        <w:t>3.4 乙方进场必须向甲方提供准确的现场作业人员名册，并向甲方提供相关资质证件（如需）。</w:t>
      </w:r>
    </w:p>
    <w:p w14:paraId="3F2815F7">
      <w:pPr>
        <w:widowControl/>
        <w:autoSpaceDE w:val="0"/>
        <w:autoSpaceDN w:val="0"/>
        <w:spacing w:line="480" w:lineRule="exact"/>
        <w:ind w:firstLine="480" w:firstLineChars="200"/>
        <w:jc w:val="left"/>
        <w:rPr>
          <w:rFonts w:hint="eastAsia" w:ascii="宋体" w:hAnsi="宋体"/>
          <w:color w:val="auto"/>
          <w:sz w:val="24"/>
          <w:szCs w:val="24"/>
          <w:highlight w:val="none"/>
        </w:rPr>
      </w:pPr>
      <w:r>
        <w:rPr>
          <w:rFonts w:hint="eastAsia" w:ascii="宋体" w:hAnsi="宋体"/>
          <w:color w:val="auto"/>
          <w:sz w:val="24"/>
          <w:szCs w:val="24"/>
          <w:highlight w:val="none"/>
        </w:rPr>
        <w:t>3.5 乙方应保证本项目作业人员身体条件符合所从事工作的法定要求。不得安排未经上岗前职业健康检查的人员从事接触职业病危害的作业；不得安排有职业禁忌的人员从事其所禁忌的作业；不得安排未成年工从事存在职业危害的作业。</w:t>
      </w:r>
    </w:p>
    <w:p w14:paraId="0E313B84">
      <w:pPr>
        <w:widowControl/>
        <w:autoSpaceDE w:val="0"/>
        <w:autoSpaceDN w:val="0"/>
        <w:spacing w:line="480" w:lineRule="exact"/>
        <w:ind w:firstLine="480" w:firstLineChars="200"/>
        <w:jc w:val="left"/>
        <w:rPr>
          <w:rFonts w:hint="eastAsia" w:ascii="宋体" w:hAnsi="宋体"/>
          <w:color w:val="auto"/>
          <w:sz w:val="24"/>
          <w:szCs w:val="24"/>
          <w:highlight w:val="none"/>
        </w:rPr>
      </w:pPr>
      <w:r>
        <w:rPr>
          <w:rFonts w:hint="eastAsia" w:ascii="宋体" w:hAnsi="宋体"/>
          <w:color w:val="auto"/>
          <w:sz w:val="24"/>
          <w:szCs w:val="24"/>
          <w:highlight w:val="none"/>
        </w:rPr>
        <w:t>3.6 乙方应为项目人员购买工伤保险、人身意外险。</w:t>
      </w:r>
    </w:p>
    <w:p w14:paraId="671EC11F">
      <w:pPr>
        <w:widowControl/>
        <w:autoSpaceDE w:val="0"/>
        <w:autoSpaceDN w:val="0"/>
        <w:spacing w:line="480" w:lineRule="exact"/>
        <w:ind w:firstLine="480" w:firstLineChars="200"/>
        <w:jc w:val="left"/>
        <w:rPr>
          <w:rFonts w:hint="eastAsia" w:ascii="宋体" w:hAnsi="宋体"/>
          <w:color w:val="auto"/>
          <w:sz w:val="24"/>
          <w:szCs w:val="24"/>
          <w:highlight w:val="none"/>
        </w:rPr>
      </w:pPr>
      <w:r>
        <w:rPr>
          <w:rFonts w:hint="eastAsia" w:ascii="宋体" w:hAnsi="宋体"/>
          <w:color w:val="auto"/>
          <w:sz w:val="24"/>
          <w:szCs w:val="24"/>
          <w:highlight w:val="none"/>
        </w:rPr>
        <w:t>3.7 乙方应积极配合甲方对乙方项目现场安全、消防和环保事项的检查，并根据甲方提出的整改内容及方案积极整改</w:t>
      </w:r>
      <w:r>
        <w:rPr>
          <w:rFonts w:hint="eastAsia" w:ascii="仿宋" w:hAnsi="仿宋" w:eastAsia="仿宋"/>
          <w:color w:val="auto"/>
          <w:sz w:val="32"/>
          <w:szCs w:val="32"/>
          <w:highlight w:val="none"/>
        </w:rPr>
        <w:t>。</w:t>
      </w:r>
    </w:p>
    <w:p w14:paraId="6D7D22DA">
      <w:pPr>
        <w:widowControl/>
        <w:autoSpaceDE w:val="0"/>
        <w:autoSpaceDN w:val="0"/>
        <w:spacing w:line="480" w:lineRule="exact"/>
        <w:ind w:firstLine="480" w:firstLineChars="200"/>
        <w:jc w:val="left"/>
        <w:rPr>
          <w:rFonts w:hint="eastAsia" w:ascii="宋体" w:hAnsi="宋体"/>
          <w:color w:val="auto"/>
          <w:sz w:val="24"/>
          <w:szCs w:val="24"/>
          <w:highlight w:val="none"/>
        </w:rPr>
      </w:pPr>
      <w:r>
        <w:rPr>
          <w:rFonts w:hint="eastAsia" w:ascii="宋体" w:hAnsi="宋体"/>
          <w:color w:val="auto"/>
          <w:sz w:val="24"/>
          <w:szCs w:val="24"/>
          <w:highlight w:val="none"/>
        </w:rPr>
        <w:t>3.8 乙方负责根据相关标准规范及甲方要求，在较大危险因素的场所和有关设施、设备上设置安全警示标志。</w:t>
      </w:r>
    </w:p>
    <w:p w14:paraId="16825A6E">
      <w:pPr>
        <w:widowControl/>
        <w:autoSpaceDE w:val="0"/>
        <w:autoSpaceDN w:val="0"/>
        <w:spacing w:line="480" w:lineRule="exact"/>
        <w:ind w:firstLine="480" w:firstLineChars="200"/>
        <w:jc w:val="left"/>
        <w:rPr>
          <w:rFonts w:hint="eastAsia" w:ascii="宋体" w:hAnsi="宋体"/>
          <w:color w:val="auto"/>
          <w:sz w:val="24"/>
          <w:szCs w:val="24"/>
          <w:highlight w:val="none"/>
        </w:rPr>
      </w:pPr>
      <w:r>
        <w:rPr>
          <w:rFonts w:hint="eastAsia" w:ascii="宋体" w:hAnsi="宋体"/>
          <w:color w:val="auto"/>
          <w:sz w:val="24"/>
          <w:szCs w:val="24"/>
          <w:highlight w:val="none"/>
        </w:rPr>
        <w:t>3.9 乙方应在作业前检查工作人员所在的工作区域、作业环境、安全防护措施、操作设施设备、工器具等有无安全隐患，若存在安全隐患，能够内部解决的，乙方必须及时将隐患解决后方能安排作业人员作业；若需和甲方协调解决的，乙方必须及时以书面形式向甲方反馈，待甲乙双方共同将隐患排除后方可作业。</w:t>
      </w:r>
    </w:p>
    <w:p w14:paraId="28472768">
      <w:pPr>
        <w:widowControl/>
        <w:autoSpaceDE w:val="0"/>
        <w:autoSpaceDN w:val="0"/>
        <w:spacing w:line="480" w:lineRule="exact"/>
        <w:ind w:firstLine="480" w:firstLineChars="200"/>
        <w:jc w:val="left"/>
        <w:rPr>
          <w:rFonts w:hint="eastAsia" w:ascii="宋体" w:hAnsi="宋体"/>
          <w:color w:val="auto"/>
          <w:sz w:val="24"/>
          <w:szCs w:val="24"/>
          <w:highlight w:val="none"/>
        </w:rPr>
      </w:pPr>
      <w:r>
        <w:rPr>
          <w:rFonts w:hint="eastAsia" w:ascii="宋体" w:hAnsi="宋体"/>
          <w:color w:val="auto"/>
          <w:sz w:val="24"/>
          <w:szCs w:val="24"/>
          <w:highlight w:val="none"/>
        </w:rPr>
        <w:t>3.10 乙方接受甲方提供的机械设备、临时用电设施、生活物资等物质条件的，甲方则认为乙方确认了甲方提供的物质条件能满足安全规定并保证安全作业需要。</w:t>
      </w:r>
    </w:p>
    <w:p w14:paraId="6E9E2027">
      <w:pPr>
        <w:widowControl/>
        <w:autoSpaceDE w:val="0"/>
        <w:autoSpaceDN w:val="0"/>
        <w:spacing w:line="480" w:lineRule="exact"/>
        <w:ind w:firstLine="480" w:firstLineChars="200"/>
        <w:jc w:val="left"/>
        <w:rPr>
          <w:rFonts w:hint="eastAsia" w:ascii="宋体" w:hAnsi="宋体"/>
          <w:color w:val="auto"/>
          <w:sz w:val="24"/>
          <w:szCs w:val="24"/>
          <w:highlight w:val="none"/>
        </w:rPr>
      </w:pPr>
      <w:r>
        <w:rPr>
          <w:rFonts w:hint="eastAsia" w:ascii="宋体" w:hAnsi="宋体"/>
          <w:color w:val="auto"/>
          <w:sz w:val="24"/>
          <w:szCs w:val="24"/>
          <w:highlight w:val="none"/>
        </w:rPr>
        <w:t>3.11 乙方不得擅自拆除、移动现场的安全防护措施、安全标志和警告牌。</w:t>
      </w:r>
    </w:p>
    <w:p w14:paraId="7570AF06">
      <w:pPr>
        <w:widowControl/>
        <w:autoSpaceDE w:val="0"/>
        <w:autoSpaceDN w:val="0"/>
        <w:spacing w:line="480" w:lineRule="exact"/>
        <w:ind w:firstLine="480" w:firstLineChars="200"/>
        <w:jc w:val="left"/>
        <w:rPr>
          <w:rFonts w:hint="eastAsia" w:ascii="宋体" w:hAnsi="宋体"/>
          <w:color w:val="auto"/>
          <w:sz w:val="24"/>
          <w:szCs w:val="24"/>
          <w:highlight w:val="none"/>
        </w:rPr>
      </w:pPr>
      <w:r>
        <w:rPr>
          <w:rFonts w:hint="eastAsia" w:ascii="宋体" w:hAnsi="宋体"/>
          <w:color w:val="auto"/>
          <w:sz w:val="24"/>
          <w:szCs w:val="24"/>
          <w:highlight w:val="none"/>
        </w:rPr>
        <w:t>3.12 乙方为派出人员提供合格的安全防护用品，并留有发放清单和产品合格证明材料，同时乙方相关管理人员必须督促工作人员自觉穿戴好安全防护用品。</w:t>
      </w:r>
    </w:p>
    <w:p w14:paraId="7E2D7FF6">
      <w:pPr>
        <w:widowControl/>
        <w:autoSpaceDE w:val="0"/>
        <w:autoSpaceDN w:val="0"/>
        <w:spacing w:line="480" w:lineRule="exact"/>
        <w:ind w:firstLine="480" w:firstLineChars="200"/>
        <w:jc w:val="left"/>
        <w:rPr>
          <w:rFonts w:hint="eastAsia" w:ascii="宋体" w:hAnsi="宋体"/>
          <w:color w:val="auto"/>
          <w:sz w:val="24"/>
          <w:szCs w:val="24"/>
          <w:highlight w:val="none"/>
        </w:rPr>
      </w:pPr>
      <w:r>
        <w:rPr>
          <w:rFonts w:hint="eastAsia" w:ascii="宋体" w:hAnsi="宋体"/>
          <w:color w:val="auto"/>
          <w:sz w:val="24"/>
          <w:szCs w:val="24"/>
          <w:highlight w:val="none"/>
        </w:rPr>
        <w:t>3.13乙方使用的自备设备工具必须合格有效。因乙方自带的设备设施工具存在缺陷造成的安全事故，由乙方承担责任。</w:t>
      </w:r>
    </w:p>
    <w:p w14:paraId="020935E2">
      <w:pPr>
        <w:widowControl/>
        <w:autoSpaceDE w:val="0"/>
        <w:autoSpaceDN w:val="0"/>
        <w:spacing w:line="480" w:lineRule="exact"/>
        <w:ind w:firstLine="480" w:firstLineChars="200"/>
        <w:jc w:val="left"/>
        <w:rPr>
          <w:rFonts w:hint="eastAsia" w:ascii="宋体" w:hAnsi="宋体"/>
          <w:color w:val="auto"/>
          <w:sz w:val="24"/>
          <w:szCs w:val="24"/>
          <w:highlight w:val="none"/>
        </w:rPr>
      </w:pPr>
      <w:r>
        <w:rPr>
          <w:rFonts w:hint="eastAsia" w:ascii="宋体" w:hAnsi="宋体"/>
          <w:color w:val="auto"/>
          <w:sz w:val="24"/>
          <w:szCs w:val="24"/>
          <w:highlight w:val="none"/>
        </w:rPr>
        <w:t>3.14 乙方自带进入施工现场的氧气、乙炔、油料等易燃、易爆危险物品，必须建立专门的安全管理制度，并设专人管理、规范使用。</w:t>
      </w:r>
    </w:p>
    <w:p w14:paraId="0D5BB71D">
      <w:pPr>
        <w:widowControl/>
        <w:autoSpaceDE w:val="0"/>
        <w:autoSpaceDN w:val="0"/>
        <w:spacing w:line="480" w:lineRule="exact"/>
        <w:ind w:firstLine="480" w:firstLineChars="200"/>
        <w:jc w:val="left"/>
        <w:rPr>
          <w:rFonts w:hint="eastAsia" w:ascii="宋体" w:hAnsi="宋体"/>
          <w:color w:val="auto"/>
          <w:sz w:val="24"/>
          <w:szCs w:val="24"/>
          <w:highlight w:val="none"/>
        </w:rPr>
      </w:pPr>
      <w:r>
        <w:rPr>
          <w:rFonts w:hint="eastAsia" w:ascii="宋体" w:hAnsi="宋体"/>
          <w:color w:val="auto"/>
          <w:sz w:val="24"/>
          <w:szCs w:val="24"/>
          <w:highlight w:val="none"/>
        </w:rPr>
        <w:t>3.15 乙方人员在工作现场外发生的违反治安管理规定、违法行为造成的后果，由乙方承担责任。</w:t>
      </w:r>
    </w:p>
    <w:p w14:paraId="2678EAC5">
      <w:pPr>
        <w:widowControl/>
        <w:autoSpaceDE w:val="0"/>
        <w:autoSpaceDN w:val="0"/>
        <w:spacing w:line="480" w:lineRule="exact"/>
        <w:ind w:firstLine="480" w:firstLineChars="200"/>
        <w:jc w:val="left"/>
        <w:rPr>
          <w:rFonts w:hint="eastAsia" w:ascii="宋体" w:hAnsi="宋体"/>
          <w:color w:val="auto"/>
          <w:sz w:val="24"/>
          <w:szCs w:val="24"/>
          <w:highlight w:val="none"/>
        </w:rPr>
      </w:pPr>
      <w:r>
        <w:rPr>
          <w:rFonts w:hint="eastAsia" w:ascii="宋体" w:hAnsi="宋体"/>
          <w:color w:val="auto"/>
          <w:sz w:val="24"/>
          <w:szCs w:val="24"/>
          <w:highlight w:val="none"/>
        </w:rPr>
        <w:t>3.16 乙方必须严格执行《安全生产法》《消防法》《特种设备安全法》等有关安全生产法律法规和甲方有关安全管理方面的规章制度。严格目标管理与控制，加强危险点的预测，严格控制危险点，消除危险源，密切注意危险因素，坚决杜绝危险事件的发生。</w:t>
      </w:r>
    </w:p>
    <w:p w14:paraId="0775DB13">
      <w:pPr>
        <w:widowControl/>
        <w:autoSpaceDE w:val="0"/>
        <w:autoSpaceDN w:val="0"/>
        <w:spacing w:line="480" w:lineRule="exact"/>
        <w:ind w:firstLine="480" w:firstLineChars="200"/>
        <w:jc w:val="left"/>
        <w:rPr>
          <w:rFonts w:hint="eastAsia" w:ascii="宋体" w:hAnsi="宋体"/>
          <w:color w:val="auto"/>
          <w:sz w:val="24"/>
          <w:szCs w:val="24"/>
          <w:highlight w:val="none"/>
        </w:rPr>
      </w:pPr>
      <w:r>
        <w:rPr>
          <w:rFonts w:hint="eastAsia" w:ascii="宋体" w:hAnsi="宋体"/>
          <w:color w:val="auto"/>
          <w:sz w:val="24"/>
          <w:szCs w:val="24"/>
          <w:highlight w:val="none"/>
        </w:rPr>
        <w:t>3.17 乙方必须坚持文明作业过程，对所承担项目区域的文明作业过程负责，做到工完、料尽、场地清，并按《环境保护法》及地方政府部门管理的要求做好项目的环保工作，并承担相应责任。</w:t>
      </w:r>
    </w:p>
    <w:p w14:paraId="0B361D18">
      <w:pPr>
        <w:widowControl/>
        <w:spacing w:line="560" w:lineRule="exact"/>
        <w:ind w:firstLine="480" w:firstLineChars="200"/>
        <w:jc w:val="left"/>
        <w:rPr>
          <w:rFonts w:hint="eastAsia" w:ascii="宋体" w:hAnsi="宋体"/>
          <w:color w:val="auto"/>
          <w:sz w:val="24"/>
          <w:szCs w:val="24"/>
          <w:highlight w:val="none"/>
        </w:rPr>
      </w:pPr>
      <w:r>
        <w:rPr>
          <w:rFonts w:hint="eastAsia" w:ascii="宋体" w:hAnsi="宋体"/>
          <w:color w:val="auto"/>
          <w:sz w:val="24"/>
          <w:szCs w:val="24"/>
          <w:highlight w:val="none"/>
        </w:rPr>
        <w:t>3.18 乙方发生生产安全事故，乙方应当迅速采取有效措施，组织抢救，防止事故扩大，减少人员伤亡和财产损失，并按照国家有关规定立即如实报告当地负有安全生产监督管理职责的部门。</w:t>
      </w:r>
    </w:p>
    <w:p w14:paraId="0FD5BF88">
      <w:pPr>
        <w:widowControl/>
        <w:spacing w:line="560" w:lineRule="exact"/>
        <w:ind w:firstLine="480" w:firstLineChars="200"/>
        <w:jc w:val="left"/>
        <w:rPr>
          <w:rFonts w:hint="eastAsia" w:ascii="宋体" w:hAnsi="宋体"/>
          <w:color w:val="auto"/>
          <w:sz w:val="24"/>
          <w:szCs w:val="24"/>
          <w:highlight w:val="none"/>
        </w:rPr>
      </w:pPr>
      <w:r>
        <w:rPr>
          <w:rFonts w:ascii="宋体" w:hAnsi="宋体"/>
          <w:color w:val="auto"/>
          <w:sz w:val="24"/>
          <w:szCs w:val="24"/>
          <w:highlight w:val="none"/>
        </w:rPr>
        <w:t>3.</w:t>
      </w:r>
      <w:r>
        <w:rPr>
          <w:rFonts w:hint="eastAsia" w:ascii="宋体" w:hAnsi="宋体"/>
          <w:color w:val="auto"/>
          <w:sz w:val="24"/>
          <w:szCs w:val="24"/>
          <w:highlight w:val="none"/>
        </w:rPr>
        <w:t>19</w:t>
      </w:r>
      <w:r>
        <w:rPr>
          <w:rFonts w:ascii="宋体" w:hAnsi="宋体"/>
          <w:color w:val="auto"/>
          <w:sz w:val="24"/>
          <w:szCs w:val="24"/>
          <w:highlight w:val="none"/>
        </w:rPr>
        <w:t xml:space="preserve">. </w:t>
      </w:r>
      <w:r>
        <w:rPr>
          <w:rFonts w:hint="eastAsia" w:ascii="宋体" w:hAnsi="宋体"/>
          <w:color w:val="auto"/>
          <w:sz w:val="24"/>
          <w:szCs w:val="24"/>
          <w:highlight w:val="none"/>
        </w:rPr>
        <w:t>乙方对其施工区域内的所有设施设备、物品负有安全管理责任，一旦发生丢失或损坏，由此产生的所有损失由乙方承担。</w:t>
      </w:r>
    </w:p>
    <w:p w14:paraId="43BDE5F9">
      <w:pPr>
        <w:widowControl/>
        <w:spacing w:line="560" w:lineRule="exact"/>
        <w:ind w:firstLine="480" w:firstLineChars="200"/>
        <w:jc w:val="left"/>
        <w:rPr>
          <w:rFonts w:hint="eastAsia" w:ascii="宋体" w:hAnsi="宋体"/>
          <w:color w:val="auto"/>
          <w:sz w:val="24"/>
          <w:szCs w:val="24"/>
          <w:highlight w:val="none"/>
        </w:rPr>
      </w:pPr>
      <w:r>
        <w:rPr>
          <w:rFonts w:ascii="宋体" w:hAnsi="宋体"/>
          <w:color w:val="auto"/>
          <w:sz w:val="24"/>
          <w:szCs w:val="24"/>
          <w:highlight w:val="none"/>
        </w:rPr>
        <w:t>3.</w:t>
      </w:r>
      <w:r>
        <w:rPr>
          <w:rFonts w:hint="eastAsia" w:ascii="宋体" w:hAnsi="宋体"/>
          <w:color w:val="auto"/>
          <w:sz w:val="24"/>
          <w:szCs w:val="24"/>
          <w:highlight w:val="none"/>
        </w:rPr>
        <w:t>20</w:t>
      </w:r>
      <w:r>
        <w:rPr>
          <w:rFonts w:ascii="宋体" w:hAnsi="宋体"/>
          <w:color w:val="auto"/>
          <w:sz w:val="24"/>
          <w:szCs w:val="24"/>
          <w:highlight w:val="none"/>
        </w:rPr>
        <w:t xml:space="preserve">. </w:t>
      </w:r>
      <w:r>
        <w:rPr>
          <w:rFonts w:hint="eastAsia" w:ascii="宋体" w:hAnsi="宋体"/>
          <w:color w:val="auto"/>
          <w:sz w:val="24"/>
          <w:szCs w:val="24"/>
          <w:highlight w:val="none"/>
        </w:rPr>
        <w:t>乙方应与其协作分包商等相关单位及人员签订安全协议。</w:t>
      </w:r>
    </w:p>
    <w:p w14:paraId="0DF32642">
      <w:pPr>
        <w:widowControl/>
        <w:spacing w:line="560" w:lineRule="exact"/>
        <w:ind w:firstLine="480" w:firstLineChars="200"/>
        <w:jc w:val="left"/>
        <w:rPr>
          <w:rFonts w:hint="eastAsia" w:ascii="宋体" w:hAnsi="宋体"/>
          <w:color w:val="auto"/>
          <w:sz w:val="24"/>
          <w:szCs w:val="24"/>
          <w:highlight w:val="none"/>
        </w:rPr>
      </w:pPr>
      <w:r>
        <w:rPr>
          <w:rFonts w:hint="eastAsia" w:ascii="宋体" w:hAnsi="宋体"/>
          <w:color w:val="auto"/>
          <w:sz w:val="24"/>
          <w:szCs w:val="24"/>
          <w:highlight w:val="none"/>
        </w:rPr>
        <w:t>3.21. 乙方在项目现场用水用电须按照规定执行，乙方不得私拉私接电源线和水管，不得在非甲方指定区域内堆放物品和停放车辆。</w:t>
      </w:r>
    </w:p>
    <w:p w14:paraId="7B1585E3">
      <w:pPr>
        <w:widowControl/>
        <w:spacing w:line="560" w:lineRule="exact"/>
        <w:ind w:firstLine="480" w:firstLineChars="200"/>
        <w:jc w:val="left"/>
        <w:rPr>
          <w:rFonts w:hint="eastAsia" w:ascii="宋体" w:hAnsi="宋体"/>
          <w:color w:val="auto"/>
          <w:sz w:val="24"/>
          <w:szCs w:val="24"/>
          <w:highlight w:val="none"/>
        </w:rPr>
      </w:pPr>
      <w:r>
        <w:rPr>
          <w:rFonts w:ascii="宋体" w:hAnsi="宋体"/>
          <w:color w:val="auto"/>
          <w:sz w:val="24"/>
          <w:szCs w:val="24"/>
          <w:highlight w:val="none"/>
        </w:rPr>
        <w:t>3.</w:t>
      </w:r>
      <w:r>
        <w:rPr>
          <w:rFonts w:hint="eastAsia" w:ascii="宋体" w:hAnsi="宋体"/>
          <w:color w:val="auto"/>
          <w:sz w:val="24"/>
          <w:szCs w:val="24"/>
          <w:highlight w:val="none"/>
        </w:rPr>
        <w:t>22</w:t>
      </w:r>
      <w:r>
        <w:rPr>
          <w:rFonts w:ascii="宋体" w:hAnsi="宋体"/>
          <w:color w:val="auto"/>
          <w:sz w:val="24"/>
          <w:szCs w:val="24"/>
          <w:highlight w:val="none"/>
        </w:rPr>
        <w:t xml:space="preserve">. </w:t>
      </w:r>
      <w:r>
        <w:rPr>
          <w:rFonts w:hint="eastAsia" w:ascii="宋体" w:hAnsi="宋体"/>
          <w:color w:val="auto"/>
          <w:sz w:val="24"/>
          <w:szCs w:val="24"/>
          <w:highlight w:val="none"/>
        </w:rPr>
        <w:t>乙方施工工作影响到现场其他人员的安全时，需在第一时间停止施工并及时通知甲方及相关单位。如发生意外事件时，乙方应立即采取应急应对措施，防止事故的发生和扩大，并负责善后处理。</w:t>
      </w:r>
    </w:p>
    <w:p w14:paraId="4736C8C7">
      <w:pPr>
        <w:widowControl/>
        <w:autoSpaceDE w:val="0"/>
        <w:autoSpaceDN w:val="0"/>
        <w:spacing w:line="480" w:lineRule="exact"/>
        <w:ind w:firstLine="480" w:firstLineChars="200"/>
        <w:jc w:val="left"/>
        <w:rPr>
          <w:rFonts w:hint="eastAsia" w:ascii="宋体" w:hAnsi="宋体"/>
          <w:color w:val="auto"/>
          <w:sz w:val="24"/>
          <w:szCs w:val="24"/>
          <w:highlight w:val="none"/>
        </w:rPr>
      </w:pPr>
      <w:r>
        <w:rPr>
          <w:rFonts w:hint="eastAsia" w:ascii="宋体" w:hAnsi="宋体"/>
          <w:color w:val="auto"/>
          <w:sz w:val="24"/>
          <w:szCs w:val="24"/>
          <w:highlight w:val="none"/>
        </w:rPr>
        <w:t>4 其他</w:t>
      </w:r>
    </w:p>
    <w:p w14:paraId="0A2309FE">
      <w:pPr>
        <w:spacing w:line="560" w:lineRule="exact"/>
        <w:ind w:firstLine="477" w:firstLineChars="199"/>
        <w:rPr>
          <w:rFonts w:hint="eastAsia" w:ascii="仿宋" w:hAnsi="仿宋" w:eastAsia="仿宋"/>
          <w:color w:val="auto"/>
          <w:sz w:val="32"/>
          <w:szCs w:val="32"/>
          <w:highlight w:val="none"/>
        </w:rPr>
      </w:pPr>
      <w:r>
        <w:rPr>
          <w:rFonts w:hint="eastAsia" w:ascii="宋体" w:hAnsi="宋体"/>
          <w:color w:val="auto"/>
          <w:sz w:val="24"/>
          <w:szCs w:val="24"/>
          <w:highlight w:val="none"/>
        </w:rPr>
        <w:t>4.1 本协议一式两份，甲乙双方各持一份，自协议签字盖章后生效，至该项目合同到期终止。</w:t>
      </w:r>
    </w:p>
    <w:p w14:paraId="34C181DE">
      <w:pPr>
        <w:spacing w:line="560" w:lineRule="exact"/>
        <w:ind w:firstLine="480" w:firstLineChars="200"/>
        <w:rPr>
          <w:rFonts w:hint="eastAsia" w:ascii="仿宋" w:hAnsi="仿宋" w:eastAsia="仿宋"/>
          <w:color w:val="auto"/>
          <w:sz w:val="32"/>
          <w:szCs w:val="32"/>
          <w:highlight w:val="none"/>
        </w:rPr>
      </w:pPr>
      <w:r>
        <w:rPr>
          <w:rFonts w:hint="eastAsia" w:ascii="宋体" w:hAnsi="宋体"/>
          <w:color w:val="auto"/>
          <w:sz w:val="24"/>
          <w:szCs w:val="24"/>
          <w:highlight w:val="none"/>
        </w:rPr>
        <w:t>4.2如本项目有主合同，则本协议为主合同的附件，与主合同具有同等法律效力，自主合同签字盖章后同时生效，至该项目合同到期止。</w:t>
      </w:r>
    </w:p>
    <w:p w14:paraId="75C1AB6C">
      <w:pPr>
        <w:widowControl/>
        <w:autoSpaceDE w:val="0"/>
        <w:autoSpaceDN w:val="0"/>
        <w:spacing w:line="480" w:lineRule="exact"/>
        <w:ind w:firstLine="480" w:firstLineChars="200"/>
        <w:jc w:val="left"/>
        <w:rPr>
          <w:rFonts w:hint="eastAsia" w:ascii="宋体" w:hAnsi="宋体"/>
          <w:color w:val="auto"/>
          <w:sz w:val="24"/>
          <w:szCs w:val="24"/>
          <w:highlight w:val="none"/>
        </w:rPr>
      </w:pPr>
      <w:r>
        <w:rPr>
          <w:rFonts w:hint="eastAsia" w:ascii="宋体" w:hAnsi="宋体"/>
          <w:color w:val="auto"/>
          <w:sz w:val="24"/>
          <w:szCs w:val="24"/>
          <w:highlight w:val="none"/>
        </w:rPr>
        <w:t>4.3 双方可在主合同中详细约定其他违约责任条款。主合同与本协议的约定不一致时，以主合同的约定为准。</w:t>
      </w:r>
    </w:p>
    <w:p w14:paraId="43FF5118">
      <w:pPr>
        <w:widowControl/>
        <w:autoSpaceDE w:val="0"/>
        <w:autoSpaceDN w:val="0"/>
        <w:spacing w:line="480" w:lineRule="exact"/>
        <w:ind w:firstLine="480" w:firstLineChars="200"/>
        <w:jc w:val="left"/>
        <w:rPr>
          <w:rFonts w:hint="eastAsia" w:ascii="宋体" w:hAnsi="宋体"/>
          <w:color w:val="auto"/>
          <w:sz w:val="24"/>
          <w:szCs w:val="24"/>
          <w:highlight w:val="none"/>
        </w:rPr>
      </w:pPr>
      <w:r>
        <w:rPr>
          <w:rFonts w:hint="eastAsia" w:ascii="宋体" w:hAnsi="宋体"/>
          <w:color w:val="auto"/>
          <w:sz w:val="24"/>
          <w:szCs w:val="24"/>
          <w:highlight w:val="none"/>
        </w:rPr>
        <w:t xml:space="preserve"> </w:t>
      </w:r>
    </w:p>
    <w:p w14:paraId="30411E12">
      <w:pPr>
        <w:widowControl/>
        <w:autoSpaceDE w:val="0"/>
        <w:autoSpaceDN w:val="0"/>
        <w:spacing w:line="480" w:lineRule="exact"/>
        <w:ind w:firstLine="480" w:firstLineChars="200"/>
        <w:jc w:val="left"/>
        <w:rPr>
          <w:rFonts w:hint="eastAsia" w:ascii="宋体" w:hAnsi="宋体"/>
          <w:color w:val="auto"/>
          <w:sz w:val="24"/>
          <w:szCs w:val="24"/>
          <w:highlight w:val="none"/>
        </w:rPr>
      </w:pPr>
      <w:r>
        <w:rPr>
          <w:rFonts w:hint="eastAsia" w:ascii="宋体" w:hAnsi="宋体"/>
          <w:color w:val="auto"/>
          <w:sz w:val="24"/>
          <w:szCs w:val="24"/>
          <w:highlight w:val="none"/>
        </w:rPr>
        <w:t xml:space="preserve"> </w:t>
      </w:r>
    </w:p>
    <w:p w14:paraId="38FAF938">
      <w:pPr>
        <w:widowControl/>
        <w:autoSpaceDE w:val="0"/>
        <w:autoSpaceDN w:val="0"/>
        <w:spacing w:line="480" w:lineRule="exact"/>
        <w:ind w:firstLine="480" w:firstLineChars="200"/>
        <w:jc w:val="left"/>
        <w:rPr>
          <w:rFonts w:hint="eastAsia" w:ascii="宋体" w:hAnsi="宋体"/>
          <w:color w:val="auto"/>
          <w:sz w:val="24"/>
          <w:szCs w:val="24"/>
          <w:highlight w:val="none"/>
        </w:rPr>
      </w:pPr>
      <w:r>
        <w:rPr>
          <w:rFonts w:hint="eastAsia" w:ascii="宋体" w:hAnsi="宋体"/>
          <w:color w:val="auto"/>
          <w:sz w:val="24"/>
          <w:szCs w:val="24"/>
          <w:highlight w:val="none"/>
        </w:rPr>
        <w:t>甲方：</w:t>
      </w:r>
      <w:r>
        <w:rPr>
          <w:rFonts w:hint="eastAsia" w:ascii="宋体" w:hAnsi="宋体"/>
          <w:color w:val="auto"/>
          <w:sz w:val="24"/>
          <w:szCs w:val="24"/>
          <w:highlight w:val="none"/>
          <w:lang w:val="en-US" w:eastAsia="zh-CN"/>
        </w:rPr>
        <w:t xml:space="preserve">                              </w:t>
      </w:r>
      <w:r>
        <w:rPr>
          <w:rFonts w:hint="eastAsia" w:ascii="宋体" w:hAnsi="宋体"/>
          <w:color w:val="auto"/>
          <w:sz w:val="24"/>
          <w:szCs w:val="24"/>
          <w:highlight w:val="none"/>
        </w:rPr>
        <w:t xml:space="preserve"> 乙方：</w:t>
      </w:r>
    </w:p>
    <w:p w14:paraId="58AAAE3F">
      <w:pPr>
        <w:widowControl/>
        <w:autoSpaceDE w:val="0"/>
        <w:autoSpaceDN w:val="0"/>
        <w:spacing w:line="480" w:lineRule="exact"/>
        <w:ind w:firstLine="480" w:firstLineChars="200"/>
        <w:jc w:val="left"/>
        <w:rPr>
          <w:rFonts w:hint="eastAsia" w:ascii="宋体" w:hAnsi="宋体"/>
          <w:color w:val="auto"/>
          <w:sz w:val="24"/>
          <w:szCs w:val="24"/>
          <w:highlight w:val="none"/>
        </w:rPr>
      </w:pPr>
      <w:r>
        <w:rPr>
          <w:rFonts w:hint="eastAsia" w:ascii="宋体" w:hAnsi="宋体"/>
          <w:color w:val="auto"/>
          <w:sz w:val="24"/>
          <w:szCs w:val="24"/>
          <w:highlight w:val="none"/>
        </w:rPr>
        <w:t>法定代表人（代表）：                 法定代表人（代表）：</w:t>
      </w:r>
    </w:p>
    <w:p w14:paraId="3492650A">
      <w:pPr>
        <w:widowControl/>
        <w:autoSpaceDE w:val="0"/>
        <w:autoSpaceDN w:val="0"/>
        <w:spacing w:line="480" w:lineRule="exact"/>
        <w:ind w:firstLine="480" w:firstLineChars="200"/>
        <w:jc w:val="left"/>
        <w:rPr>
          <w:rFonts w:hint="eastAsia" w:ascii="宋体" w:hAnsi="宋体"/>
          <w:color w:val="auto"/>
          <w:sz w:val="24"/>
          <w:szCs w:val="24"/>
          <w:highlight w:val="none"/>
        </w:rPr>
      </w:pPr>
      <w:r>
        <w:rPr>
          <w:rFonts w:hint="eastAsia" w:ascii="宋体" w:hAnsi="宋体"/>
          <w:color w:val="auto"/>
          <w:sz w:val="24"/>
          <w:szCs w:val="24"/>
          <w:highlight w:val="none"/>
        </w:rPr>
        <w:t xml:space="preserve"> </w:t>
      </w:r>
    </w:p>
    <w:p w14:paraId="13625220">
      <w:pPr>
        <w:widowControl/>
        <w:wordWrap w:val="0"/>
        <w:spacing w:line="360" w:lineRule="auto"/>
        <w:ind w:firstLine="960" w:firstLineChars="400"/>
        <w:jc w:val="left"/>
        <w:rPr>
          <w:color w:val="auto"/>
          <w:highlight w:val="none"/>
        </w:rPr>
      </w:pPr>
      <w:r>
        <w:rPr>
          <w:rFonts w:hint="eastAsia" w:ascii="宋体" w:hAnsi="宋体"/>
          <w:color w:val="auto"/>
          <w:sz w:val="24"/>
          <w:szCs w:val="24"/>
          <w:highlight w:val="none"/>
        </w:rPr>
        <w:t>年   月   日                          年   月   日</w:t>
      </w:r>
    </w:p>
    <w:bookmarkEnd w:id="201"/>
    <w:bookmarkEnd w:id="202"/>
    <w:p w14:paraId="6B39193D">
      <w:pPr>
        <w:rPr>
          <w:b/>
          <w:bCs/>
          <w:color w:val="auto"/>
          <w:sz w:val="40"/>
          <w:szCs w:val="40"/>
          <w:highlight w:val="none"/>
        </w:rPr>
      </w:pPr>
    </w:p>
    <w:bookmarkEnd w:id="142"/>
    <w:bookmarkEnd w:id="143"/>
    <w:bookmarkEnd w:id="144"/>
    <w:bookmarkEnd w:id="145"/>
    <w:bookmarkEnd w:id="146"/>
    <w:bookmarkEnd w:id="147"/>
    <w:p w14:paraId="733D23AE">
      <w:pPr>
        <w:pStyle w:val="2"/>
        <w:pageBreakBefore/>
        <w:spacing w:beforeLines="50" w:afterLines="50" w:line="460" w:lineRule="exact"/>
        <w:jc w:val="center"/>
        <w:rPr>
          <w:rFonts w:ascii="宋体" w:hAnsi="宋体" w:eastAsia="宋体" w:cs="宋体"/>
          <w:color w:val="auto"/>
          <w:highlight w:val="none"/>
        </w:rPr>
      </w:pPr>
      <w:bookmarkStart w:id="203" w:name="_Toc526873936"/>
      <w:bookmarkStart w:id="204" w:name="_Toc2025"/>
      <w:r>
        <w:rPr>
          <w:rFonts w:hint="eastAsia" w:ascii="宋体" w:hAnsi="宋体" w:eastAsia="宋体" w:cs="宋体"/>
          <w:color w:val="auto"/>
          <w:highlight w:val="none"/>
        </w:rPr>
        <w:t>第五章  响应文件格式</w:t>
      </w:r>
      <w:bookmarkEnd w:id="203"/>
      <w:bookmarkEnd w:id="204"/>
    </w:p>
    <w:p w14:paraId="3177FD2F">
      <w:pPr>
        <w:shd w:val="clear" w:color="auto"/>
        <w:jc w:val="center"/>
        <w:outlineLvl w:val="0"/>
        <w:rPr>
          <w:rFonts w:ascii="宋体" w:hAnsi="宋体" w:cs="宋体"/>
          <w:b/>
          <w:bCs/>
          <w:color w:val="auto"/>
          <w:highlight w:val="none"/>
        </w:rPr>
      </w:pPr>
      <w:bookmarkStart w:id="205" w:name="_Toc24799"/>
      <w:bookmarkStart w:id="206" w:name="_Toc2943"/>
      <w:r>
        <w:rPr>
          <w:rFonts w:hint="eastAsia" w:ascii="宋体" w:hAnsi="宋体" w:cs="宋体"/>
          <w:b/>
          <w:bCs/>
          <w:color w:val="auto"/>
          <w:highlight w:val="none"/>
        </w:rPr>
        <w:t>（本章格式文件可供参考，供应商可根据项目实际需求进行编制）</w:t>
      </w:r>
      <w:bookmarkEnd w:id="205"/>
      <w:bookmarkEnd w:id="206"/>
    </w:p>
    <w:p w14:paraId="08702D7C">
      <w:pPr>
        <w:shd w:val="clear" w:color="auto"/>
        <w:autoSpaceDE w:val="0"/>
        <w:autoSpaceDN w:val="0"/>
        <w:adjustRightInd w:val="0"/>
        <w:spacing w:line="300" w:lineRule="auto"/>
        <w:jc w:val="left"/>
        <w:rPr>
          <w:rFonts w:ascii="宋体" w:hAnsi="宋体" w:cs="宋体"/>
          <w:color w:val="auto"/>
          <w:sz w:val="24"/>
          <w:highlight w:val="none"/>
        </w:rPr>
      </w:pPr>
      <w:r>
        <w:rPr>
          <w:rFonts w:hint="eastAsia" w:ascii="宋体" w:hAnsi="宋体" w:cs="宋体"/>
          <w:color w:val="auto"/>
          <w:sz w:val="24"/>
          <w:highlight w:val="none"/>
        </w:rPr>
        <w:t xml:space="preserve">                             </w:t>
      </w:r>
    </w:p>
    <w:p w14:paraId="26BBD4EE">
      <w:pPr>
        <w:shd w:val="clear" w:color="auto"/>
        <w:autoSpaceDE w:val="0"/>
        <w:autoSpaceDN w:val="0"/>
        <w:adjustRightInd w:val="0"/>
        <w:spacing w:line="300" w:lineRule="auto"/>
        <w:jc w:val="center"/>
        <w:rPr>
          <w:rFonts w:ascii="宋体" w:hAnsi="宋体" w:cs="宋体"/>
          <w:color w:val="auto"/>
          <w:sz w:val="32"/>
          <w:szCs w:val="32"/>
          <w:highlight w:val="none"/>
        </w:rPr>
      </w:pPr>
      <w:r>
        <w:rPr>
          <w:rFonts w:hint="eastAsia" w:ascii="宋体" w:hAnsi="宋体" w:cs="宋体"/>
          <w:color w:val="auto"/>
          <w:sz w:val="32"/>
          <w:szCs w:val="32"/>
          <w:highlight w:val="none"/>
        </w:rPr>
        <w:t xml:space="preserve"> </w:t>
      </w:r>
      <w:r>
        <w:rPr>
          <w:rFonts w:hint="eastAsia" w:ascii="宋体" w:hAnsi="宋体" w:cs="宋体"/>
          <w:color w:val="auto"/>
          <w:sz w:val="32"/>
          <w:szCs w:val="32"/>
          <w:highlight w:val="none"/>
          <w:lang w:eastAsia="zh-CN"/>
        </w:rPr>
        <w:t>（</w:t>
      </w:r>
      <w:r>
        <w:rPr>
          <w:rFonts w:hint="eastAsia" w:ascii="宋体" w:hAnsi="宋体" w:cs="宋体"/>
          <w:color w:val="auto"/>
          <w:sz w:val="32"/>
          <w:szCs w:val="32"/>
          <w:highlight w:val="none"/>
        </w:rPr>
        <w:t>封面）</w:t>
      </w:r>
    </w:p>
    <w:p w14:paraId="4E64BC4E">
      <w:pPr>
        <w:shd w:val="clear" w:color="auto"/>
        <w:jc w:val="center"/>
        <w:rPr>
          <w:rFonts w:ascii="宋体" w:hAnsi="宋体" w:cs="宋体"/>
          <w:b/>
          <w:bCs/>
          <w:color w:val="auto"/>
          <w:sz w:val="72"/>
          <w:szCs w:val="72"/>
          <w:highlight w:val="none"/>
        </w:rPr>
      </w:pPr>
      <w:r>
        <w:rPr>
          <w:rFonts w:hint="eastAsia" w:ascii="宋体" w:hAnsi="宋体" w:cs="宋体"/>
          <w:b/>
          <w:bCs/>
          <w:color w:val="auto"/>
          <w:sz w:val="72"/>
          <w:szCs w:val="72"/>
          <w:highlight w:val="none"/>
        </w:rPr>
        <w:t>采购项目</w:t>
      </w:r>
    </w:p>
    <w:p w14:paraId="610F85A6">
      <w:pPr>
        <w:shd w:val="clear" w:color="auto"/>
        <w:jc w:val="center"/>
        <w:rPr>
          <w:rFonts w:ascii="宋体" w:hAnsi="宋体" w:cs="宋体"/>
          <w:b/>
          <w:bCs/>
          <w:color w:val="auto"/>
          <w:sz w:val="72"/>
          <w:szCs w:val="72"/>
          <w:highlight w:val="none"/>
        </w:rPr>
      </w:pPr>
      <w:r>
        <w:rPr>
          <w:rFonts w:hint="eastAsia" w:ascii="宋体" w:hAnsi="宋体" w:cs="宋体"/>
          <w:b/>
          <w:bCs/>
          <w:color w:val="auto"/>
          <w:sz w:val="72"/>
          <w:szCs w:val="72"/>
          <w:highlight w:val="none"/>
        </w:rPr>
        <w:t>响应文件</w:t>
      </w:r>
    </w:p>
    <w:p w14:paraId="11E14CA4">
      <w:pPr>
        <w:shd w:val="clear" w:color="auto"/>
        <w:jc w:val="center"/>
        <w:rPr>
          <w:rFonts w:ascii="宋体" w:hAnsi="宋体" w:cs="宋体"/>
          <w:b/>
          <w:bCs/>
          <w:color w:val="auto"/>
          <w:sz w:val="72"/>
          <w:szCs w:val="72"/>
          <w:highlight w:val="none"/>
        </w:rPr>
      </w:pPr>
      <w:r>
        <w:rPr>
          <w:rFonts w:hint="eastAsia" w:ascii="宋体" w:hAnsi="宋体" w:cs="宋体"/>
          <w:b/>
          <w:bCs/>
          <w:color w:val="auto"/>
          <w:sz w:val="72"/>
          <w:szCs w:val="72"/>
          <w:highlight w:val="none"/>
        </w:rPr>
        <w:t> </w:t>
      </w:r>
    </w:p>
    <w:p w14:paraId="64AF32B9">
      <w:pPr>
        <w:shd w:val="clear" w:color="auto"/>
        <w:ind w:firstLine="1084" w:firstLineChars="300"/>
        <w:rPr>
          <w:rFonts w:ascii="宋体" w:hAnsi="宋体" w:cs="宋体"/>
          <w:b/>
          <w:bCs/>
          <w:color w:val="auto"/>
          <w:sz w:val="36"/>
          <w:szCs w:val="36"/>
          <w:highlight w:val="none"/>
        </w:rPr>
      </w:pPr>
    </w:p>
    <w:p w14:paraId="5E5484E4">
      <w:pPr>
        <w:shd w:val="clear" w:color="auto"/>
        <w:ind w:firstLine="1084" w:firstLineChars="300"/>
        <w:rPr>
          <w:rFonts w:hint="eastAsia" w:ascii="宋体" w:hAnsi="宋体" w:cs="宋体"/>
          <w:b/>
          <w:bCs/>
          <w:color w:val="auto"/>
          <w:sz w:val="36"/>
          <w:szCs w:val="36"/>
          <w:highlight w:val="none"/>
          <w:lang w:val="en-US" w:eastAsia="zh-CN"/>
        </w:rPr>
      </w:pPr>
      <w:r>
        <w:rPr>
          <w:rFonts w:hint="eastAsia" w:ascii="宋体" w:hAnsi="宋体" w:cs="宋体"/>
          <w:b/>
          <w:bCs/>
          <w:color w:val="auto"/>
          <w:sz w:val="36"/>
          <w:szCs w:val="36"/>
          <w:highlight w:val="none"/>
        </w:rPr>
        <w:t>项 目 名 称：</w:t>
      </w:r>
      <w:r>
        <w:rPr>
          <w:rFonts w:hint="eastAsia" w:ascii="宋体" w:hAnsi="宋体" w:cs="宋体"/>
          <w:b/>
          <w:bCs/>
          <w:color w:val="auto"/>
          <w:sz w:val="36"/>
          <w:szCs w:val="36"/>
          <w:highlight w:val="none"/>
          <w:lang w:eastAsia="zh-CN"/>
        </w:rPr>
        <w:t>源昌国际城维序服务</w:t>
      </w:r>
      <w:r>
        <w:rPr>
          <w:rFonts w:hint="eastAsia" w:ascii="宋体" w:hAnsi="宋体" w:cs="宋体"/>
          <w:b/>
          <w:bCs/>
          <w:color w:val="auto"/>
          <w:sz w:val="36"/>
          <w:szCs w:val="36"/>
          <w:highlight w:val="none"/>
          <w:lang w:val="en-US" w:eastAsia="zh-CN"/>
        </w:rPr>
        <w:t>服务</w:t>
      </w:r>
    </w:p>
    <w:p w14:paraId="0653FCD3">
      <w:pPr>
        <w:shd w:val="clear" w:color="auto"/>
        <w:ind w:firstLine="1084" w:firstLineChars="300"/>
        <w:rPr>
          <w:rFonts w:hint="eastAsia" w:ascii="宋体" w:hAnsi="宋体" w:eastAsia="宋体" w:cs="宋体"/>
          <w:b/>
          <w:bCs/>
          <w:color w:val="auto"/>
          <w:sz w:val="36"/>
          <w:szCs w:val="36"/>
          <w:highlight w:val="none"/>
          <w:u w:val="single"/>
          <w:lang w:eastAsia="zh-CN"/>
        </w:rPr>
      </w:pPr>
      <w:r>
        <w:rPr>
          <w:rFonts w:hint="eastAsia" w:ascii="宋体" w:hAnsi="宋体" w:cs="宋体"/>
          <w:b/>
          <w:bCs/>
          <w:color w:val="auto"/>
          <w:sz w:val="36"/>
          <w:szCs w:val="36"/>
          <w:highlight w:val="none"/>
        </w:rPr>
        <w:t>采 购 编 号：</w:t>
      </w:r>
      <w:r>
        <w:rPr>
          <w:rFonts w:hint="eastAsia" w:ascii="宋体" w:hAnsi="宋体" w:cs="宋体"/>
          <w:b/>
          <w:bCs/>
          <w:color w:val="auto"/>
          <w:sz w:val="36"/>
          <w:szCs w:val="36"/>
          <w:highlight w:val="none"/>
          <w:lang w:eastAsia="zh-CN"/>
        </w:rPr>
        <w:t xml:space="preserve"> </w:t>
      </w:r>
      <w:r>
        <w:rPr>
          <w:rFonts w:hint="eastAsia" w:ascii="宋体" w:hAnsi="宋体" w:cs="宋体"/>
          <w:b/>
          <w:bCs/>
          <w:color w:val="auto"/>
          <w:sz w:val="36"/>
          <w:szCs w:val="36"/>
          <w:highlight w:val="none"/>
          <w:lang w:val="en-US" w:eastAsia="zh-CN"/>
        </w:rPr>
        <w:t>GTWY2025-011</w:t>
      </w:r>
    </w:p>
    <w:p w14:paraId="35648DE7">
      <w:pPr>
        <w:shd w:val="clear" w:color="auto"/>
        <w:rPr>
          <w:rFonts w:ascii="宋体" w:hAnsi="宋体" w:cs="宋体"/>
          <w:b/>
          <w:bCs/>
          <w:color w:val="auto"/>
          <w:sz w:val="36"/>
          <w:szCs w:val="36"/>
          <w:highlight w:val="none"/>
        </w:rPr>
      </w:pPr>
      <w:r>
        <w:rPr>
          <w:rFonts w:hint="eastAsia" w:ascii="宋体" w:hAnsi="宋体" w:cs="宋体"/>
          <w:b/>
          <w:bCs/>
          <w:color w:val="auto"/>
          <w:sz w:val="36"/>
          <w:szCs w:val="36"/>
          <w:highlight w:val="none"/>
        </w:rPr>
        <w:t> </w:t>
      </w:r>
    </w:p>
    <w:p w14:paraId="7B5A18D1">
      <w:pPr>
        <w:shd w:val="clear" w:color="auto"/>
        <w:rPr>
          <w:rFonts w:ascii="宋体" w:hAnsi="宋体" w:cs="宋体"/>
          <w:b/>
          <w:bCs/>
          <w:color w:val="auto"/>
          <w:sz w:val="36"/>
          <w:szCs w:val="36"/>
          <w:highlight w:val="none"/>
        </w:rPr>
      </w:pPr>
      <w:r>
        <w:rPr>
          <w:rFonts w:hint="eastAsia" w:ascii="宋体" w:hAnsi="宋体" w:cs="宋体"/>
          <w:b/>
          <w:bCs/>
          <w:color w:val="auto"/>
          <w:sz w:val="36"/>
          <w:szCs w:val="36"/>
          <w:highlight w:val="none"/>
        </w:rPr>
        <w:t>   </w:t>
      </w:r>
    </w:p>
    <w:p w14:paraId="2D050117">
      <w:pPr>
        <w:shd w:val="clear" w:color="auto"/>
        <w:rPr>
          <w:rFonts w:ascii="宋体" w:hAnsi="宋体" w:cs="宋体"/>
          <w:b/>
          <w:bCs/>
          <w:color w:val="auto"/>
          <w:sz w:val="36"/>
          <w:szCs w:val="36"/>
          <w:highlight w:val="none"/>
        </w:rPr>
      </w:pPr>
    </w:p>
    <w:p w14:paraId="3B630D07">
      <w:pPr>
        <w:shd w:val="clear" w:color="auto"/>
        <w:rPr>
          <w:rFonts w:ascii="宋体" w:hAnsi="宋体" w:cs="宋体"/>
          <w:b/>
          <w:bCs/>
          <w:color w:val="auto"/>
          <w:sz w:val="36"/>
          <w:szCs w:val="36"/>
          <w:highlight w:val="none"/>
          <w:u w:val="single"/>
        </w:rPr>
      </w:pPr>
      <w:r>
        <w:rPr>
          <w:rFonts w:hint="eastAsia" w:ascii="宋体" w:hAnsi="宋体" w:cs="宋体"/>
          <w:b/>
          <w:bCs/>
          <w:color w:val="auto"/>
          <w:sz w:val="36"/>
          <w:szCs w:val="36"/>
          <w:highlight w:val="none"/>
        </w:rPr>
        <w:t xml:space="preserve">      供应商全称 ：</w:t>
      </w:r>
    </w:p>
    <w:p w14:paraId="0FC9695B">
      <w:pPr>
        <w:shd w:val="clear" w:color="auto"/>
        <w:ind w:firstLine="1084" w:firstLineChars="300"/>
        <w:rPr>
          <w:rFonts w:ascii="宋体" w:hAnsi="宋体" w:cs="宋体"/>
          <w:b/>
          <w:bCs/>
          <w:color w:val="auto"/>
          <w:sz w:val="36"/>
          <w:szCs w:val="36"/>
          <w:highlight w:val="none"/>
        </w:rPr>
      </w:pPr>
      <w:r>
        <w:rPr>
          <w:rFonts w:hint="eastAsia" w:ascii="宋体" w:hAnsi="宋体" w:cs="宋体"/>
          <w:b/>
          <w:bCs/>
          <w:color w:val="auto"/>
          <w:sz w:val="36"/>
          <w:szCs w:val="36"/>
          <w:highlight w:val="none"/>
        </w:rPr>
        <w:t>日      期 ：</w:t>
      </w:r>
    </w:p>
    <w:p w14:paraId="2BEADE99">
      <w:pPr>
        <w:tabs>
          <w:tab w:val="left" w:pos="900"/>
        </w:tabs>
        <w:spacing w:line="440" w:lineRule="exact"/>
        <w:jc w:val="center"/>
        <w:rPr>
          <w:rFonts w:ascii="宋体" w:hAnsi="宋体" w:cs="宋体"/>
          <w:b/>
          <w:color w:val="auto"/>
          <w:sz w:val="30"/>
          <w:szCs w:val="30"/>
          <w:highlight w:val="none"/>
        </w:rPr>
        <w:sectPr>
          <w:headerReference r:id="rId61" w:type="default"/>
          <w:footerReference r:id="rId62" w:type="default"/>
          <w:pgSz w:w="11906" w:h="16838"/>
          <w:pgMar w:top="1440" w:right="1083" w:bottom="1440" w:left="1083" w:header="851" w:footer="992" w:gutter="0"/>
          <w:pgNumType w:fmt="decimal"/>
          <w:cols w:space="0" w:num="1"/>
          <w:docGrid w:type="lines" w:linePitch="405" w:charSpace="0"/>
        </w:sectPr>
      </w:pPr>
    </w:p>
    <w:p w14:paraId="6FB17034">
      <w:pPr>
        <w:spacing w:line="360" w:lineRule="auto"/>
        <w:jc w:val="center"/>
        <w:rPr>
          <w:rFonts w:ascii="宋体" w:hAnsi="宋体" w:cs="宋体"/>
          <w:b/>
          <w:bCs/>
          <w:color w:val="auto"/>
          <w:sz w:val="32"/>
          <w:highlight w:val="none"/>
        </w:rPr>
      </w:pPr>
      <w:r>
        <w:rPr>
          <w:rFonts w:hint="eastAsia" w:ascii="宋体" w:hAnsi="宋体" w:cs="宋体"/>
          <w:b/>
          <w:bCs/>
          <w:color w:val="auto"/>
          <w:sz w:val="32"/>
          <w:highlight w:val="none"/>
        </w:rPr>
        <w:t>目录</w:t>
      </w:r>
    </w:p>
    <w:p w14:paraId="42729E9E">
      <w:pPr>
        <w:spacing w:line="360" w:lineRule="auto"/>
        <w:rPr>
          <w:rFonts w:ascii="宋体" w:hAnsi="宋体" w:cs="宋体"/>
          <w:color w:val="auto"/>
          <w:sz w:val="24"/>
          <w:highlight w:val="none"/>
        </w:rPr>
      </w:pPr>
    </w:p>
    <w:p w14:paraId="2744ECFC">
      <w:pPr>
        <w:spacing w:line="360" w:lineRule="auto"/>
        <w:rPr>
          <w:rFonts w:ascii="宋体" w:hAnsi="宋体" w:cs="宋体"/>
          <w:color w:val="auto"/>
          <w:sz w:val="24"/>
          <w:highlight w:val="none"/>
        </w:rPr>
      </w:pPr>
      <w:r>
        <w:rPr>
          <w:rFonts w:hint="eastAsia" w:ascii="宋体" w:hAnsi="宋体" w:cs="宋体"/>
          <w:color w:val="auto"/>
          <w:sz w:val="24"/>
          <w:highlight w:val="none"/>
        </w:rPr>
        <w:t>1.报价函</w:t>
      </w:r>
    </w:p>
    <w:p w14:paraId="2F8F173F">
      <w:pPr>
        <w:spacing w:line="360" w:lineRule="auto"/>
        <w:rPr>
          <w:rFonts w:hint="eastAsia" w:ascii="宋体" w:hAnsi="宋体" w:eastAsia="宋体" w:cs="宋体"/>
          <w:color w:val="auto"/>
          <w:sz w:val="24"/>
          <w:highlight w:val="none"/>
          <w:lang w:eastAsia="zh-CN"/>
        </w:rPr>
      </w:pPr>
      <w:r>
        <w:rPr>
          <w:rFonts w:hint="eastAsia" w:ascii="宋体" w:hAnsi="宋体" w:cs="宋体"/>
          <w:color w:val="auto"/>
          <w:sz w:val="24"/>
          <w:highlight w:val="none"/>
        </w:rPr>
        <w:t>2.</w:t>
      </w:r>
      <w:r>
        <w:rPr>
          <w:rFonts w:hint="eastAsia" w:ascii="宋体" w:hAnsi="宋体" w:cs="宋体"/>
          <w:color w:val="auto"/>
          <w:sz w:val="24"/>
          <w:highlight w:val="none"/>
          <w:lang w:eastAsia="zh-CN"/>
        </w:rPr>
        <w:t>报价明细</w:t>
      </w:r>
    </w:p>
    <w:p w14:paraId="46617313">
      <w:pPr>
        <w:spacing w:line="360" w:lineRule="auto"/>
        <w:rPr>
          <w:rFonts w:ascii="宋体" w:hAnsi="宋体" w:cs="宋体"/>
          <w:color w:val="auto"/>
          <w:sz w:val="24"/>
          <w:highlight w:val="none"/>
        </w:rPr>
      </w:pPr>
      <w:r>
        <w:rPr>
          <w:rFonts w:hint="eastAsia" w:ascii="宋体" w:hAnsi="宋体" w:cs="宋体"/>
          <w:color w:val="auto"/>
          <w:sz w:val="24"/>
          <w:highlight w:val="none"/>
          <w:lang w:val="en-US" w:eastAsia="zh-CN"/>
        </w:rPr>
        <w:t>3</w:t>
      </w:r>
      <w:r>
        <w:rPr>
          <w:rFonts w:hint="eastAsia" w:ascii="宋体" w:hAnsi="宋体" w:cs="宋体"/>
          <w:color w:val="auto"/>
          <w:sz w:val="24"/>
          <w:highlight w:val="none"/>
        </w:rPr>
        <w:t>.“★”号条款逐条响应情况表</w:t>
      </w:r>
    </w:p>
    <w:p w14:paraId="4063D838">
      <w:pPr>
        <w:spacing w:line="360" w:lineRule="auto"/>
        <w:rPr>
          <w:rFonts w:ascii="宋体" w:hAnsi="宋体" w:cs="宋体"/>
          <w:color w:val="auto"/>
          <w:sz w:val="24"/>
          <w:highlight w:val="none"/>
        </w:rPr>
      </w:pPr>
      <w:r>
        <w:rPr>
          <w:rFonts w:hint="eastAsia" w:ascii="宋体" w:hAnsi="宋体" w:cs="宋体"/>
          <w:color w:val="auto"/>
          <w:sz w:val="24"/>
          <w:highlight w:val="none"/>
          <w:lang w:val="en-US" w:eastAsia="zh-CN"/>
        </w:rPr>
        <w:t>4</w:t>
      </w:r>
      <w:r>
        <w:rPr>
          <w:rFonts w:hint="eastAsia" w:ascii="宋体" w:hAnsi="宋体" w:cs="宋体"/>
          <w:color w:val="auto"/>
          <w:sz w:val="24"/>
          <w:highlight w:val="none"/>
        </w:rPr>
        <w:t>.供应商的资格证明文件</w:t>
      </w:r>
    </w:p>
    <w:p w14:paraId="50C7D35F">
      <w:pPr>
        <w:spacing w:line="360" w:lineRule="auto"/>
        <w:rPr>
          <w:rFonts w:ascii="宋体" w:hAnsi="宋体" w:cs="宋体"/>
          <w:color w:val="auto"/>
          <w:sz w:val="24"/>
          <w:highlight w:val="none"/>
        </w:rPr>
      </w:pPr>
      <w:r>
        <w:rPr>
          <w:rFonts w:hint="eastAsia" w:ascii="宋体" w:hAnsi="宋体" w:cs="宋体"/>
          <w:color w:val="auto"/>
          <w:sz w:val="24"/>
          <w:highlight w:val="none"/>
          <w:lang w:val="en-US" w:eastAsia="zh-CN"/>
        </w:rPr>
        <w:t>5</w:t>
      </w:r>
      <w:r>
        <w:rPr>
          <w:rFonts w:hint="eastAsia" w:ascii="宋体" w:hAnsi="宋体" w:cs="宋体"/>
          <w:color w:val="auto"/>
          <w:sz w:val="24"/>
          <w:highlight w:val="none"/>
        </w:rPr>
        <w:t>．供应商提交的其它资料</w:t>
      </w:r>
    </w:p>
    <w:p w14:paraId="2DE44193">
      <w:pPr>
        <w:spacing w:line="360" w:lineRule="auto"/>
        <w:rPr>
          <w:rFonts w:ascii="宋体" w:hAnsi="宋体" w:cs="宋体"/>
          <w:color w:val="auto"/>
          <w:sz w:val="24"/>
          <w:highlight w:val="none"/>
        </w:rPr>
      </w:pPr>
    </w:p>
    <w:p w14:paraId="6D96CA79">
      <w:pPr>
        <w:spacing w:line="360" w:lineRule="auto"/>
        <w:rPr>
          <w:rFonts w:ascii="宋体" w:hAnsi="宋体" w:cs="宋体"/>
          <w:color w:val="auto"/>
          <w:sz w:val="24"/>
          <w:highlight w:val="none"/>
        </w:rPr>
      </w:pPr>
    </w:p>
    <w:p w14:paraId="79B18264">
      <w:pPr>
        <w:spacing w:line="360" w:lineRule="auto"/>
        <w:rPr>
          <w:rFonts w:ascii="宋体" w:hAnsi="宋体" w:cs="宋体"/>
          <w:color w:val="auto"/>
          <w:sz w:val="24"/>
          <w:highlight w:val="none"/>
        </w:rPr>
      </w:pPr>
    </w:p>
    <w:p w14:paraId="72F8167F">
      <w:pPr>
        <w:spacing w:line="360" w:lineRule="auto"/>
        <w:rPr>
          <w:rFonts w:ascii="宋体" w:hAnsi="宋体" w:cs="宋体"/>
          <w:color w:val="auto"/>
          <w:sz w:val="24"/>
          <w:highlight w:val="none"/>
        </w:rPr>
      </w:pPr>
    </w:p>
    <w:p w14:paraId="27492E26">
      <w:pPr>
        <w:jc w:val="both"/>
        <w:rPr>
          <w:rFonts w:ascii="宋体" w:hAnsi="宋体" w:cs="宋体"/>
          <w:b/>
          <w:color w:val="auto"/>
          <w:sz w:val="36"/>
          <w:szCs w:val="36"/>
          <w:highlight w:val="none"/>
        </w:rPr>
      </w:pPr>
    </w:p>
    <w:p w14:paraId="6866396A">
      <w:pPr>
        <w:pStyle w:val="41"/>
        <w:rPr>
          <w:rFonts w:ascii="宋体" w:hAnsi="宋体" w:cs="宋体"/>
          <w:b/>
          <w:color w:val="auto"/>
          <w:sz w:val="36"/>
          <w:szCs w:val="36"/>
          <w:highlight w:val="none"/>
        </w:rPr>
      </w:pPr>
    </w:p>
    <w:p w14:paraId="73E2CA68">
      <w:pPr>
        <w:rPr>
          <w:color w:val="auto"/>
          <w:highlight w:val="none"/>
        </w:rPr>
      </w:pPr>
    </w:p>
    <w:p w14:paraId="1B7562E4">
      <w:pPr>
        <w:jc w:val="both"/>
        <w:rPr>
          <w:rFonts w:ascii="宋体" w:hAnsi="宋体" w:cs="宋体"/>
          <w:b/>
          <w:color w:val="auto"/>
          <w:sz w:val="36"/>
          <w:szCs w:val="36"/>
          <w:highlight w:val="none"/>
        </w:rPr>
      </w:pPr>
    </w:p>
    <w:p w14:paraId="577696BE">
      <w:pPr>
        <w:jc w:val="both"/>
        <w:rPr>
          <w:rFonts w:ascii="宋体" w:hAnsi="宋体" w:cs="宋体"/>
          <w:b/>
          <w:color w:val="auto"/>
          <w:sz w:val="36"/>
          <w:szCs w:val="36"/>
          <w:highlight w:val="none"/>
        </w:rPr>
      </w:pPr>
    </w:p>
    <w:p w14:paraId="0E9F2E9C">
      <w:pPr>
        <w:jc w:val="both"/>
        <w:rPr>
          <w:rFonts w:ascii="宋体" w:hAnsi="宋体" w:cs="宋体"/>
          <w:b/>
          <w:color w:val="auto"/>
          <w:sz w:val="36"/>
          <w:szCs w:val="36"/>
          <w:highlight w:val="none"/>
        </w:rPr>
      </w:pPr>
    </w:p>
    <w:p w14:paraId="6B1FCC5B">
      <w:pPr>
        <w:pStyle w:val="41"/>
        <w:rPr>
          <w:color w:val="auto"/>
          <w:highlight w:val="none"/>
        </w:rPr>
      </w:pPr>
    </w:p>
    <w:p w14:paraId="2DF03566">
      <w:pPr>
        <w:jc w:val="both"/>
        <w:rPr>
          <w:rFonts w:ascii="宋体" w:hAnsi="宋体" w:cs="宋体"/>
          <w:b/>
          <w:color w:val="auto"/>
          <w:sz w:val="36"/>
          <w:szCs w:val="36"/>
          <w:highlight w:val="none"/>
        </w:rPr>
      </w:pPr>
    </w:p>
    <w:p w14:paraId="19E73740">
      <w:pPr>
        <w:spacing w:line="380" w:lineRule="exact"/>
        <w:rPr>
          <w:rFonts w:hint="eastAsia" w:ascii="宋体" w:hAnsi="宋体" w:cs="宋体"/>
          <w:color w:val="auto"/>
          <w:sz w:val="24"/>
          <w:highlight w:val="none"/>
        </w:rPr>
      </w:pPr>
    </w:p>
    <w:p w14:paraId="14C46F25">
      <w:pPr>
        <w:spacing w:line="380" w:lineRule="exact"/>
        <w:rPr>
          <w:rFonts w:hint="eastAsia" w:ascii="宋体" w:hAnsi="宋体" w:cs="宋体"/>
          <w:color w:val="auto"/>
          <w:sz w:val="24"/>
          <w:highlight w:val="none"/>
        </w:rPr>
      </w:pPr>
    </w:p>
    <w:p w14:paraId="1AA5EC50">
      <w:pPr>
        <w:spacing w:line="380" w:lineRule="exact"/>
        <w:rPr>
          <w:rFonts w:hint="eastAsia" w:ascii="宋体" w:hAnsi="宋体" w:cs="宋体"/>
          <w:color w:val="auto"/>
          <w:sz w:val="24"/>
          <w:highlight w:val="none"/>
        </w:rPr>
      </w:pPr>
    </w:p>
    <w:p w14:paraId="02A66A6E">
      <w:pPr>
        <w:spacing w:line="380" w:lineRule="exact"/>
        <w:rPr>
          <w:rFonts w:ascii="宋体" w:hAnsi="宋体" w:cs="宋体"/>
          <w:b/>
          <w:color w:val="auto"/>
          <w:sz w:val="36"/>
          <w:szCs w:val="36"/>
          <w:highlight w:val="none"/>
        </w:rPr>
      </w:pPr>
      <w:r>
        <w:rPr>
          <w:rFonts w:hint="eastAsia" w:ascii="宋体" w:hAnsi="宋体" w:cs="宋体"/>
          <w:color w:val="auto"/>
          <w:sz w:val="24"/>
          <w:highlight w:val="none"/>
        </w:rPr>
        <w:t>附件1</w:t>
      </w:r>
    </w:p>
    <w:p w14:paraId="75FA3C9E">
      <w:pPr>
        <w:spacing w:line="380" w:lineRule="exact"/>
        <w:jc w:val="center"/>
        <w:rPr>
          <w:rFonts w:ascii="宋体" w:hAnsi="宋体" w:cs="宋体"/>
          <w:b/>
          <w:color w:val="auto"/>
          <w:sz w:val="36"/>
          <w:szCs w:val="36"/>
          <w:highlight w:val="none"/>
        </w:rPr>
      </w:pPr>
      <w:r>
        <w:rPr>
          <w:rFonts w:hint="eastAsia" w:ascii="宋体" w:hAnsi="宋体" w:cs="宋体"/>
          <w:b/>
          <w:color w:val="auto"/>
          <w:sz w:val="36"/>
          <w:szCs w:val="36"/>
          <w:highlight w:val="none"/>
        </w:rPr>
        <w:t>报价函</w:t>
      </w:r>
    </w:p>
    <w:p w14:paraId="32F89537">
      <w:pPr>
        <w:spacing w:line="380" w:lineRule="exact"/>
        <w:rPr>
          <w:rFonts w:ascii="宋体" w:hAnsi="宋体" w:cs="宋体"/>
          <w:color w:val="auto"/>
          <w:szCs w:val="21"/>
          <w:highlight w:val="none"/>
        </w:rPr>
      </w:pPr>
      <w:r>
        <w:rPr>
          <w:rFonts w:hint="eastAsia" w:ascii="宋体" w:hAnsi="宋体" w:cs="宋体"/>
          <w:color w:val="auto"/>
          <w:szCs w:val="21"/>
          <w:highlight w:val="none"/>
        </w:rPr>
        <w:t>致：厦门湖里国投物业服务有限公司</w:t>
      </w:r>
    </w:p>
    <w:p w14:paraId="0F5FE228">
      <w:pPr>
        <w:tabs>
          <w:tab w:val="left" w:pos="980"/>
        </w:tabs>
        <w:spacing w:line="380" w:lineRule="exact"/>
        <w:ind w:firstLine="367" w:firstLineChars="175"/>
        <w:rPr>
          <w:rFonts w:ascii="宋体" w:hAnsi="宋体" w:cs="宋体"/>
          <w:color w:val="auto"/>
          <w:szCs w:val="21"/>
          <w:highlight w:val="none"/>
        </w:rPr>
      </w:pPr>
      <w:r>
        <w:rPr>
          <w:rFonts w:hint="eastAsia" w:ascii="宋体" w:hAnsi="宋体" w:cs="宋体"/>
          <w:color w:val="auto"/>
          <w:szCs w:val="21"/>
          <w:highlight w:val="none"/>
        </w:rPr>
        <w:t>根据贵方为 项目的询价邀请（项目</w:t>
      </w:r>
      <w:r>
        <w:rPr>
          <w:rFonts w:hint="eastAsia" w:ascii="宋体" w:hAnsi="宋体" w:cs="宋体"/>
          <w:color w:val="auto"/>
          <w:szCs w:val="21"/>
          <w:highlight w:val="none"/>
          <w:lang w:val="en-US" w:eastAsia="zh-CN"/>
        </w:rPr>
        <w:t>名称</w:t>
      </w:r>
      <w:r>
        <w:rPr>
          <w:rFonts w:hint="eastAsia" w:ascii="宋体" w:hAnsi="宋体" w:cs="宋体"/>
          <w:color w:val="auto"/>
          <w:szCs w:val="21"/>
          <w:highlight w:val="none"/>
        </w:rPr>
        <w:t>：</w:t>
      </w:r>
      <w:r>
        <w:rPr>
          <w:rFonts w:hint="eastAsia" w:ascii="宋体" w:hAnsi="宋体" w:cs="宋体"/>
          <w:color w:val="auto"/>
          <w:szCs w:val="21"/>
          <w:highlight w:val="none"/>
          <w:lang w:eastAsia="zh-CN"/>
        </w:rPr>
        <w:t>源昌国际城维序服务</w:t>
      </w:r>
      <w:r>
        <w:rPr>
          <w:rFonts w:hint="eastAsia" w:ascii="宋体" w:hAnsi="宋体" w:cs="宋体"/>
          <w:color w:val="auto"/>
          <w:szCs w:val="21"/>
          <w:highlight w:val="none"/>
        </w:rPr>
        <w:t>），本签字代表</w:t>
      </w:r>
      <w:r>
        <w:rPr>
          <w:rFonts w:hint="eastAsia" w:ascii="宋体" w:hAnsi="宋体" w:cs="宋体"/>
          <w:color w:val="auto"/>
          <w:szCs w:val="21"/>
          <w:highlight w:val="none"/>
          <w:u w:val="single"/>
        </w:rPr>
        <w:t>（全名、职务）</w:t>
      </w:r>
      <w:r>
        <w:rPr>
          <w:rFonts w:hint="eastAsia" w:ascii="宋体" w:hAnsi="宋体" w:cs="宋体"/>
          <w:color w:val="auto"/>
          <w:szCs w:val="21"/>
          <w:highlight w:val="none"/>
        </w:rPr>
        <w:t>代表供应商</w:t>
      </w:r>
      <w:r>
        <w:rPr>
          <w:rFonts w:hint="eastAsia" w:ascii="宋体" w:hAnsi="宋体" w:cs="宋体"/>
          <w:color w:val="auto"/>
          <w:szCs w:val="21"/>
          <w:highlight w:val="none"/>
          <w:u w:val="single"/>
        </w:rPr>
        <w:t>（供应商名称、地址）</w:t>
      </w:r>
      <w:r>
        <w:rPr>
          <w:rFonts w:hint="eastAsia" w:ascii="宋体" w:hAnsi="宋体" w:cs="宋体"/>
          <w:color w:val="auto"/>
          <w:szCs w:val="21"/>
          <w:highlight w:val="none"/>
        </w:rPr>
        <w:t>提交下述文件正本一份和副 本二份。</w:t>
      </w:r>
    </w:p>
    <w:p w14:paraId="1946A8E1">
      <w:pPr>
        <w:numPr>
          <w:ilvl w:val="0"/>
          <w:numId w:val="16"/>
        </w:numPr>
        <w:tabs>
          <w:tab w:val="left" w:pos="980"/>
        </w:tabs>
        <w:spacing w:line="380" w:lineRule="exact"/>
        <w:ind w:left="568" w:hanging="343" w:firstLineChars="0"/>
        <w:rPr>
          <w:rFonts w:ascii="宋体" w:hAnsi="宋体" w:cs="宋体"/>
          <w:color w:val="auto"/>
          <w:szCs w:val="21"/>
          <w:highlight w:val="none"/>
        </w:rPr>
      </w:pPr>
      <w:r>
        <w:rPr>
          <w:rFonts w:hint="eastAsia" w:ascii="宋体" w:hAnsi="宋体" w:cs="宋体"/>
          <w:color w:val="auto"/>
          <w:szCs w:val="21"/>
          <w:highlight w:val="none"/>
        </w:rPr>
        <w:t>报价函</w:t>
      </w:r>
    </w:p>
    <w:p w14:paraId="1798F707">
      <w:pPr>
        <w:numPr>
          <w:ilvl w:val="0"/>
          <w:numId w:val="16"/>
        </w:numPr>
        <w:tabs>
          <w:tab w:val="left" w:pos="980"/>
        </w:tabs>
        <w:spacing w:line="380" w:lineRule="exact"/>
        <w:ind w:left="568" w:hanging="343" w:firstLineChars="0"/>
        <w:rPr>
          <w:rFonts w:ascii="宋体" w:hAnsi="宋体" w:cs="宋体"/>
          <w:color w:val="auto"/>
          <w:szCs w:val="21"/>
          <w:highlight w:val="none"/>
        </w:rPr>
      </w:pPr>
      <w:r>
        <w:rPr>
          <w:rFonts w:hint="eastAsia" w:ascii="宋体" w:hAnsi="宋体" w:cs="宋体"/>
          <w:color w:val="auto"/>
          <w:szCs w:val="21"/>
          <w:highlight w:val="none"/>
          <w:lang w:eastAsia="zh-CN"/>
        </w:rPr>
        <w:t>报价明细</w:t>
      </w:r>
    </w:p>
    <w:p w14:paraId="49AECB5E">
      <w:pPr>
        <w:numPr>
          <w:ilvl w:val="0"/>
          <w:numId w:val="16"/>
        </w:numPr>
        <w:tabs>
          <w:tab w:val="left" w:pos="980"/>
        </w:tabs>
        <w:spacing w:line="380" w:lineRule="exact"/>
        <w:ind w:left="568" w:hanging="343" w:firstLineChars="0"/>
        <w:rPr>
          <w:rFonts w:ascii="宋体" w:hAnsi="宋体" w:cs="宋体"/>
          <w:color w:val="auto"/>
          <w:szCs w:val="21"/>
          <w:highlight w:val="none"/>
        </w:rPr>
      </w:pPr>
      <w:r>
        <w:rPr>
          <w:rFonts w:hint="eastAsia" w:ascii="宋体" w:hAnsi="宋体" w:cs="宋体"/>
          <w:color w:val="auto"/>
          <w:szCs w:val="21"/>
          <w:highlight w:val="none"/>
        </w:rPr>
        <w:t>“★”号条款逐条响应情况表</w:t>
      </w:r>
    </w:p>
    <w:p w14:paraId="3AD81E69">
      <w:pPr>
        <w:numPr>
          <w:ilvl w:val="0"/>
          <w:numId w:val="16"/>
        </w:numPr>
        <w:tabs>
          <w:tab w:val="left" w:pos="980"/>
        </w:tabs>
        <w:spacing w:line="380" w:lineRule="exact"/>
        <w:ind w:left="568" w:hanging="343" w:firstLineChars="0"/>
        <w:rPr>
          <w:rFonts w:ascii="宋体" w:hAnsi="宋体" w:cs="宋体"/>
          <w:color w:val="auto"/>
          <w:szCs w:val="21"/>
          <w:highlight w:val="none"/>
        </w:rPr>
      </w:pPr>
      <w:r>
        <w:rPr>
          <w:rFonts w:hint="eastAsia" w:ascii="宋体" w:hAnsi="宋体" w:cs="宋体"/>
          <w:color w:val="auto"/>
          <w:szCs w:val="21"/>
          <w:highlight w:val="none"/>
        </w:rPr>
        <w:t>供应商的资格证明文件</w:t>
      </w:r>
    </w:p>
    <w:p w14:paraId="165EDAA3">
      <w:pPr>
        <w:numPr>
          <w:ilvl w:val="0"/>
          <w:numId w:val="16"/>
        </w:numPr>
        <w:tabs>
          <w:tab w:val="left" w:pos="980"/>
        </w:tabs>
        <w:spacing w:line="380" w:lineRule="exact"/>
        <w:ind w:left="568" w:hanging="343" w:firstLineChars="0"/>
        <w:rPr>
          <w:rFonts w:ascii="宋体" w:hAnsi="宋体" w:cs="宋体"/>
          <w:color w:val="auto"/>
          <w:szCs w:val="21"/>
          <w:highlight w:val="none"/>
        </w:rPr>
      </w:pPr>
      <w:r>
        <w:rPr>
          <w:rFonts w:hint="eastAsia" w:ascii="宋体" w:hAnsi="宋体" w:cs="宋体"/>
          <w:color w:val="auto"/>
          <w:szCs w:val="21"/>
          <w:highlight w:val="none"/>
        </w:rPr>
        <w:t>供应商提交的其它资料</w:t>
      </w:r>
    </w:p>
    <w:p w14:paraId="6D50F975">
      <w:pPr>
        <w:numPr>
          <w:ilvl w:val="-1"/>
          <w:numId w:val="0"/>
        </w:numPr>
        <w:tabs>
          <w:tab w:val="left" w:pos="980"/>
        </w:tabs>
        <w:spacing w:line="380" w:lineRule="exact"/>
        <w:ind w:left="225" w:firstLine="0" w:firstLineChars="0"/>
        <w:rPr>
          <w:rFonts w:ascii="宋体" w:hAnsi="宋体" w:cs="宋体"/>
          <w:color w:val="auto"/>
          <w:szCs w:val="21"/>
          <w:highlight w:val="none"/>
        </w:rPr>
      </w:pPr>
      <w:r>
        <w:rPr>
          <w:rFonts w:hint="eastAsia" w:ascii="宋体" w:hAnsi="宋体" w:cs="宋体"/>
          <w:color w:val="auto"/>
          <w:szCs w:val="21"/>
          <w:highlight w:val="none"/>
        </w:rPr>
        <w:t>据此函，签字代表宣布同意如下：</w:t>
      </w:r>
    </w:p>
    <w:p w14:paraId="54172365">
      <w:pPr>
        <w:spacing w:line="38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1.所附详细报价表中规定的应提供和交付的货物及服务报价总价为人民币 ，即</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u w:val="single"/>
          <w:lang w:val="en-US" w:eastAsia="zh-CN"/>
        </w:rPr>
        <w:t xml:space="preserve">  </w:t>
      </w:r>
      <w:r>
        <w:rPr>
          <w:rFonts w:hint="eastAsia" w:ascii="宋体" w:hAnsi="宋体" w:cs="宋体"/>
          <w:color w:val="auto"/>
          <w:szCs w:val="21"/>
          <w:highlight w:val="none"/>
        </w:rPr>
        <w:t>（中文表述）。</w:t>
      </w:r>
    </w:p>
    <w:p w14:paraId="4E5C10E1">
      <w:pPr>
        <w:spacing w:line="38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2.供应商已详细审查全部询价文件，包括修改文件（如有的话）和有关附件，将自行承担因对全部询价文件理解不正确或误解而产生的相应后果。</w:t>
      </w:r>
    </w:p>
    <w:p w14:paraId="0573E6F9">
      <w:pPr>
        <w:spacing w:line="38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3.供应商保证遵守询价文件的全部规定，供应商所提交的材料中所含的信息均为真实、准确、完整，且不具有任何误导性。</w:t>
      </w:r>
    </w:p>
    <w:p w14:paraId="2EE1D452">
      <w:pPr>
        <w:spacing w:line="38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4.供应商将按询价文件的规定履行合同责任和义务。</w:t>
      </w:r>
    </w:p>
    <w:p w14:paraId="29EE6553">
      <w:pPr>
        <w:spacing w:line="380" w:lineRule="exact"/>
        <w:ind w:firstLine="424" w:firstLineChars="202"/>
        <w:rPr>
          <w:rFonts w:ascii="宋体" w:hAnsi="宋体" w:cs="宋体"/>
          <w:color w:val="auto"/>
          <w:szCs w:val="21"/>
          <w:highlight w:val="none"/>
        </w:rPr>
      </w:pPr>
      <w:r>
        <w:rPr>
          <w:rFonts w:hint="eastAsia" w:ascii="宋体" w:hAnsi="宋体" w:cs="宋体"/>
          <w:color w:val="auto"/>
          <w:szCs w:val="21"/>
          <w:highlight w:val="none"/>
        </w:rPr>
        <w:t>5.本</w:t>
      </w:r>
      <w:r>
        <w:rPr>
          <w:rFonts w:hint="eastAsia" w:ascii="宋体" w:hAnsi="宋体" w:cs="宋体"/>
          <w:color w:val="auto"/>
          <w:szCs w:val="21"/>
          <w:highlight w:val="none"/>
          <w:lang w:eastAsia="zh-CN"/>
        </w:rPr>
        <w:t>响应文件</w:t>
      </w:r>
      <w:r>
        <w:rPr>
          <w:rFonts w:hint="eastAsia" w:ascii="宋体" w:hAnsi="宋体" w:cs="宋体"/>
          <w:color w:val="auto"/>
          <w:szCs w:val="21"/>
          <w:highlight w:val="none"/>
        </w:rPr>
        <w:t>自报价截止时间起报价有效期为：在询价文件供应商须知前附表所规定的期限内保持有效。</w:t>
      </w:r>
    </w:p>
    <w:p w14:paraId="68BE1AED">
      <w:pPr>
        <w:spacing w:line="380" w:lineRule="exact"/>
        <w:ind w:firstLine="424" w:firstLineChars="202"/>
        <w:rPr>
          <w:rFonts w:ascii="宋体" w:hAnsi="宋体" w:cs="宋体"/>
          <w:color w:val="auto"/>
          <w:szCs w:val="21"/>
          <w:highlight w:val="none"/>
        </w:rPr>
      </w:pPr>
      <w:r>
        <w:rPr>
          <w:rFonts w:hint="eastAsia" w:ascii="宋体" w:hAnsi="宋体" w:cs="宋体"/>
          <w:color w:val="auto"/>
          <w:szCs w:val="21"/>
          <w:highlight w:val="none"/>
          <w:lang w:val="en-US" w:eastAsia="zh-CN"/>
        </w:rPr>
        <w:t>6</w:t>
      </w:r>
      <w:r>
        <w:rPr>
          <w:rFonts w:hint="eastAsia" w:ascii="宋体" w:hAnsi="宋体" w:cs="宋体"/>
          <w:color w:val="auto"/>
          <w:szCs w:val="21"/>
          <w:highlight w:val="none"/>
        </w:rPr>
        <w:t>.供应商同意按照采购单位要求提供与其询价有关的一切数据或资料，完全理解贵方不一定要接受最低的报价或收到的任何询价。</w:t>
      </w:r>
    </w:p>
    <w:p w14:paraId="2597D964">
      <w:pPr>
        <w:spacing w:line="380" w:lineRule="exact"/>
        <w:ind w:firstLine="424" w:firstLineChars="202"/>
        <w:rPr>
          <w:rFonts w:ascii="宋体" w:hAnsi="宋体" w:cs="宋体"/>
          <w:color w:val="auto"/>
          <w:szCs w:val="21"/>
          <w:highlight w:val="none"/>
        </w:rPr>
      </w:pPr>
      <w:r>
        <w:rPr>
          <w:rFonts w:hint="eastAsia" w:ascii="宋体" w:hAnsi="宋体" w:cs="宋体"/>
          <w:color w:val="auto"/>
          <w:szCs w:val="21"/>
          <w:highlight w:val="none"/>
          <w:lang w:val="en-US" w:eastAsia="zh-CN"/>
        </w:rPr>
        <w:t>7</w:t>
      </w:r>
      <w:r>
        <w:rPr>
          <w:rFonts w:hint="eastAsia" w:ascii="宋体" w:hAnsi="宋体" w:cs="宋体"/>
          <w:color w:val="auto"/>
          <w:szCs w:val="21"/>
          <w:highlight w:val="none"/>
        </w:rPr>
        <w:t>. 与本询价有关的一切正式往来通讯请寄：</w:t>
      </w:r>
    </w:p>
    <w:p w14:paraId="6563FCD2">
      <w:pPr>
        <w:spacing w:line="380" w:lineRule="exact"/>
        <w:rPr>
          <w:rFonts w:ascii="宋体" w:hAnsi="宋体" w:cs="宋体"/>
          <w:color w:val="auto"/>
          <w:szCs w:val="21"/>
          <w:highlight w:val="none"/>
          <w:u w:val="single"/>
        </w:rPr>
      </w:pPr>
      <w:r>
        <w:rPr>
          <w:rFonts w:hint="eastAsia" w:ascii="宋体" w:hAnsi="宋体" w:cs="宋体"/>
          <w:color w:val="auto"/>
          <w:szCs w:val="21"/>
          <w:highlight w:val="none"/>
        </w:rPr>
        <w:t xml:space="preserve">      地址：  邮编： 电话：  传真： </w:t>
      </w:r>
    </w:p>
    <w:p w14:paraId="57E3F8B2">
      <w:pPr>
        <w:spacing w:line="380" w:lineRule="exact"/>
        <w:jc w:val="right"/>
        <w:rPr>
          <w:rFonts w:ascii="宋体" w:hAnsi="宋体" w:cs="宋体"/>
          <w:color w:val="auto"/>
          <w:szCs w:val="21"/>
          <w:highlight w:val="none"/>
        </w:rPr>
      </w:pPr>
      <w:r>
        <w:rPr>
          <w:rFonts w:hint="eastAsia" w:ascii="宋体" w:hAnsi="宋体" w:cs="宋体"/>
          <w:color w:val="auto"/>
          <w:szCs w:val="21"/>
          <w:highlight w:val="none"/>
        </w:rPr>
        <w:t>供应商（全称并加盖公章）：</w:t>
      </w:r>
    </w:p>
    <w:p w14:paraId="64BB6159">
      <w:pPr>
        <w:spacing w:line="380" w:lineRule="exact"/>
        <w:jc w:val="right"/>
        <w:rPr>
          <w:rFonts w:ascii="宋体" w:hAnsi="宋体" w:cs="宋体"/>
          <w:color w:val="auto"/>
          <w:szCs w:val="21"/>
          <w:highlight w:val="none"/>
          <w:u w:val="single"/>
        </w:rPr>
      </w:pPr>
      <w:r>
        <w:rPr>
          <w:rFonts w:hint="eastAsia" w:ascii="宋体" w:hAnsi="宋体" w:cs="宋体"/>
          <w:color w:val="auto"/>
          <w:szCs w:val="21"/>
          <w:highlight w:val="none"/>
        </w:rPr>
        <w:t xml:space="preserve">供应商代表签字： </w:t>
      </w:r>
    </w:p>
    <w:p w14:paraId="19F9F20F">
      <w:pPr>
        <w:spacing w:line="380" w:lineRule="exact"/>
        <w:jc w:val="right"/>
        <w:rPr>
          <w:rFonts w:ascii="宋体" w:hAnsi="宋体" w:cs="宋体"/>
          <w:color w:val="auto"/>
          <w:szCs w:val="21"/>
          <w:highlight w:val="none"/>
        </w:rPr>
      </w:pPr>
      <w:r>
        <w:rPr>
          <w:rFonts w:hint="eastAsia" w:ascii="宋体" w:hAnsi="宋体" w:cs="宋体"/>
          <w:color w:val="auto"/>
          <w:szCs w:val="21"/>
          <w:highlight w:val="none"/>
        </w:rPr>
        <w:t xml:space="preserve"> 日  期： 年 月 日</w:t>
      </w:r>
      <w:bookmarkStart w:id="207" w:name="_Toc185762840"/>
    </w:p>
    <w:p w14:paraId="7348F325">
      <w:pPr>
        <w:spacing w:line="340" w:lineRule="atLeast"/>
        <w:jc w:val="center"/>
        <w:rPr>
          <w:rFonts w:ascii="宋体" w:hAnsi="宋体" w:cs="宋体"/>
          <w:color w:val="auto"/>
          <w:szCs w:val="21"/>
          <w:highlight w:val="none"/>
        </w:rPr>
      </w:pPr>
      <w:r>
        <w:rPr>
          <w:rFonts w:hint="eastAsia" w:ascii="宋体" w:hAnsi="宋体" w:cs="宋体"/>
          <w:color w:val="auto"/>
          <w:szCs w:val="21"/>
          <w:highlight w:val="none"/>
        </w:rPr>
        <w:br w:type="page"/>
      </w:r>
      <w:bookmarkEnd w:id="207"/>
    </w:p>
    <w:p w14:paraId="29646BBC">
      <w:pPr>
        <w:spacing w:line="340" w:lineRule="atLeast"/>
        <w:rPr>
          <w:rFonts w:ascii="宋体" w:hAnsi="宋体" w:cs="宋体"/>
          <w:color w:val="auto"/>
          <w:szCs w:val="21"/>
          <w:highlight w:val="none"/>
        </w:rPr>
      </w:pPr>
      <w:r>
        <w:rPr>
          <w:rFonts w:hint="eastAsia" w:ascii="宋体" w:hAnsi="宋体" w:cs="宋体"/>
          <w:color w:val="auto"/>
          <w:sz w:val="24"/>
          <w:highlight w:val="none"/>
        </w:rPr>
        <w:t>附件2</w:t>
      </w:r>
    </w:p>
    <w:p w14:paraId="3F5C0B91">
      <w:pPr>
        <w:spacing w:line="340" w:lineRule="atLeast"/>
        <w:jc w:val="center"/>
        <w:rPr>
          <w:rFonts w:ascii="宋体" w:hAnsi="宋体" w:cs="宋体"/>
          <w:b/>
          <w:color w:val="auto"/>
          <w:sz w:val="36"/>
          <w:szCs w:val="36"/>
          <w:highlight w:val="none"/>
        </w:rPr>
      </w:pPr>
      <w:r>
        <w:rPr>
          <w:rFonts w:hint="eastAsia" w:ascii="宋体" w:hAnsi="宋体" w:cs="宋体"/>
          <w:b/>
          <w:color w:val="auto"/>
          <w:sz w:val="36"/>
          <w:szCs w:val="36"/>
          <w:highlight w:val="none"/>
        </w:rPr>
        <w:t>报价一览表</w:t>
      </w:r>
    </w:p>
    <w:p w14:paraId="51E4A485">
      <w:pPr>
        <w:spacing w:line="360" w:lineRule="auto"/>
        <w:rPr>
          <w:rFonts w:ascii="宋体" w:hAnsi="宋体" w:cs="宋体"/>
          <w:color w:val="auto"/>
          <w:sz w:val="24"/>
          <w:highlight w:val="none"/>
        </w:rPr>
      </w:pPr>
    </w:p>
    <w:p w14:paraId="6E3420C9">
      <w:pPr>
        <w:spacing w:line="360" w:lineRule="auto"/>
        <w:rPr>
          <w:rFonts w:ascii="宋体" w:hAnsi="宋体" w:cs="宋体"/>
          <w:color w:val="auto"/>
          <w:sz w:val="24"/>
          <w:highlight w:val="none"/>
        </w:rPr>
      </w:pPr>
      <w:r>
        <w:rPr>
          <w:rFonts w:hint="eastAsia" w:ascii="宋体" w:hAnsi="宋体" w:cs="宋体"/>
          <w:color w:val="auto"/>
          <w:sz w:val="24"/>
          <w:highlight w:val="none"/>
        </w:rPr>
        <w:t xml:space="preserve"> 项目</w:t>
      </w:r>
      <w:r>
        <w:rPr>
          <w:rFonts w:hint="eastAsia" w:ascii="宋体" w:hAnsi="宋体" w:cs="宋体"/>
          <w:color w:val="auto"/>
          <w:sz w:val="24"/>
          <w:highlight w:val="none"/>
          <w:lang w:val="en-US" w:eastAsia="zh-CN"/>
        </w:rPr>
        <w:t>名称</w:t>
      </w:r>
      <w:r>
        <w:rPr>
          <w:rFonts w:hint="eastAsia" w:ascii="宋体" w:hAnsi="宋体" w:cs="宋体"/>
          <w:color w:val="auto"/>
          <w:sz w:val="24"/>
          <w:highlight w:val="none"/>
        </w:rPr>
        <w:t>∶</w:t>
      </w:r>
      <w:r>
        <w:rPr>
          <w:rFonts w:hint="eastAsia" w:ascii="宋体" w:hAnsi="宋体" w:cs="宋体"/>
          <w:color w:val="auto"/>
          <w:sz w:val="24"/>
          <w:highlight w:val="none"/>
          <w:lang w:eastAsia="zh-CN"/>
        </w:rPr>
        <w:t>源昌国际城维序服务</w:t>
      </w:r>
      <w:r>
        <w:rPr>
          <w:rFonts w:hint="eastAsia" w:ascii="宋体" w:hAnsi="宋体" w:cs="宋体"/>
          <w:color w:val="auto"/>
          <w:sz w:val="24"/>
          <w:highlight w:val="none"/>
        </w:rPr>
        <w:t xml:space="preserve"> 货币单位：元</w:t>
      </w:r>
    </w:p>
    <w:tbl>
      <w:tblPr>
        <w:tblStyle w:val="42"/>
        <w:tblW w:w="1073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891"/>
        <w:gridCol w:w="1800"/>
        <w:gridCol w:w="1529"/>
        <w:gridCol w:w="1260"/>
        <w:gridCol w:w="1575"/>
        <w:gridCol w:w="1912"/>
        <w:gridCol w:w="1763"/>
      </w:tblGrid>
      <w:tr w14:paraId="574BC2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18" w:hRule="atLeast"/>
          <w:jc w:val="center"/>
        </w:trPr>
        <w:tc>
          <w:tcPr>
            <w:tcW w:w="89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649EBE8B">
            <w:pPr>
              <w:spacing w:line="460" w:lineRule="exact"/>
              <w:jc w:val="center"/>
              <w:rPr>
                <w:rFonts w:hint="eastAsia" w:ascii="宋体" w:hAnsi="宋体" w:eastAsia="宋体" w:cs="宋体"/>
                <w:color w:val="auto"/>
                <w:sz w:val="24"/>
                <w:highlight w:val="none"/>
                <w:lang w:eastAsia="zh-CN"/>
              </w:rPr>
            </w:pPr>
            <w:r>
              <w:rPr>
                <w:rFonts w:hint="eastAsia" w:ascii="宋体" w:hAnsi="宋体" w:cs="宋体"/>
                <w:color w:val="auto"/>
                <w:sz w:val="24"/>
                <w:highlight w:val="none"/>
                <w:lang w:val="en-US" w:eastAsia="zh-CN"/>
              </w:rPr>
              <w:t>序号</w:t>
            </w:r>
          </w:p>
        </w:tc>
        <w:tc>
          <w:tcPr>
            <w:tcW w:w="180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6340C867">
            <w:pPr>
              <w:spacing w:line="460" w:lineRule="exact"/>
              <w:jc w:val="center"/>
              <w:rPr>
                <w:rFonts w:ascii="宋体" w:hAnsi="宋体" w:cs="宋体"/>
                <w:color w:val="auto"/>
                <w:sz w:val="24"/>
                <w:highlight w:val="none"/>
              </w:rPr>
            </w:pPr>
            <w:r>
              <w:rPr>
                <w:rFonts w:hint="eastAsia" w:ascii="宋体" w:hAnsi="宋体" w:cs="宋体"/>
                <w:color w:val="auto"/>
                <w:sz w:val="24"/>
                <w:highlight w:val="none"/>
              </w:rPr>
              <w:t>项目名称</w:t>
            </w:r>
          </w:p>
        </w:tc>
        <w:tc>
          <w:tcPr>
            <w:tcW w:w="152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1EA99E85">
            <w:pPr>
              <w:spacing w:line="460" w:lineRule="exact"/>
              <w:jc w:val="center"/>
              <w:rPr>
                <w:rFonts w:hint="default" w:ascii="宋体" w:hAnsi="宋体" w:eastAsia="宋体" w:cs="宋体"/>
                <w:color w:val="auto"/>
                <w:sz w:val="24"/>
                <w:highlight w:val="none"/>
                <w:lang w:val="en-US" w:eastAsia="zh-CN"/>
              </w:rPr>
            </w:pPr>
            <w:r>
              <w:rPr>
                <w:rFonts w:hint="eastAsia" w:ascii="宋体" w:hAnsi="宋体" w:cs="宋体"/>
                <w:color w:val="auto"/>
                <w:sz w:val="24"/>
                <w:highlight w:val="none"/>
                <w:lang w:val="en-US" w:eastAsia="zh-CN"/>
              </w:rPr>
              <w:t>服务项目部</w:t>
            </w:r>
          </w:p>
        </w:tc>
        <w:tc>
          <w:tcPr>
            <w:tcW w:w="126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5DC48745">
            <w:pPr>
              <w:spacing w:line="460" w:lineRule="exact"/>
              <w:jc w:val="center"/>
              <w:rPr>
                <w:rFonts w:ascii="宋体" w:hAnsi="宋体" w:cs="宋体"/>
                <w:color w:val="auto"/>
                <w:sz w:val="24"/>
                <w:highlight w:val="none"/>
              </w:rPr>
            </w:pPr>
            <w:r>
              <w:rPr>
                <w:rFonts w:hint="eastAsia" w:ascii="宋体" w:hAnsi="宋体" w:cs="宋体"/>
                <w:color w:val="auto"/>
                <w:sz w:val="24"/>
                <w:highlight w:val="none"/>
              </w:rPr>
              <w:t>数量</w:t>
            </w:r>
          </w:p>
        </w:tc>
        <w:tc>
          <w:tcPr>
            <w:tcW w:w="157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6F6374A2">
            <w:pPr>
              <w:spacing w:line="460" w:lineRule="exact"/>
              <w:jc w:val="center"/>
              <w:rPr>
                <w:rFonts w:hint="default" w:ascii="宋体" w:hAnsi="宋体" w:eastAsia="宋体" w:cs="宋体"/>
                <w:color w:val="auto"/>
                <w:sz w:val="24"/>
                <w:highlight w:val="none"/>
                <w:lang w:val="en-US" w:eastAsia="zh-CN"/>
              </w:rPr>
            </w:pPr>
            <w:r>
              <w:rPr>
                <w:rFonts w:hint="eastAsia" w:ascii="宋体" w:hAnsi="宋体" w:cs="宋体"/>
                <w:color w:val="auto"/>
                <w:sz w:val="24"/>
                <w:highlight w:val="none"/>
                <w:lang w:val="en-US" w:eastAsia="zh-CN"/>
              </w:rPr>
              <w:t>最高限价（元）</w:t>
            </w:r>
          </w:p>
        </w:tc>
        <w:tc>
          <w:tcPr>
            <w:tcW w:w="191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69177C7B">
            <w:pPr>
              <w:spacing w:line="460" w:lineRule="exact"/>
              <w:jc w:val="center"/>
              <w:rPr>
                <w:rFonts w:hint="eastAsia" w:ascii="宋体" w:hAnsi="宋体" w:eastAsia="宋体" w:cs="宋体"/>
                <w:color w:val="auto"/>
                <w:sz w:val="24"/>
                <w:highlight w:val="none"/>
                <w:lang w:val="en-US" w:eastAsia="zh-CN"/>
              </w:rPr>
            </w:pPr>
            <w:r>
              <w:rPr>
                <w:rFonts w:hint="eastAsia" w:ascii="宋体" w:hAnsi="宋体" w:cs="宋体"/>
                <w:color w:val="auto"/>
                <w:sz w:val="24"/>
                <w:highlight w:val="none"/>
                <w:lang w:val="en-US" w:eastAsia="zh-CN"/>
              </w:rPr>
              <w:t>投标单价</w:t>
            </w:r>
          </w:p>
        </w:tc>
        <w:tc>
          <w:tcPr>
            <w:tcW w:w="176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4DF4A821">
            <w:pPr>
              <w:spacing w:line="460" w:lineRule="exact"/>
              <w:jc w:val="center"/>
              <w:rPr>
                <w:rFonts w:ascii="宋体" w:hAnsi="宋体" w:cs="宋体"/>
                <w:color w:val="auto"/>
                <w:sz w:val="24"/>
                <w:highlight w:val="none"/>
              </w:rPr>
            </w:pPr>
            <w:r>
              <w:rPr>
                <w:rFonts w:hint="eastAsia" w:ascii="宋体" w:hAnsi="宋体" w:cs="宋体"/>
                <w:color w:val="auto"/>
                <w:sz w:val="24"/>
                <w:highlight w:val="none"/>
                <w:lang w:val="en-US" w:eastAsia="zh-CN"/>
              </w:rPr>
              <w:t>投标总价（元）</w:t>
            </w:r>
          </w:p>
        </w:tc>
      </w:tr>
      <w:tr w14:paraId="527815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56" w:hRule="atLeast"/>
          <w:jc w:val="center"/>
        </w:trPr>
        <w:tc>
          <w:tcPr>
            <w:tcW w:w="891" w:type="dxa"/>
            <w:vMerge w:val="restart"/>
            <w:tcBorders>
              <w:top w:val="single" w:color="000000" w:sz="4" w:space="0"/>
              <w:left w:val="single" w:color="000000" w:sz="4" w:space="0"/>
              <w:right w:val="single" w:color="000000" w:sz="4" w:space="0"/>
            </w:tcBorders>
            <w:tcMar>
              <w:top w:w="0" w:type="dxa"/>
              <w:left w:w="108" w:type="dxa"/>
              <w:bottom w:w="0" w:type="dxa"/>
              <w:right w:w="108" w:type="dxa"/>
            </w:tcMar>
            <w:vAlign w:val="center"/>
          </w:tcPr>
          <w:p w14:paraId="7D66DD76">
            <w:pPr>
              <w:spacing w:line="460" w:lineRule="exact"/>
              <w:jc w:val="center"/>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1</w:t>
            </w:r>
          </w:p>
          <w:p w14:paraId="7C8BC70C">
            <w:pPr>
              <w:spacing w:line="460" w:lineRule="exact"/>
              <w:jc w:val="center"/>
              <w:rPr>
                <w:rFonts w:hint="eastAsia" w:ascii="宋体" w:hAnsi="宋体" w:eastAsia="宋体" w:cs="宋体"/>
                <w:b w:val="0"/>
                <w:bCs w:val="0"/>
                <w:color w:val="auto"/>
                <w:sz w:val="24"/>
                <w:szCs w:val="24"/>
                <w:highlight w:val="none"/>
                <w:lang w:val="en-US" w:eastAsia="zh-CN"/>
              </w:rPr>
            </w:pPr>
          </w:p>
          <w:p w14:paraId="5A9F9385">
            <w:pPr>
              <w:spacing w:line="460" w:lineRule="exact"/>
              <w:jc w:val="center"/>
              <w:rPr>
                <w:rFonts w:hint="eastAsia" w:ascii="宋体" w:hAnsi="宋体" w:eastAsia="宋体" w:cs="宋体"/>
                <w:b w:val="0"/>
                <w:bCs w:val="0"/>
                <w:color w:val="auto"/>
                <w:sz w:val="24"/>
                <w:szCs w:val="24"/>
                <w:highlight w:val="none"/>
                <w:lang w:val="en-US" w:eastAsia="zh-CN"/>
              </w:rPr>
            </w:pPr>
          </w:p>
        </w:tc>
        <w:tc>
          <w:tcPr>
            <w:tcW w:w="1800" w:type="dxa"/>
            <w:vMerge w:val="restart"/>
            <w:tcBorders>
              <w:top w:val="single" w:color="000000" w:sz="4" w:space="0"/>
              <w:left w:val="single" w:color="000000" w:sz="4" w:space="0"/>
              <w:right w:val="single" w:color="000000" w:sz="4" w:space="0"/>
            </w:tcBorders>
            <w:tcMar>
              <w:top w:w="0" w:type="dxa"/>
              <w:left w:w="108" w:type="dxa"/>
              <w:bottom w:w="0" w:type="dxa"/>
              <w:right w:w="108" w:type="dxa"/>
            </w:tcMar>
            <w:vAlign w:val="center"/>
          </w:tcPr>
          <w:p w14:paraId="73A80105">
            <w:pPr>
              <w:spacing w:line="360" w:lineRule="auto"/>
              <w:jc w:val="center"/>
              <w:rPr>
                <w:rFonts w:hint="eastAsia" w:ascii="宋体" w:hAnsi="宋体" w:eastAsia="宋体" w:cs="宋体"/>
                <w:b w:val="0"/>
                <w:bCs w:val="0"/>
                <w:color w:val="auto"/>
                <w:sz w:val="24"/>
                <w:szCs w:val="24"/>
                <w:highlight w:val="none"/>
                <w:lang w:eastAsia="zh-CN"/>
              </w:rPr>
            </w:pPr>
            <w:r>
              <w:rPr>
                <w:rFonts w:hint="eastAsia" w:ascii="宋体" w:hAnsi="宋体" w:cs="宋体"/>
                <w:color w:val="auto"/>
                <w:kern w:val="0"/>
                <w:sz w:val="24"/>
                <w:highlight w:val="none"/>
                <w:lang w:val="en-US" w:eastAsia="zh-CN"/>
              </w:rPr>
              <w:t>源昌国际城维序服务服务项目</w:t>
            </w:r>
          </w:p>
        </w:tc>
        <w:tc>
          <w:tcPr>
            <w:tcW w:w="1529" w:type="dxa"/>
            <w:vMerge w:val="restart"/>
            <w:tcBorders>
              <w:top w:val="single" w:color="000000" w:sz="4" w:space="0"/>
              <w:left w:val="single" w:color="000000" w:sz="4" w:space="0"/>
              <w:right w:val="single" w:color="000000" w:sz="4" w:space="0"/>
            </w:tcBorders>
            <w:tcMar>
              <w:top w:w="0" w:type="dxa"/>
              <w:left w:w="108" w:type="dxa"/>
              <w:bottom w:w="0" w:type="dxa"/>
              <w:right w:w="108" w:type="dxa"/>
            </w:tcMar>
            <w:vAlign w:val="center"/>
          </w:tcPr>
          <w:p w14:paraId="45F2F36F">
            <w:pPr>
              <w:spacing w:line="360" w:lineRule="auto"/>
              <w:jc w:val="center"/>
              <w:rPr>
                <w:rFonts w:hint="default" w:ascii="宋体" w:hAnsi="宋体" w:cs="宋体"/>
                <w:color w:val="auto"/>
                <w:kern w:val="0"/>
                <w:sz w:val="24"/>
                <w:highlight w:val="none"/>
                <w:lang w:val="en-US" w:eastAsia="zh-CN"/>
              </w:rPr>
            </w:pPr>
            <w:r>
              <w:rPr>
                <w:rFonts w:hint="eastAsia" w:ascii="宋体" w:hAnsi="宋体" w:cs="宋体"/>
                <w:color w:val="auto"/>
                <w:kern w:val="0"/>
                <w:sz w:val="24"/>
                <w:highlight w:val="none"/>
                <w:lang w:val="en-US" w:eastAsia="zh-CN"/>
              </w:rPr>
              <w:t>源昌国际城项目</w:t>
            </w:r>
          </w:p>
          <w:p w14:paraId="6DAFE9D7">
            <w:pPr>
              <w:spacing w:line="360" w:lineRule="auto"/>
              <w:jc w:val="center"/>
              <w:rPr>
                <w:rFonts w:hint="default" w:ascii="宋体" w:hAnsi="宋体" w:eastAsia="宋体" w:cs="宋体"/>
                <w:b w:val="0"/>
                <w:bCs w:val="0"/>
                <w:color w:val="auto"/>
                <w:kern w:val="0"/>
                <w:sz w:val="24"/>
                <w:szCs w:val="24"/>
                <w:highlight w:val="none"/>
                <w:lang w:val="en-US" w:eastAsia="zh-CN"/>
              </w:rPr>
            </w:pPr>
          </w:p>
        </w:tc>
        <w:tc>
          <w:tcPr>
            <w:tcW w:w="1260" w:type="dxa"/>
            <w:tcBorders>
              <w:top w:val="single" w:color="000000" w:sz="4" w:space="0"/>
              <w:left w:val="single" w:color="000000" w:sz="4" w:space="0"/>
              <w:right w:val="single" w:color="000000" w:sz="4" w:space="0"/>
            </w:tcBorders>
            <w:tcMar>
              <w:top w:w="0" w:type="dxa"/>
              <w:left w:w="108" w:type="dxa"/>
              <w:bottom w:w="0" w:type="dxa"/>
              <w:right w:w="108" w:type="dxa"/>
            </w:tcMar>
            <w:vAlign w:val="center"/>
          </w:tcPr>
          <w:p w14:paraId="0B186D04">
            <w:pPr>
              <w:spacing w:line="240" w:lineRule="exact"/>
              <w:jc w:val="left"/>
              <w:rPr>
                <w:rFonts w:hint="eastAsia" w:ascii="宋体" w:hAnsi="宋体" w:cs="宋体"/>
                <w:color w:val="auto"/>
                <w:kern w:val="0"/>
                <w:sz w:val="24"/>
                <w:highlight w:val="none"/>
                <w:u w:val="none"/>
                <w:lang w:val="en-US" w:eastAsia="zh-CN"/>
              </w:rPr>
            </w:pPr>
          </w:p>
          <w:p w14:paraId="76729228">
            <w:pPr>
              <w:spacing w:line="240" w:lineRule="exact"/>
              <w:ind w:left="0" w:firstLine="0" w:firstLineChars="0"/>
              <w:jc w:val="left"/>
              <w:rPr>
                <w:rFonts w:hint="eastAsia" w:ascii="宋体" w:hAnsi="宋体" w:cs="宋体"/>
                <w:color w:val="auto"/>
                <w:kern w:val="0"/>
                <w:sz w:val="24"/>
                <w:highlight w:val="none"/>
                <w:u w:val="none"/>
                <w:lang w:val="en-US" w:eastAsia="zh-CN"/>
              </w:rPr>
            </w:pPr>
            <w:r>
              <w:rPr>
                <w:rFonts w:hint="eastAsia" w:ascii="宋体" w:hAnsi="宋体" w:cs="宋体"/>
                <w:color w:val="auto"/>
                <w:kern w:val="0"/>
                <w:sz w:val="24"/>
                <w:highlight w:val="none"/>
                <w:u w:val="none"/>
                <w:lang w:val="en-US" w:eastAsia="zh-CN"/>
              </w:rPr>
              <w:t>消控岗1个</w:t>
            </w:r>
          </w:p>
          <w:p w14:paraId="1E30BA2D">
            <w:pPr>
              <w:spacing w:line="240" w:lineRule="exact"/>
              <w:jc w:val="left"/>
              <w:rPr>
                <w:rFonts w:hint="eastAsia" w:ascii="宋体" w:hAnsi="宋体" w:eastAsia="宋体" w:cs="宋体"/>
                <w:b w:val="0"/>
                <w:bCs w:val="0"/>
                <w:color w:val="auto"/>
                <w:sz w:val="24"/>
                <w:szCs w:val="24"/>
                <w:highlight w:val="none"/>
              </w:rPr>
            </w:pPr>
          </w:p>
        </w:tc>
        <w:tc>
          <w:tcPr>
            <w:tcW w:w="1575" w:type="dxa"/>
            <w:tcBorders>
              <w:top w:val="single" w:color="000000" w:sz="4" w:space="0"/>
              <w:left w:val="single" w:color="000000" w:sz="4" w:space="0"/>
              <w:right w:val="single" w:color="000000" w:sz="4" w:space="0"/>
            </w:tcBorders>
            <w:tcMar>
              <w:top w:w="0" w:type="dxa"/>
              <w:left w:w="108" w:type="dxa"/>
              <w:bottom w:w="0" w:type="dxa"/>
              <w:right w:w="108" w:type="dxa"/>
            </w:tcMar>
            <w:vAlign w:val="center"/>
          </w:tcPr>
          <w:p w14:paraId="0B1B1444">
            <w:pPr>
              <w:spacing w:line="360" w:lineRule="auto"/>
              <w:jc w:val="center"/>
              <w:rPr>
                <w:rFonts w:hint="eastAsia" w:ascii="宋体" w:hAnsi="宋体" w:cs="宋体"/>
                <w:color w:val="auto"/>
                <w:kern w:val="0"/>
                <w:sz w:val="24"/>
                <w:highlight w:val="none"/>
                <w:lang w:val="en-US" w:eastAsia="zh-CN"/>
              </w:rPr>
            </w:pPr>
            <w:r>
              <w:rPr>
                <w:rFonts w:hint="eastAsia" w:ascii="宋体" w:hAnsi="宋体" w:cs="宋体"/>
                <w:color w:val="auto"/>
                <w:kern w:val="0"/>
                <w:sz w:val="21"/>
                <w:szCs w:val="21"/>
                <w:lang w:val="en-US" w:eastAsia="zh-CN"/>
                <w:rPrChange w:id="8" w:author="秦岳" w:date="2025-12-25T17:39:43Z">
                  <w:rPr>
                    <w:rFonts w:hint="eastAsia" w:ascii="宋体" w:hAnsi="宋体" w:cs="宋体"/>
                    <w:kern w:val="0"/>
                    <w:sz w:val="21"/>
                    <w:szCs w:val="21"/>
                    <w:lang w:val="en-US" w:eastAsia="zh-CN"/>
                  </w:rPr>
                </w:rPrChange>
              </w:rPr>
              <w:t>156000</w:t>
            </w:r>
          </w:p>
        </w:tc>
        <w:tc>
          <w:tcPr>
            <w:tcW w:w="1912" w:type="dxa"/>
            <w:tcBorders>
              <w:top w:val="single" w:color="000000" w:sz="4" w:space="0"/>
              <w:left w:val="single" w:color="000000" w:sz="4" w:space="0"/>
              <w:right w:val="single" w:color="000000" w:sz="4" w:space="0"/>
            </w:tcBorders>
            <w:tcMar>
              <w:top w:w="0" w:type="dxa"/>
              <w:left w:w="108" w:type="dxa"/>
              <w:bottom w:w="0" w:type="dxa"/>
              <w:right w:w="108" w:type="dxa"/>
            </w:tcMar>
            <w:vAlign w:val="center"/>
          </w:tcPr>
          <w:p w14:paraId="10DF53BC">
            <w:pPr>
              <w:spacing w:line="360" w:lineRule="auto"/>
              <w:jc w:val="both"/>
              <w:rPr>
                <w:rFonts w:hint="default" w:ascii="宋体" w:hAnsi="宋体" w:eastAsia="宋体" w:cs="宋体"/>
                <w:color w:val="auto"/>
                <w:kern w:val="0"/>
                <w:sz w:val="21"/>
                <w:szCs w:val="21"/>
                <w:lang w:val="en-US" w:eastAsia="zh-CN"/>
                <w:rPrChange w:id="9" w:author="秦岳" w:date="2025-12-25T17:39:43Z">
                  <w:rPr>
                    <w:rFonts w:hint="default" w:ascii="宋体" w:hAnsi="宋体" w:eastAsia="宋体" w:cs="宋体"/>
                    <w:kern w:val="0"/>
                    <w:sz w:val="21"/>
                    <w:szCs w:val="21"/>
                    <w:lang w:val="en-US" w:eastAsia="zh-CN"/>
                  </w:rPr>
                </w:rPrChange>
              </w:rPr>
            </w:pPr>
          </w:p>
          <w:p w14:paraId="7637707F">
            <w:pPr>
              <w:spacing w:line="460" w:lineRule="exact"/>
              <w:ind w:left="0" w:firstLine="0" w:firstLineChars="0"/>
              <w:jc w:val="left"/>
              <w:rPr>
                <w:rFonts w:hint="default" w:ascii="宋体" w:hAnsi="宋体" w:eastAsia="宋体" w:cs="宋体"/>
                <w:color w:val="auto"/>
                <w:kern w:val="0"/>
                <w:sz w:val="21"/>
                <w:szCs w:val="21"/>
                <w:lang w:val="en-US" w:eastAsia="zh-CN"/>
                <w:rPrChange w:id="10" w:author="秦岳" w:date="2025-12-25T17:39:43Z">
                  <w:rPr>
                    <w:rFonts w:hint="default" w:ascii="宋体" w:hAnsi="宋体" w:eastAsia="宋体" w:cs="宋体"/>
                    <w:kern w:val="0"/>
                    <w:sz w:val="21"/>
                    <w:szCs w:val="21"/>
                    <w:lang w:val="en-US" w:eastAsia="zh-CN"/>
                  </w:rPr>
                </w:rPrChange>
              </w:rPr>
            </w:pPr>
            <w:r>
              <w:rPr>
                <w:rFonts w:hint="default" w:ascii="宋体" w:hAnsi="宋体" w:eastAsia="宋体" w:cs="宋体"/>
                <w:color w:val="auto"/>
                <w:kern w:val="0"/>
                <w:sz w:val="21"/>
                <w:szCs w:val="21"/>
                <w:lang w:val="en-US" w:eastAsia="zh-CN"/>
                <w:rPrChange w:id="11" w:author="秦岳" w:date="2025-12-25T17:39:43Z">
                  <w:rPr>
                    <w:rFonts w:hint="default" w:ascii="宋体" w:hAnsi="宋体" w:eastAsia="宋体" w:cs="宋体"/>
                    <w:kern w:val="0"/>
                    <w:sz w:val="21"/>
                    <w:szCs w:val="21"/>
                    <w:lang w:val="en-US" w:eastAsia="zh-CN"/>
                  </w:rPr>
                </w:rPrChange>
              </w:rPr>
              <w:t>消控岗</w:t>
            </w:r>
            <w:r>
              <w:rPr>
                <w:rFonts w:hint="eastAsia" w:ascii="宋体" w:hAnsi="宋体" w:eastAsia="宋体" w:cs="宋体"/>
                <w:color w:val="auto"/>
                <w:kern w:val="0"/>
                <w:sz w:val="21"/>
                <w:szCs w:val="21"/>
                <w:lang w:val="en-US" w:eastAsia="zh-CN"/>
                <w:rPrChange w:id="12" w:author="秦岳" w:date="2025-12-25T17:39:43Z">
                  <w:rPr>
                    <w:rFonts w:hint="eastAsia" w:ascii="宋体" w:hAnsi="宋体" w:eastAsia="宋体" w:cs="宋体"/>
                    <w:kern w:val="0"/>
                    <w:sz w:val="21"/>
                    <w:szCs w:val="21"/>
                    <w:lang w:val="en-US" w:eastAsia="zh-CN"/>
                  </w:rPr>
                </w:rPrChange>
              </w:rPr>
              <w:t xml:space="preserve">     </w:t>
            </w:r>
            <w:r>
              <w:rPr>
                <w:rFonts w:hint="default" w:ascii="宋体" w:hAnsi="宋体" w:eastAsia="宋体" w:cs="宋体"/>
                <w:color w:val="auto"/>
                <w:kern w:val="0"/>
                <w:sz w:val="21"/>
                <w:szCs w:val="21"/>
                <w:lang w:val="en-US" w:eastAsia="zh-CN"/>
                <w:rPrChange w:id="13" w:author="秦岳" w:date="2025-12-25T17:39:43Z">
                  <w:rPr>
                    <w:rFonts w:hint="default" w:ascii="宋体" w:hAnsi="宋体" w:eastAsia="宋体" w:cs="宋体"/>
                    <w:kern w:val="0"/>
                    <w:sz w:val="21"/>
                    <w:szCs w:val="21"/>
                    <w:lang w:val="en-US" w:eastAsia="zh-CN"/>
                  </w:rPr>
                </w:rPrChange>
              </w:rPr>
              <w:t>元/月/个，</w:t>
            </w:r>
          </w:p>
          <w:p w14:paraId="5FD95D65">
            <w:pPr>
              <w:spacing w:line="360" w:lineRule="auto"/>
              <w:jc w:val="center"/>
              <w:rPr>
                <w:rFonts w:hint="eastAsia" w:ascii="宋体" w:hAnsi="宋体" w:eastAsia="宋体" w:cs="宋体"/>
                <w:b w:val="0"/>
                <w:bCs w:val="0"/>
                <w:color w:val="auto"/>
                <w:sz w:val="24"/>
                <w:szCs w:val="24"/>
                <w:highlight w:val="none"/>
              </w:rPr>
            </w:pPr>
          </w:p>
        </w:tc>
        <w:tc>
          <w:tcPr>
            <w:tcW w:w="176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46BDAC77">
            <w:pPr>
              <w:spacing w:line="460" w:lineRule="exact"/>
              <w:ind w:left="630" w:hanging="720" w:hangingChars="300"/>
              <w:jc w:val="left"/>
              <w:rPr>
                <w:rFonts w:hint="eastAsia" w:ascii="宋体" w:hAnsi="宋体" w:cs="宋体"/>
                <w:b w:val="0"/>
                <w:bCs w:val="0"/>
                <w:color w:val="auto"/>
                <w:sz w:val="24"/>
                <w:szCs w:val="24"/>
                <w:highlight w:val="none"/>
                <w:lang w:val="en-US" w:eastAsia="zh-CN"/>
              </w:rPr>
            </w:pPr>
            <w:r>
              <w:rPr>
                <w:rFonts w:hint="eastAsia" w:ascii="宋体" w:hAnsi="宋体" w:cs="宋体"/>
                <w:b w:val="0"/>
                <w:bCs w:val="0"/>
                <w:color w:val="auto"/>
                <w:sz w:val="24"/>
                <w:szCs w:val="24"/>
                <w:highlight w:val="none"/>
                <w:lang w:val="en-US" w:eastAsia="zh-CN"/>
              </w:rPr>
              <w:t xml:space="preserve">          </w:t>
            </w:r>
          </w:p>
          <w:p w14:paraId="2B222016">
            <w:pPr>
              <w:spacing w:line="460" w:lineRule="exact"/>
              <w:ind w:left="630" w:hanging="720" w:hangingChars="300"/>
              <w:jc w:val="left"/>
              <w:rPr>
                <w:rFonts w:hint="eastAsia" w:ascii="宋体" w:hAnsi="宋体" w:cs="宋体"/>
                <w:color w:val="auto"/>
                <w:kern w:val="0"/>
                <w:sz w:val="24"/>
                <w:highlight w:val="none"/>
                <w:lang w:val="en-US" w:eastAsia="zh-CN"/>
              </w:rPr>
            </w:pPr>
          </w:p>
          <w:p w14:paraId="05125DFB">
            <w:pPr>
              <w:spacing w:line="460" w:lineRule="exact"/>
              <w:jc w:val="both"/>
              <w:rPr>
                <w:rFonts w:hint="default" w:ascii="宋体" w:hAnsi="宋体" w:eastAsia="宋体" w:cs="宋体"/>
                <w:b w:val="0"/>
                <w:bCs w:val="0"/>
                <w:color w:val="auto"/>
                <w:sz w:val="24"/>
                <w:szCs w:val="24"/>
                <w:highlight w:val="none"/>
                <w:lang w:val="en-US"/>
              </w:rPr>
            </w:pPr>
            <w:r>
              <w:rPr>
                <w:rFonts w:hint="eastAsia" w:ascii="宋体" w:hAnsi="宋体" w:cs="宋体"/>
                <w:b w:val="0"/>
                <w:bCs w:val="0"/>
                <w:color w:val="auto"/>
                <w:sz w:val="24"/>
                <w:szCs w:val="24"/>
                <w:highlight w:val="none"/>
                <w:lang w:val="en-US" w:eastAsia="zh-CN"/>
              </w:rPr>
              <w:t xml:space="preserve">          </w:t>
            </w:r>
          </w:p>
        </w:tc>
      </w:tr>
      <w:tr w14:paraId="139BC7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14" w:hRule="atLeast"/>
          <w:jc w:val="center"/>
        </w:trPr>
        <w:tc>
          <w:tcPr>
            <w:tcW w:w="891" w:type="dxa"/>
            <w:vMerge w:val="continue"/>
            <w:tcBorders>
              <w:left w:val="single" w:color="000000" w:sz="4" w:space="0"/>
              <w:right w:val="single" w:color="000000" w:sz="4" w:space="0"/>
            </w:tcBorders>
            <w:tcMar>
              <w:top w:w="0" w:type="dxa"/>
              <w:left w:w="108" w:type="dxa"/>
              <w:bottom w:w="0" w:type="dxa"/>
              <w:right w:w="108" w:type="dxa"/>
            </w:tcMar>
            <w:vAlign w:val="center"/>
          </w:tcPr>
          <w:p w14:paraId="30C0B1D6">
            <w:pPr>
              <w:spacing w:line="460" w:lineRule="exact"/>
              <w:jc w:val="center"/>
              <w:rPr>
                <w:rFonts w:hint="eastAsia" w:ascii="宋体" w:hAnsi="宋体" w:eastAsia="宋体" w:cs="宋体"/>
                <w:b w:val="0"/>
                <w:bCs w:val="0"/>
                <w:color w:val="auto"/>
                <w:sz w:val="24"/>
                <w:szCs w:val="24"/>
                <w:highlight w:val="none"/>
                <w:lang w:val="en-US" w:eastAsia="zh-CN"/>
              </w:rPr>
            </w:pPr>
          </w:p>
        </w:tc>
        <w:tc>
          <w:tcPr>
            <w:tcW w:w="1800" w:type="dxa"/>
            <w:vMerge w:val="continue"/>
            <w:tcBorders>
              <w:left w:val="single" w:color="000000" w:sz="4" w:space="0"/>
              <w:bottom w:val="single" w:color="000000" w:sz="4" w:space="0"/>
              <w:right w:val="single" w:color="000000" w:sz="4" w:space="0"/>
            </w:tcBorders>
            <w:tcMar>
              <w:top w:w="0" w:type="dxa"/>
              <w:left w:w="108" w:type="dxa"/>
              <w:bottom w:w="0" w:type="dxa"/>
              <w:right w:w="108" w:type="dxa"/>
            </w:tcMar>
            <w:vAlign w:val="center"/>
          </w:tcPr>
          <w:p w14:paraId="4673279A">
            <w:pPr>
              <w:spacing w:line="360" w:lineRule="auto"/>
              <w:jc w:val="center"/>
              <w:rPr>
                <w:rFonts w:hint="eastAsia" w:ascii="宋体" w:hAnsi="宋体" w:eastAsia="宋体" w:cs="宋体"/>
                <w:b w:val="0"/>
                <w:bCs w:val="0"/>
                <w:color w:val="auto"/>
                <w:sz w:val="24"/>
                <w:szCs w:val="24"/>
                <w:highlight w:val="none"/>
                <w:lang w:eastAsia="zh-CN"/>
              </w:rPr>
            </w:pPr>
          </w:p>
        </w:tc>
        <w:tc>
          <w:tcPr>
            <w:tcW w:w="1529" w:type="dxa"/>
            <w:vMerge w:val="continue"/>
            <w:tcBorders>
              <w:left w:val="single" w:color="000000" w:sz="4" w:space="0"/>
              <w:right w:val="single" w:color="000000" w:sz="4" w:space="0"/>
            </w:tcBorders>
            <w:tcMar>
              <w:top w:w="0" w:type="dxa"/>
              <w:left w:w="108" w:type="dxa"/>
              <w:bottom w:w="0" w:type="dxa"/>
              <w:right w:w="108" w:type="dxa"/>
            </w:tcMar>
            <w:vAlign w:val="center"/>
          </w:tcPr>
          <w:p w14:paraId="56B1E0B3">
            <w:pPr>
              <w:spacing w:line="360" w:lineRule="auto"/>
              <w:jc w:val="center"/>
              <w:rPr>
                <w:rFonts w:hint="eastAsia" w:ascii="宋体" w:hAnsi="宋体" w:eastAsia="宋体" w:cs="宋体"/>
                <w:b w:val="0"/>
                <w:bCs w:val="0"/>
                <w:color w:val="auto"/>
                <w:kern w:val="0"/>
                <w:sz w:val="24"/>
                <w:szCs w:val="24"/>
                <w:highlight w:val="none"/>
                <w:lang w:val="en-US" w:eastAsia="zh-CN"/>
              </w:rPr>
            </w:pPr>
          </w:p>
        </w:tc>
        <w:tc>
          <w:tcPr>
            <w:tcW w:w="1260" w:type="dxa"/>
            <w:tcBorders>
              <w:top w:val="single" w:color="000000" w:sz="4" w:space="0"/>
              <w:left w:val="single" w:color="000000" w:sz="4" w:space="0"/>
              <w:right w:val="single" w:color="000000" w:sz="4" w:space="0"/>
            </w:tcBorders>
            <w:tcMar>
              <w:top w:w="0" w:type="dxa"/>
              <w:left w:w="108" w:type="dxa"/>
              <w:bottom w:w="0" w:type="dxa"/>
              <w:right w:w="108" w:type="dxa"/>
            </w:tcMar>
            <w:vAlign w:val="center"/>
          </w:tcPr>
          <w:p w14:paraId="360252C3">
            <w:pPr>
              <w:spacing w:line="460" w:lineRule="exact"/>
              <w:jc w:val="center"/>
              <w:rPr>
                <w:rFonts w:hint="eastAsia" w:eastAsia="宋体" w:cs="Times New Roman"/>
                <w:b w:val="0"/>
                <w:bCs w:val="0"/>
                <w:color w:val="auto"/>
                <w:sz w:val="24"/>
                <w:szCs w:val="24"/>
                <w:highlight w:val="none"/>
                <w:u w:val="none"/>
                <w:lang w:val="en-US" w:eastAsia="zh-CN"/>
              </w:rPr>
            </w:pPr>
            <w:r>
              <w:rPr>
                <w:rFonts w:hint="eastAsia" w:cs="Times New Roman"/>
                <w:b w:val="0"/>
                <w:bCs w:val="0"/>
                <w:color w:val="auto"/>
                <w:sz w:val="24"/>
                <w:szCs w:val="24"/>
                <w:highlight w:val="none"/>
                <w:u w:val="none"/>
                <w:lang w:val="en-US" w:eastAsia="zh-CN"/>
              </w:rPr>
              <w:t>普通岗6个</w:t>
            </w:r>
          </w:p>
        </w:tc>
        <w:tc>
          <w:tcPr>
            <w:tcW w:w="1575" w:type="dxa"/>
            <w:tcBorders>
              <w:top w:val="single" w:color="000000" w:sz="4" w:space="0"/>
              <w:left w:val="single" w:color="000000" w:sz="4" w:space="0"/>
              <w:right w:val="single" w:color="000000" w:sz="4" w:space="0"/>
            </w:tcBorders>
            <w:tcMar>
              <w:top w:w="0" w:type="dxa"/>
              <w:left w:w="108" w:type="dxa"/>
              <w:bottom w:w="0" w:type="dxa"/>
              <w:right w:w="108" w:type="dxa"/>
            </w:tcMar>
            <w:vAlign w:val="center"/>
          </w:tcPr>
          <w:p w14:paraId="4C5EE237">
            <w:pPr>
              <w:spacing w:line="460" w:lineRule="exact"/>
              <w:jc w:val="center"/>
              <w:rPr>
                <w:rFonts w:hint="eastAsia" w:eastAsia="宋体" w:cs="Times New Roman"/>
                <w:b w:val="0"/>
                <w:bCs w:val="0"/>
                <w:color w:val="auto"/>
                <w:sz w:val="24"/>
                <w:szCs w:val="24"/>
                <w:highlight w:val="none"/>
                <w:u w:val="single"/>
                <w:lang w:val="en-US" w:eastAsia="zh-CN"/>
              </w:rPr>
            </w:pPr>
            <w:r>
              <w:rPr>
                <w:rFonts w:hint="eastAsia" w:ascii="宋体" w:hAnsi="宋体" w:cs="宋体"/>
                <w:color w:val="auto"/>
                <w:kern w:val="0"/>
                <w:sz w:val="21"/>
                <w:szCs w:val="21"/>
                <w:lang w:val="en-US" w:eastAsia="zh-CN"/>
                <w:rPrChange w:id="14" w:author="秦岳" w:date="2025-12-25T17:39:43Z">
                  <w:rPr>
                    <w:rFonts w:hint="eastAsia" w:ascii="宋体" w:hAnsi="宋体" w:cs="宋体"/>
                    <w:kern w:val="0"/>
                    <w:sz w:val="21"/>
                    <w:szCs w:val="21"/>
                    <w:lang w:val="en-US" w:eastAsia="zh-CN"/>
                  </w:rPr>
                </w:rPrChange>
              </w:rPr>
              <w:t>842400</w:t>
            </w:r>
          </w:p>
        </w:tc>
        <w:tc>
          <w:tcPr>
            <w:tcW w:w="1912" w:type="dxa"/>
            <w:tcBorders>
              <w:top w:val="single" w:color="000000" w:sz="4" w:space="0"/>
              <w:left w:val="single" w:color="000000" w:sz="4" w:space="0"/>
              <w:right w:val="single" w:color="000000" w:sz="4" w:space="0"/>
            </w:tcBorders>
            <w:tcMar>
              <w:top w:w="0" w:type="dxa"/>
              <w:left w:w="108" w:type="dxa"/>
              <w:bottom w:w="0" w:type="dxa"/>
              <w:right w:w="108" w:type="dxa"/>
            </w:tcMar>
            <w:vAlign w:val="center"/>
          </w:tcPr>
          <w:p w14:paraId="427CB087">
            <w:pPr>
              <w:spacing w:line="360" w:lineRule="auto"/>
              <w:jc w:val="center"/>
              <w:rPr>
                <w:rFonts w:hint="eastAsia" w:eastAsia="宋体" w:cs="Times New Roman"/>
                <w:b w:val="0"/>
                <w:bCs w:val="0"/>
                <w:color w:val="auto"/>
                <w:sz w:val="24"/>
                <w:szCs w:val="24"/>
                <w:highlight w:val="none"/>
                <w:u w:val="single"/>
                <w:lang w:val="en-US" w:eastAsia="zh-CN"/>
              </w:rPr>
            </w:pPr>
            <w:r>
              <w:rPr>
                <w:rFonts w:hint="eastAsia" w:ascii="宋体" w:hAnsi="宋体" w:eastAsia="宋体" w:cs="宋体"/>
                <w:color w:val="auto"/>
                <w:kern w:val="0"/>
                <w:sz w:val="21"/>
                <w:szCs w:val="21"/>
                <w:lang w:val="en-US" w:eastAsia="zh-CN"/>
                <w:rPrChange w:id="15" w:author="秦岳" w:date="2025-12-25T17:39:43Z">
                  <w:rPr>
                    <w:rFonts w:hint="eastAsia" w:ascii="宋体" w:hAnsi="宋体" w:eastAsia="宋体" w:cs="宋体"/>
                    <w:kern w:val="0"/>
                    <w:sz w:val="21"/>
                    <w:szCs w:val="21"/>
                    <w:lang w:val="en-US" w:eastAsia="zh-CN"/>
                  </w:rPr>
                </w:rPrChange>
              </w:rPr>
              <w:t xml:space="preserve"> </w:t>
            </w:r>
            <w:r>
              <w:rPr>
                <w:rFonts w:hint="eastAsia" w:ascii="宋体" w:hAnsi="宋体" w:cs="宋体"/>
                <w:color w:val="auto"/>
                <w:kern w:val="0"/>
                <w:sz w:val="21"/>
                <w:szCs w:val="21"/>
                <w:lang w:val="en-US" w:eastAsia="zh-CN"/>
                <w:rPrChange w:id="16" w:author="秦岳" w:date="2025-12-25T17:39:43Z">
                  <w:rPr>
                    <w:rFonts w:hint="eastAsia" w:ascii="宋体" w:hAnsi="宋体" w:cs="宋体"/>
                    <w:kern w:val="0"/>
                    <w:sz w:val="21"/>
                    <w:szCs w:val="21"/>
                    <w:lang w:val="en-US" w:eastAsia="zh-CN"/>
                  </w:rPr>
                </w:rPrChange>
              </w:rPr>
              <w:t>普通岗</w:t>
            </w:r>
            <w:r>
              <w:rPr>
                <w:rFonts w:hint="eastAsia" w:ascii="宋体" w:hAnsi="宋体" w:eastAsia="宋体" w:cs="宋体"/>
                <w:color w:val="auto"/>
                <w:kern w:val="0"/>
                <w:sz w:val="21"/>
                <w:szCs w:val="21"/>
                <w:lang w:val="en-US" w:eastAsia="zh-CN"/>
                <w:rPrChange w:id="17" w:author="秦岳" w:date="2025-12-25T17:39:43Z">
                  <w:rPr>
                    <w:rFonts w:hint="eastAsia" w:ascii="宋体" w:hAnsi="宋体" w:eastAsia="宋体" w:cs="宋体"/>
                    <w:kern w:val="0"/>
                    <w:sz w:val="21"/>
                    <w:szCs w:val="21"/>
                    <w:lang w:val="en-US" w:eastAsia="zh-CN"/>
                  </w:rPr>
                </w:rPrChange>
              </w:rPr>
              <w:t xml:space="preserve">     元/月/</w:t>
            </w:r>
            <w:r>
              <w:rPr>
                <w:rFonts w:hint="eastAsia" w:ascii="宋体" w:hAnsi="宋体" w:cs="宋体"/>
                <w:color w:val="auto"/>
                <w:kern w:val="0"/>
                <w:sz w:val="21"/>
                <w:szCs w:val="21"/>
                <w:lang w:val="en-US" w:eastAsia="zh-CN"/>
                <w:rPrChange w:id="18" w:author="秦岳" w:date="2025-12-25T17:39:43Z">
                  <w:rPr>
                    <w:rFonts w:hint="eastAsia" w:ascii="宋体" w:hAnsi="宋体" w:cs="宋体"/>
                    <w:kern w:val="0"/>
                    <w:sz w:val="21"/>
                    <w:szCs w:val="21"/>
                    <w:lang w:val="en-US" w:eastAsia="zh-CN"/>
                  </w:rPr>
                </w:rPrChange>
              </w:rPr>
              <w:t>个</w:t>
            </w:r>
          </w:p>
        </w:tc>
        <w:tc>
          <w:tcPr>
            <w:tcW w:w="176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3FFF830C">
            <w:pPr>
              <w:spacing w:line="460" w:lineRule="exact"/>
              <w:jc w:val="both"/>
              <w:rPr>
                <w:rFonts w:hint="eastAsia" w:ascii="宋体" w:hAnsi="宋体" w:cs="宋体"/>
                <w:b w:val="0"/>
                <w:bCs w:val="0"/>
                <w:color w:val="auto"/>
                <w:sz w:val="24"/>
                <w:szCs w:val="24"/>
                <w:highlight w:val="none"/>
                <w:lang w:val="en-US" w:eastAsia="zh-CN"/>
              </w:rPr>
            </w:pPr>
            <w:r>
              <w:rPr>
                <w:rFonts w:hint="eastAsia" w:ascii="宋体" w:hAnsi="宋体" w:cs="宋体"/>
                <w:b w:val="0"/>
                <w:bCs w:val="0"/>
                <w:color w:val="auto"/>
                <w:sz w:val="24"/>
                <w:szCs w:val="24"/>
                <w:highlight w:val="none"/>
                <w:lang w:val="en-US" w:eastAsia="zh-CN"/>
              </w:rPr>
              <w:t xml:space="preserve">          </w:t>
            </w:r>
          </w:p>
          <w:p w14:paraId="226BDA70">
            <w:pPr>
              <w:spacing w:line="460" w:lineRule="exact"/>
              <w:jc w:val="both"/>
              <w:rPr>
                <w:rFonts w:hint="eastAsia" w:eastAsia="宋体" w:cs="Times New Roman"/>
                <w:b w:val="0"/>
                <w:bCs w:val="0"/>
                <w:color w:val="auto"/>
                <w:sz w:val="24"/>
                <w:szCs w:val="24"/>
                <w:highlight w:val="none"/>
                <w:u w:val="single"/>
                <w:lang w:val="en-US" w:eastAsia="zh-CN"/>
              </w:rPr>
            </w:pPr>
          </w:p>
        </w:tc>
      </w:tr>
      <w:tr w14:paraId="09898A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18" w:hRule="atLeast"/>
          <w:jc w:val="center"/>
        </w:trPr>
        <w:tc>
          <w:tcPr>
            <w:tcW w:w="89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3A3DCAEF">
            <w:pPr>
              <w:spacing w:line="460" w:lineRule="exact"/>
              <w:jc w:val="center"/>
              <w:rPr>
                <w:rFonts w:hint="eastAsia" w:ascii="宋体" w:hAnsi="宋体" w:eastAsia="宋体" w:cs="宋体"/>
                <w:b w:val="0"/>
                <w:bCs w:val="0"/>
                <w:color w:val="auto"/>
                <w:sz w:val="24"/>
                <w:szCs w:val="24"/>
                <w:highlight w:val="none"/>
                <w:lang w:val="en-US" w:eastAsia="zh-CN"/>
              </w:rPr>
            </w:pPr>
          </w:p>
        </w:tc>
        <w:tc>
          <w:tcPr>
            <w:tcW w:w="180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0B0F2179">
            <w:pPr>
              <w:spacing w:line="360" w:lineRule="auto"/>
              <w:jc w:val="center"/>
              <w:rPr>
                <w:rFonts w:hint="eastAsia" w:ascii="宋体" w:hAnsi="宋体" w:eastAsia="宋体" w:cs="宋体"/>
                <w:b w:val="0"/>
                <w:bCs w:val="0"/>
                <w:color w:val="auto"/>
                <w:kern w:val="0"/>
                <w:sz w:val="24"/>
                <w:szCs w:val="24"/>
                <w:highlight w:val="none"/>
                <w:lang w:val="en-US" w:eastAsia="zh-CN"/>
              </w:rPr>
            </w:pPr>
            <w:r>
              <w:rPr>
                <w:rFonts w:hint="eastAsia" w:ascii="宋体" w:hAnsi="宋体" w:eastAsia="宋体" w:cs="宋体"/>
                <w:b w:val="0"/>
                <w:bCs w:val="0"/>
                <w:color w:val="auto"/>
                <w:kern w:val="0"/>
                <w:sz w:val="24"/>
                <w:szCs w:val="24"/>
                <w:highlight w:val="none"/>
                <w:lang w:val="en-US" w:eastAsia="zh-CN"/>
              </w:rPr>
              <w:t>合计</w:t>
            </w:r>
          </w:p>
        </w:tc>
        <w:tc>
          <w:tcPr>
            <w:tcW w:w="152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02134680">
            <w:pPr>
              <w:spacing w:line="360" w:lineRule="auto"/>
              <w:jc w:val="center"/>
              <w:rPr>
                <w:rFonts w:hint="eastAsia" w:ascii="宋体" w:hAnsi="宋体" w:eastAsia="宋体" w:cs="宋体"/>
                <w:b w:val="0"/>
                <w:bCs w:val="0"/>
                <w:color w:val="auto"/>
                <w:kern w:val="0"/>
                <w:sz w:val="24"/>
                <w:szCs w:val="24"/>
                <w:highlight w:val="none"/>
                <w:lang w:val="en-US" w:eastAsia="zh-CN"/>
              </w:rPr>
            </w:pPr>
          </w:p>
        </w:tc>
        <w:tc>
          <w:tcPr>
            <w:tcW w:w="126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2E0A4F87">
            <w:pPr>
              <w:spacing w:line="460" w:lineRule="exact"/>
              <w:jc w:val="center"/>
              <w:rPr>
                <w:rFonts w:hint="eastAsia" w:ascii="宋体" w:hAnsi="宋体" w:eastAsia="宋体" w:cs="宋体"/>
                <w:b w:val="0"/>
                <w:bCs w:val="0"/>
                <w:color w:val="auto"/>
                <w:sz w:val="24"/>
                <w:szCs w:val="24"/>
                <w:highlight w:val="none"/>
              </w:rPr>
            </w:pPr>
          </w:p>
        </w:tc>
        <w:tc>
          <w:tcPr>
            <w:tcW w:w="157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64EC7CE3">
            <w:pPr>
              <w:spacing w:line="460" w:lineRule="exact"/>
              <w:jc w:val="center"/>
              <w:rPr>
                <w:rFonts w:hint="eastAsia" w:ascii="宋体" w:hAnsi="宋体" w:eastAsia="宋体" w:cs="宋体"/>
                <w:b w:val="0"/>
                <w:bCs w:val="0"/>
                <w:color w:val="auto"/>
                <w:sz w:val="24"/>
                <w:szCs w:val="24"/>
                <w:highlight w:val="none"/>
              </w:rPr>
            </w:pPr>
          </w:p>
        </w:tc>
        <w:tc>
          <w:tcPr>
            <w:tcW w:w="191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034DC7E7">
            <w:pPr>
              <w:spacing w:line="460" w:lineRule="exact"/>
              <w:jc w:val="center"/>
              <w:rPr>
                <w:rFonts w:hint="eastAsia" w:ascii="宋体" w:hAnsi="宋体" w:eastAsia="宋体" w:cs="宋体"/>
                <w:b w:val="0"/>
                <w:bCs w:val="0"/>
                <w:color w:val="auto"/>
                <w:sz w:val="24"/>
                <w:szCs w:val="24"/>
                <w:highlight w:val="none"/>
              </w:rPr>
            </w:pPr>
          </w:p>
        </w:tc>
        <w:tc>
          <w:tcPr>
            <w:tcW w:w="176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422C81D2">
            <w:pPr>
              <w:spacing w:line="460" w:lineRule="exact"/>
              <w:jc w:val="center"/>
              <w:rPr>
                <w:rFonts w:hint="eastAsia" w:ascii="宋体" w:hAnsi="宋体" w:eastAsia="宋体" w:cs="宋体"/>
                <w:b w:val="0"/>
                <w:bCs w:val="0"/>
                <w:color w:val="auto"/>
                <w:sz w:val="24"/>
                <w:szCs w:val="24"/>
                <w:highlight w:val="none"/>
              </w:rPr>
            </w:pPr>
          </w:p>
        </w:tc>
      </w:tr>
      <w:tr w14:paraId="6EC8EA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3" w:hRule="atLeast"/>
          <w:jc w:val="center"/>
        </w:trPr>
        <w:tc>
          <w:tcPr>
            <w:tcW w:w="10730" w:type="dxa"/>
            <w:gridSpan w:val="7"/>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41B1664C">
            <w:pPr>
              <w:spacing w:line="280" w:lineRule="exact"/>
              <w:jc w:val="left"/>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备注：投标总报价低于最高限价总价，且单项投标报价低于单项最高限价。本项目中标后，采购人将按项目部与中标人分别签订</w:t>
            </w:r>
            <w:r>
              <w:rPr>
                <w:rFonts w:hint="eastAsia" w:ascii="宋体" w:hAnsi="宋体" w:cs="宋体"/>
                <w:b/>
                <w:bCs/>
                <w:color w:val="auto"/>
                <w:sz w:val="24"/>
                <w:szCs w:val="24"/>
                <w:highlight w:val="none"/>
                <w:lang w:val="en-US" w:eastAsia="zh-CN"/>
              </w:rPr>
              <w:t>1</w:t>
            </w:r>
            <w:r>
              <w:rPr>
                <w:rFonts w:hint="eastAsia" w:ascii="宋体" w:hAnsi="宋体" w:eastAsia="宋体" w:cs="宋体"/>
                <w:b/>
                <w:bCs/>
                <w:color w:val="auto"/>
                <w:sz w:val="24"/>
                <w:szCs w:val="24"/>
                <w:highlight w:val="none"/>
                <w:lang w:val="en-US" w:eastAsia="zh-CN"/>
              </w:rPr>
              <w:t>份合同，合同项目名称分别为：</w:t>
            </w:r>
            <w:r>
              <w:rPr>
                <w:rFonts w:hint="eastAsia" w:ascii="宋体" w:hAnsi="宋体" w:cs="宋体"/>
                <w:b/>
                <w:bCs/>
                <w:color w:val="auto"/>
                <w:kern w:val="0"/>
                <w:sz w:val="24"/>
                <w:highlight w:val="none"/>
                <w:lang w:val="en-US" w:eastAsia="zh-CN"/>
              </w:rPr>
              <w:t>（源昌国际城维序服务</w:t>
            </w:r>
            <w:r>
              <w:rPr>
                <w:rFonts w:hint="eastAsia" w:ascii="宋体" w:hAnsi="宋体" w:eastAsia="宋体" w:cs="宋体"/>
                <w:b/>
                <w:bCs/>
                <w:color w:val="auto"/>
                <w:sz w:val="24"/>
                <w:szCs w:val="24"/>
                <w:highlight w:val="none"/>
                <w:lang w:val="en-US" w:eastAsia="zh-CN"/>
              </w:rPr>
              <w:t>合同的金额为投标人对应项目部的投标报价。</w:t>
            </w:r>
          </w:p>
        </w:tc>
      </w:tr>
    </w:tbl>
    <w:p w14:paraId="74697846">
      <w:pPr>
        <w:spacing w:line="360" w:lineRule="auto"/>
        <w:jc w:val="right"/>
        <w:rPr>
          <w:rFonts w:hint="eastAsia" w:ascii="宋体" w:hAnsi="宋体" w:cs="宋体"/>
          <w:color w:val="auto"/>
          <w:sz w:val="24"/>
          <w:highlight w:val="none"/>
        </w:rPr>
      </w:pPr>
      <w:r>
        <w:rPr>
          <w:rFonts w:hint="eastAsia" w:ascii="宋体" w:hAnsi="宋体" w:cs="宋体"/>
          <w:color w:val="auto"/>
          <w:sz w:val="24"/>
          <w:highlight w:val="none"/>
          <w:rPrChange w:id="19" w:author="秦岳" w:date="2025-12-25T17:39:43Z">
            <w:rPr>
              <w:rFonts w:hint="eastAsia" w:ascii="宋体" w:hAnsi="宋体" w:cs="宋体"/>
              <w:color w:val="FF0000"/>
              <w:sz w:val="24"/>
              <w:highlight w:val="none"/>
            </w:rPr>
          </w:rPrChange>
        </w:rPr>
        <w:t>供应商（全称并加盖公章）：</w:t>
      </w:r>
    </w:p>
    <w:p w14:paraId="374FD210">
      <w:pPr>
        <w:spacing w:line="360" w:lineRule="auto"/>
        <w:jc w:val="right"/>
        <w:rPr>
          <w:rFonts w:ascii="宋体" w:hAnsi="宋体" w:cs="宋体"/>
          <w:color w:val="auto"/>
          <w:sz w:val="24"/>
          <w:highlight w:val="none"/>
        </w:rPr>
      </w:pPr>
      <w:r>
        <w:rPr>
          <w:rFonts w:hint="eastAsia" w:ascii="宋体" w:hAnsi="宋体" w:cs="宋体"/>
          <w:color w:val="auto"/>
          <w:sz w:val="24"/>
          <w:highlight w:val="none"/>
        </w:rPr>
        <w:t xml:space="preserve">供应商代表签字： </w:t>
      </w:r>
    </w:p>
    <w:p w14:paraId="40CC9591">
      <w:pPr>
        <w:spacing w:line="360" w:lineRule="auto"/>
        <w:jc w:val="right"/>
        <w:rPr>
          <w:rFonts w:ascii="宋体" w:hAnsi="宋体" w:cs="宋体"/>
          <w:color w:val="auto"/>
          <w:sz w:val="24"/>
          <w:highlight w:val="none"/>
        </w:rPr>
      </w:pPr>
      <w:r>
        <w:rPr>
          <w:rFonts w:hint="eastAsia" w:ascii="宋体" w:hAnsi="宋体" w:cs="宋体"/>
          <w:color w:val="auto"/>
          <w:sz w:val="24"/>
          <w:highlight w:val="none"/>
        </w:rPr>
        <w:t>日期：</w:t>
      </w:r>
    </w:p>
    <w:p w14:paraId="230AEA7D">
      <w:pPr>
        <w:spacing w:line="360" w:lineRule="auto"/>
        <w:jc w:val="right"/>
        <w:rPr>
          <w:rFonts w:ascii="宋体" w:hAnsi="宋体" w:cs="宋体"/>
          <w:color w:val="auto"/>
          <w:sz w:val="24"/>
          <w:highlight w:val="none"/>
        </w:rPr>
      </w:pPr>
    </w:p>
    <w:p w14:paraId="661E68D1">
      <w:pPr>
        <w:spacing w:line="440" w:lineRule="exact"/>
        <w:ind w:left="0"/>
        <w:rPr>
          <w:rFonts w:ascii="宋体" w:hAnsi="宋体" w:cs="宋体"/>
          <w:b/>
          <w:color w:val="auto"/>
          <w:sz w:val="36"/>
          <w:szCs w:val="36"/>
          <w:highlight w:val="none"/>
        </w:rPr>
      </w:pPr>
      <w:r>
        <w:rPr>
          <w:rFonts w:hint="eastAsia" w:ascii="宋体" w:hAnsi="宋体" w:cs="宋体"/>
          <w:color w:val="auto"/>
          <w:sz w:val="24"/>
          <w:highlight w:val="none"/>
        </w:rPr>
        <w:br w:type="page"/>
      </w:r>
      <w:bookmarkStart w:id="208" w:name="_Toc185762842"/>
      <w:r>
        <w:rPr>
          <w:rFonts w:hint="eastAsia" w:ascii="宋体" w:hAnsi="宋体" w:cs="宋体"/>
          <w:color w:val="auto"/>
          <w:sz w:val="24"/>
          <w:highlight w:val="none"/>
        </w:rPr>
        <w:t>附件</w:t>
      </w:r>
      <w:r>
        <w:rPr>
          <w:rFonts w:hint="eastAsia" w:ascii="宋体" w:hAnsi="宋体" w:cs="宋体"/>
          <w:color w:val="auto"/>
          <w:sz w:val="24"/>
          <w:highlight w:val="none"/>
          <w:lang w:val="en-US" w:eastAsia="zh-CN"/>
        </w:rPr>
        <w:t>3</w:t>
      </w:r>
      <w:r>
        <w:rPr>
          <w:rFonts w:hint="eastAsia" w:ascii="宋体" w:hAnsi="宋体" w:cs="宋体"/>
          <w:color w:val="auto"/>
          <w:sz w:val="24"/>
          <w:highlight w:val="none"/>
        </w:rPr>
        <w:t xml:space="preserve">             </w:t>
      </w:r>
      <w:r>
        <w:rPr>
          <w:rFonts w:hint="eastAsia" w:ascii="宋体" w:hAnsi="宋体" w:cs="宋体"/>
          <w:b/>
          <w:color w:val="auto"/>
          <w:sz w:val="36"/>
          <w:szCs w:val="36"/>
          <w:highlight w:val="none"/>
        </w:rPr>
        <w:t>“★”号条款逐条响应情况表</w:t>
      </w:r>
    </w:p>
    <w:p w14:paraId="6F1FE113">
      <w:pPr>
        <w:spacing w:line="440" w:lineRule="exact"/>
        <w:ind w:left="420"/>
        <w:rPr>
          <w:rFonts w:ascii="宋体" w:hAnsi="宋体" w:cs="宋体"/>
          <w:b/>
          <w:color w:val="auto"/>
          <w:sz w:val="36"/>
          <w:szCs w:val="36"/>
          <w:highlight w:val="none"/>
        </w:rPr>
      </w:pPr>
    </w:p>
    <w:p w14:paraId="3DC9A5B0">
      <w:pPr>
        <w:spacing w:line="360" w:lineRule="auto"/>
        <w:ind w:firstLine="480" w:firstLineChars="200"/>
        <w:rPr>
          <w:rFonts w:hint="eastAsia" w:ascii="宋体" w:hAnsi="宋体" w:eastAsia="宋体" w:cs="宋体"/>
          <w:color w:val="auto"/>
          <w:sz w:val="24"/>
          <w:highlight w:val="none"/>
          <w:lang w:eastAsia="zh-CN"/>
        </w:rPr>
      </w:pPr>
      <w:r>
        <w:rPr>
          <w:rFonts w:hint="eastAsia" w:ascii="宋体" w:hAnsi="宋体" w:cs="宋体"/>
          <w:color w:val="auto"/>
          <w:sz w:val="24"/>
          <w:highlight w:val="none"/>
        </w:rPr>
        <w:t>项目</w:t>
      </w:r>
      <w:r>
        <w:rPr>
          <w:rFonts w:hint="eastAsia" w:ascii="宋体" w:hAnsi="宋体" w:cs="宋体"/>
          <w:color w:val="auto"/>
          <w:sz w:val="24"/>
          <w:highlight w:val="none"/>
          <w:lang w:val="en-US" w:eastAsia="zh-CN"/>
        </w:rPr>
        <w:t>名称</w:t>
      </w:r>
      <w:r>
        <w:rPr>
          <w:rFonts w:hint="eastAsia" w:ascii="宋体" w:hAnsi="宋体" w:cs="宋体"/>
          <w:color w:val="auto"/>
          <w:sz w:val="24"/>
          <w:highlight w:val="none"/>
        </w:rPr>
        <w:t>∶</w:t>
      </w:r>
      <w:r>
        <w:rPr>
          <w:rFonts w:hint="eastAsia" w:ascii="宋体" w:hAnsi="宋体" w:cs="宋体"/>
          <w:color w:val="auto"/>
          <w:sz w:val="24"/>
          <w:highlight w:val="none"/>
          <w:lang w:eastAsia="zh-CN"/>
        </w:rPr>
        <w:t>源昌国际城维序服务</w:t>
      </w:r>
    </w:p>
    <w:tbl>
      <w:tblPr>
        <w:tblStyle w:val="42"/>
        <w:tblW w:w="837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8"/>
        <w:gridCol w:w="4818"/>
        <w:gridCol w:w="1617"/>
        <w:gridCol w:w="1200"/>
      </w:tblGrid>
      <w:tr w14:paraId="58019F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8" w:hRule="atLeast"/>
          <w:jc w:val="center"/>
        </w:trPr>
        <w:tc>
          <w:tcPr>
            <w:tcW w:w="738" w:type="dxa"/>
            <w:vAlign w:val="center"/>
          </w:tcPr>
          <w:p w14:paraId="09B049E4">
            <w:pPr>
              <w:spacing w:line="300" w:lineRule="exact"/>
              <w:jc w:val="center"/>
              <w:rPr>
                <w:rFonts w:ascii="宋体" w:hAnsi="宋体" w:cs="宋体"/>
                <w:color w:val="auto"/>
                <w:sz w:val="24"/>
                <w:highlight w:val="none"/>
              </w:rPr>
            </w:pPr>
            <w:r>
              <w:rPr>
                <w:rFonts w:hint="eastAsia" w:ascii="宋体" w:hAnsi="宋体" w:cs="宋体"/>
                <w:color w:val="auto"/>
                <w:sz w:val="24"/>
                <w:highlight w:val="none"/>
              </w:rPr>
              <w:t>序号</w:t>
            </w:r>
          </w:p>
        </w:tc>
        <w:tc>
          <w:tcPr>
            <w:tcW w:w="4818" w:type="dxa"/>
            <w:vAlign w:val="center"/>
          </w:tcPr>
          <w:p w14:paraId="0C1CACE5">
            <w:pPr>
              <w:spacing w:line="300" w:lineRule="exact"/>
              <w:jc w:val="center"/>
              <w:rPr>
                <w:rFonts w:ascii="宋体" w:hAnsi="宋体" w:cs="宋体"/>
                <w:color w:val="auto"/>
                <w:sz w:val="24"/>
                <w:highlight w:val="none"/>
              </w:rPr>
            </w:pPr>
            <w:r>
              <w:rPr>
                <w:rFonts w:hint="eastAsia" w:ascii="宋体" w:hAnsi="宋体" w:cs="宋体"/>
                <w:color w:val="auto"/>
                <w:sz w:val="24"/>
                <w:highlight w:val="none"/>
                <w:lang w:eastAsia="zh-CN"/>
              </w:rPr>
              <w:t>询价文件</w:t>
            </w:r>
            <w:r>
              <w:rPr>
                <w:rFonts w:hint="eastAsia" w:ascii="宋体" w:hAnsi="宋体" w:cs="宋体"/>
                <w:color w:val="auto"/>
                <w:sz w:val="24"/>
                <w:highlight w:val="none"/>
              </w:rPr>
              <w:t>中带“★”号的条款</w:t>
            </w:r>
          </w:p>
        </w:tc>
        <w:tc>
          <w:tcPr>
            <w:tcW w:w="1617" w:type="dxa"/>
            <w:vAlign w:val="center"/>
          </w:tcPr>
          <w:p w14:paraId="1D5521FD">
            <w:pPr>
              <w:spacing w:line="300" w:lineRule="exact"/>
              <w:jc w:val="center"/>
              <w:rPr>
                <w:rFonts w:ascii="宋体" w:hAnsi="宋体" w:cs="宋体"/>
                <w:color w:val="auto"/>
                <w:sz w:val="24"/>
                <w:highlight w:val="none"/>
              </w:rPr>
            </w:pPr>
            <w:r>
              <w:rPr>
                <w:rFonts w:hint="eastAsia" w:ascii="宋体" w:hAnsi="宋体" w:cs="宋体"/>
                <w:color w:val="auto"/>
                <w:sz w:val="24"/>
                <w:highlight w:val="none"/>
              </w:rPr>
              <w:t>响应内容</w:t>
            </w:r>
          </w:p>
        </w:tc>
        <w:tc>
          <w:tcPr>
            <w:tcW w:w="1200" w:type="dxa"/>
            <w:vAlign w:val="center"/>
          </w:tcPr>
          <w:p w14:paraId="2D6A5E39">
            <w:pPr>
              <w:spacing w:line="300" w:lineRule="exact"/>
              <w:jc w:val="center"/>
              <w:rPr>
                <w:rFonts w:ascii="宋体" w:hAnsi="宋体" w:cs="宋体"/>
                <w:color w:val="auto"/>
                <w:sz w:val="24"/>
                <w:highlight w:val="none"/>
              </w:rPr>
            </w:pPr>
            <w:r>
              <w:rPr>
                <w:rFonts w:hint="eastAsia" w:ascii="宋体" w:hAnsi="宋体" w:cs="宋体"/>
                <w:color w:val="auto"/>
                <w:sz w:val="24"/>
                <w:highlight w:val="none"/>
              </w:rPr>
              <w:t>响应情况</w:t>
            </w:r>
          </w:p>
        </w:tc>
      </w:tr>
      <w:tr w14:paraId="2772E7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jc w:val="center"/>
        </w:trPr>
        <w:tc>
          <w:tcPr>
            <w:tcW w:w="738" w:type="dxa"/>
            <w:vAlign w:val="center"/>
          </w:tcPr>
          <w:p w14:paraId="39D48E8A">
            <w:pPr>
              <w:spacing w:line="300" w:lineRule="exact"/>
              <w:jc w:val="center"/>
              <w:rPr>
                <w:rFonts w:ascii="宋体" w:hAnsi="宋体" w:cs="宋体"/>
                <w:color w:val="auto"/>
                <w:sz w:val="24"/>
                <w:highlight w:val="none"/>
              </w:rPr>
            </w:pPr>
            <w:r>
              <w:rPr>
                <w:rFonts w:hint="eastAsia" w:ascii="宋体" w:hAnsi="宋体" w:cs="宋体"/>
                <w:color w:val="auto"/>
                <w:sz w:val="24"/>
                <w:highlight w:val="none"/>
              </w:rPr>
              <w:t>1</w:t>
            </w:r>
          </w:p>
        </w:tc>
        <w:tc>
          <w:tcPr>
            <w:tcW w:w="4818" w:type="dxa"/>
            <w:vAlign w:val="center"/>
          </w:tcPr>
          <w:p w14:paraId="5B754473">
            <w:pPr>
              <w:pStyle w:val="93"/>
              <w:tabs>
                <w:tab w:val="left" w:pos="920"/>
              </w:tabs>
              <w:spacing w:after="160" w:line="397" w:lineRule="exact"/>
              <w:rPr>
                <w:rFonts w:hint="eastAsia" w:eastAsia="宋体"/>
                <w:bCs/>
                <w:color w:val="auto"/>
                <w:kern w:val="0"/>
                <w:sz w:val="24"/>
                <w:highlight w:val="none"/>
                <w:lang w:val="en-US" w:eastAsia="zh-CN"/>
              </w:rPr>
            </w:pPr>
            <w:r>
              <w:rPr>
                <w:rFonts w:hint="eastAsia" w:ascii="宋体" w:hAnsi="宋体" w:cs="宋体"/>
                <w:color w:val="auto"/>
                <w:sz w:val="24"/>
                <w:szCs w:val="24"/>
                <w:highlight w:val="none"/>
              </w:rPr>
              <w:t>本采购项目的采购预算为人民币</w:t>
            </w:r>
            <w:r>
              <w:rPr>
                <w:rFonts w:hint="eastAsia" w:ascii="宋体" w:hAnsi="宋体" w:cs="宋体"/>
                <w:color w:val="auto"/>
                <w:sz w:val="24"/>
                <w:szCs w:val="24"/>
                <w:highlight w:val="none"/>
                <w:lang w:val="en-US" w:eastAsia="zh-CN"/>
              </w:rPr>
              <w:t>玖拾玖万捌仟肆佰</w:t>
            </w:r>
            <w:r>
              <w:rPr>
                <w:rFonts w:hint="eastAsia" w:ascii="宋体" w:hAnsi="宋体" w:cs="宋体"/>
                <w:color w:val="auto"/>
                <w:sz w:val="24"/>
                <w:szCs w:val="24"/>
                <w:highlight w:val="none"/>
                <w:lang w:eastAsia="zh-CN"/>
              </w:rPr>
              <w:t>元整</w:t>
            </w:r>
            <w:r>
              <w:rPr>
                <w:rFonts w:hint="eastAsia" w:ascii="宋体" w:hAnsi="宋体" w:cs="宋体"/>
                <w:color w:val="auto"/>
                <w:sz w:val="24"/>
                <w:szCs w:val="24"/>
                <w:highlight w:val="none"/>
              </w:rPr>
              <w:t>（￥</w:t>
            </w:r>
            <w:r>
              <w:rPr>
                <w:rFonts w:hint="eastAsia" w:ascii="宋体" w:hAnsi="宋体" w:cs="宋体"/>
                <w:color w:val="auto"/>
                <w:sz w:val="24"/>
                <w:szCs w:val="24"/>
                <w:highlight w:val="none"/>
                <w:lang w:val="en-US" w:eastAsia="zh-CN"/>
              </w:rPr>
              <w:t>998400</w:t>
            </w:r>
            <w:r>
              <w:rPr>
                <w:rFonts w:hint="eastAsia" w:ascii="宋体" w:hAnsi="宋体" w:cs="宋体"/>
                <w:color w:val="auto"/>
                <w:sz w:val="24"/>
                <w:szCs w:val="24"/>
                <w:highlight w:val="none"/>
              </w:rPr>
              <w:t>），采购预算为总报价的最高限价。</w:t>
            </w:r>
            <w:r>
              <w:rPr>
                <w:rFonts w:hint="eastAsia" w:ascii="宋体" w:hAnsi="宋体" w:cs="宋体"/>
                <w:color w:val="auto"/>
                <w:sz w:val="24"/>
                <w:szCs w:val="24"/>
                <w:highlight w:val="none"/>
                <w:lang w:val="en-US" w:eastAsia="zh-CN"/>
              </w:rPr>
              <w:t>其中源昌国际城项目</w:t>
            </w:r>
            <w:r>
              <w:rPr>
                <w:rFonts w:hint="eastAsia" w:cs="宋体"/>
                <w:color w:val="auto"/>
                <w:sz w:val="24"/>
                <w:szCs w:val="24"/>
                <w:highlight w:val="none"/>
                <w:lang w:val="en-US" w:eastAsia="zh-CN"/>
              </w:rPr>
              <w:t>维序服务费普通岗11700元/月/个（含税），消控岗13000元/月/个（含税），月服务费合计83200元（含税），年服务费合计998400元（含税），最高限价</w:t>
            </w:r>
            <w:r>
              <w:rPr>
                <w:rFonts w:hint="eastAsia" w:ascii="宋体" w:hAnsi="宋体" w:cs="宋体"/>
                <w:color w:val="auto"/>
                <w:sz w:val="24"/>
                <w:szCs w:val="24"/>
                <w:highlight w:val="none"/>
                <w:lang w:val="en-US" w:eastAsia="zh-CN"/>
              </w:rPr>
              <w:t>998400元</w:t>
            </w:r>
            <w:r>
              <w:rPr>
                <w:rFonts w:hint="eastAsia" w:ascii="宋体" w:hAnsi="宋体" w:cs="宋体"/>
                <w:color w:val="auto"/>
                <w:kern w:val="0"/>
                <w:sz w:val="24"/>
                <w:highlight w:val="none"/>
                <w:lang w:val="en-US" w:eastAsia="zh-CN"/>
              </w:rPr>
              <w:t>。</w:t>
            </w:r>
          </w:p>
        </w:tc>
        <w:tc>
          <w:tcPr>
            <w:tcW w:w="1617" w:type="dxa"/>
            <w:vAlign w:val="center"/>
          </w:tcPr>
          <w:p w14:paraId="47166742">
            <w:pPr>
              <w:spacing w:line="300" w:lineRule="exact"/>
              <w:rPr>
                <w:rFonts w:hint="default" w:ascii="宋体" w:hAnsi="宋体" w:eastAsia="宋体" w:cs="宋体"/>
                <w:color w:val="auto"/>
                <w:sz w:val="24"/>
                <w:highlight w:val="none"/>
                <w:lang w:val="en-US" w:eastAsia="zh-CN"/>
              </w:rPr>
            </w:pPr>
            <w:r>
              <w:rPr>
                <w:rFonts w:hint="eastAsia" w:ascii="宋体" w:hAnsi="宋体" w:cs="宋体"/>
                <w:color w:val="auto"/>
                <w:sz w:val="24"/>
                <w:highlight w:val="none"/>
                <w:lang w:val="en-US" w:eastAsia="zh-CN"/>
              </w:rPr>
              <w:t>投标总报价低于最高限价总价，且单项投标报价低于单项最高限价</w:t>
            </w:r>
          </w:p>
        </w:tc>
        <w:tc>
          <w:tcPr>
            <w:tcW w:w="1200" w:type="dxa"/>
            <w:vAlign w:val="center"/>
          </w:tcPr>
          <w:p w14:paraId="2D16FF97">
            <w:pPr>
              <w:spacing w:line="300" w:lineRule="exact"/>
              <w:rPr>
                <w:rFonts w:hint="default" w:ascii="宋体" w:hAnsi="宋体" w:eastAsia="宋体" w:cs="宋体"/>
                <w:color w:val="auto"/>
                <w:sz w:val="24"/>
                <w:highlight w:val="none"/>
                <w:lang w:val="en-US" w:eastAsia="zh-CN"/>
              </w:rPr>
            </w:pPr>
            <w:r>
              <w:rPr>
                <w:rFonts w:hint="eastAsia" w:ascii="宋体" w:hAnsi="宋体" w:cs="宋体"/>
                <w:color w:val="auto"/>
                <w:sz w:val="24"/>
                <w:highlight w:val="none"/>
                <w:lang w:val="en-US" w:eastAsia="zh-CN"/>
              </w:rPr>
              <w:t>完全响应</w:t>
            </w:r>
          </w:p>
        </w:tc>
      </w:tr>
      <w:tr w14:paraId="41D1F6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jc w:val="center"/>
        </w:trPr>
        <w:tc>
          <w:tcPr>
            <w:tcW w:w="738" w:type="dxa"/>
            <w:vAlign w:val="center"/>
          </w:tcPr>
          <w:p w14:paraId="6A2B2B5C">
            <w:pPr>
              <w:spacing w:line="300" w:lineRule="exact"/>
              <w:jc w:val="center"/>
              <w:rPr>
                <w:rFonts w:ascii="宋体" w:hAnsi="宋体" w:cs="宋体"/>
                <w:color w:val="auto"/>
                <w:sz w:val="24"/>
                <w:highlight w:val="none"/>
              </w:rPr>
            </w:pPr>
            <w:r>
              <w:rPr>
                <w:rFonts w:hint="eastAsia" w:ascii="宋体" w:hAnsi="宋体" w:cs="宋体"/>
                <w:color w:val="auto"/>
                <w:sz w:val="24"/>
                <w:highlight w:val="none"/>
              </w:rPr>
              <w:t>2</w:t>
            </w:r>
          </w:p>
        </w:tc>
        <w:tc>
          <w:tcPr>
            <w:tcW w:w="4818" w:type="dxa"/>
            <w:vAlign w:val="center"/>
          </w:tcPr>
          <w:p w14:paraId="745F4F69">
            <w:pPr>
              <w:pStyle w:val="93"/>
              <w:tabs>
                <w:tab w:val="left" w:pos="920"/>
              </w:tabs>
              <w:spacing w:after="160" w:line="397" w:lineRule="exact"/>
              <w:rPr>
                <w:bCs/>
                <w:color w:val="auto"/>
                <w:kern w:val="0"/>
                <w:sz w:val="24"/>
                <w:highlight w:val="none"/>
              </w:rPr>
            </w:pPr>
          </w:p>
        </w:tc>
        <w:tc>
          <w:tcPr>
            <w:tcW w:w="1617" w:type="dxa"/>
            <w:vAlign w:val="center"/>
          </w:tcPr>
          <w:p w14:paraId="2CE593DB">
            <w:pPr>
              <w:spacing w:line="300" w:lineRule="exact"/>
              <w:rPr>
                <w:rFonts w:ascii="宋体" w:hAnsi="宋体" w:cs="宋体"/>
                <w:color w:val="auto"/>
                <w:sz w:val="24"/>
                <w:highlight w:val="none"/>
              </w:rPr>
            </w:pPr>
          </w:p>
        </w:tc>
        <w:tc>
          <w:tcPr>
            <w:tcW w:w="1200" w:type="dxa"/>
            <w:vAlign w:val="center"/>
          </w:tcPr>
          <w:p w14:paraId="5147A5DD">
            <w:pPr>
              <w:spacing w:line="300" w:lineRule="exact"/>
              <w:rPr>
                <w:rFonts w:hint="default" w:ascii="宋体" w:hAnsi="宋体" w:eastAsia="宋体" w:cs="宋体"/>
                <w:color w:val="auto"/>
                <w:sz w:val="24"/>
                <w:highlight w:val="none"/>
                <w:lang w:val="en-US" w:eastAsia="zh-CN"/>
              </w:rPr>
            </w:pPr>
          </w:p>
        </w:tc>
      </w:tr>
      <w:tr w14:paraId="4868EB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jc w:val="center"/>
        </w:trPr>
        <w:tc>
          <w:tcPr>
            <w:tcW w:w="738" w:type="dxa"/>
            <w:vAlign w:val="center"/>
          </w:tcPr>
          <w:p w14:paraId="30F95812">
            <w:pPr>
              <w:spacing w:line="300" w:lineRule="exact"/>
              <w:jc w:val="center"/>
              <w:rPr>
                <w:rFonts w:ascii="宋体" w:hAnsi="宋体" w:cs="宋体"/>
                <w:color w:val="auto"/>
                <w:sz w:val="24"/>
                <w:highlight w:val="none"/>
              </w:rPr>
            </w:pPr>
            <w:r>
              <w:rPr>
                <w:rFonts w:hint="eastAsia" w:ascii="宋体" w:hAnsi="宋体" w:cs="宋体"/>
                <w:color w:val="auto"/>
                <w:sz w:val="24"/>
                <w:highlight w:val="none"/>
              </w:rPr>
              <w:t>3</w:t>
            </w:r>
          </w:p>
        </w:tc>
        <w:tc>
          <w:tcPr>
            <w:tcW w:w="4818" w:type="dxa"/>
            <w:vAlign w:val="center"/>
          </w:tcPr>
          <w:p w14:paraId="56BE85BE">
            <w:pPr>
              <w:pStyle w:val="93"/>
              <w:tabs>
                <w:tab w:val="left" w:pos="920"/>
              </w:tabs>
              <w:spacing w:after="160" w:line="397" w:lineRule="exact"/>
              <w:rPr>
                <w:b/>
                <w:bCs/>
                <w:color w:val="auto"/>
                <w:szCs w:val="21"/>
                <w:highlight w:val="none"/>
                <w:lang w:val="en-US" w:eastAsia="zh-CN" w:bidi="ar-SA"/>
              </w:rPr>
            </w:pPr>
          </w:p>
        </w:tc>
        <w:tc>
          <w:tcPr>
            <w:tcW w:w="1617" w:type="dxa"/>
            <w:vAlign w:val="center"/>
          </w:tcPr>
          <w:p w14:paraId="529B3EEB">
            <w:pPr>
              <w:spacing w:line="300" w:lineRule="exact"/>
              <w:rPr>
                <w:rFonts w:ascii="宋体" w:hAnsi="宋体" w:cs="宋体"/>
                <w:color w:val="auto"/>
                <w:sz w:val="24"/>
                <w:highlight w:val="none"/>
              </w:rPr>
            </w:pPr>
          </w:p>
        </w:tc>
        <w:tc>
          <w:tcPr>
            <w:tcW w:w="1200" w:type="dxa"/>
            <w:vAlign w:val="center"/>
          </w:tcPr>
          <w:p w14:paraId="0693BBD9">
            <w:pPr>
              <w:spacing w:line="300" w:lineRule="exact"/>
              <w:rPr>
                <w:rFonts w:ascii="宋体" w:hAnsi="宋体" w:cs="宋体"/>
                <w:color w:val="auto"/>
                <w:sz w:val="24"/>
                <w:highlight w:val="none"/>
              </w:rPr>
            </w:pPr>
          </w:p>
        </w:tc>
      </w:tr>
      <w:tr w14:paraId="5FB076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3" w:hRule="atLeast"/>
          <w:jc w:val="center"/>
        </w:trPr>
        <w:tc>
          <w:tcPr>
            <w:tcW w:w="738" w:type="dxa"/>
            <w:vAlign w:val="center"/>
          </w:tcPr>
          <w:p w14:paraId="0A9D1465">
            <w:pPr>
              <w:spacing w:line="300" w:lineRule="exact"/>
              <w:jc w:val="center"/>
              <w:rPr>
                <w:rFonts w:ascii="宋体" w:hAnsi="宋体" w:cs="宋体"/>
                <w:color w:val="auto"/>
                <w:sz w:val="24"/>
                <w:highlight w:val="none"/>
              </w:rPr>
            </w:pPr>
            <w:r>
              <w:rPr>
                <w:rFonts w:hint="eastAsia" w:ascii="宋体" w:hAnsi="宋体" w:cs="宋体"/>
                <w:color w:val="auto"/>
                <w:sz w:val="24"/>
                <w:highlight w:val="none"/>
              </w:rPr>
              <w:t>4</w:t>
            </w:r>
          </w:p>
        </w:tc>
        <w:tc>
          <w:tcPr>
            <w:tcW w:w="4818" w:type="dxa"/>
            <w:vAlign w:val="center"/>
          </w:tcPr>
          <w:p w14:paraId="3217426A">
            <w:pPr>
              <w:pStyle w:val="93"/>
              <w:tabs>
                <w:tab w:val="left" w:pos="920"/>
              </w:tabs>
              <w:spacing w:after="160" w:line="397" w:lineRule="exact"/>
              <w:rPr>
                <w:b/>
                <w:bCs/>
                <w:color w:val="auto"/>
                <w:szCs w:val="21"/>
                <w:highlight w:val="none"/>
                <w:lang w:val="en-US" w:eastAsia="zh-CN" w:bidi="ar-SA"/>
              </w:rPr>
            </w:pPr>
          </w:p>
        </w:tc>
        <w:tc>
          <w:tcPr>
            <w:tcW w:w="1617" w:type="dxa"/>
            <w:vAlign w:val="center"/>
          </w:tcPr>
          <w:p w14:paraId="6EDEAE4A">
            <w:pPr>
              <w:spacing w:line="300" w:lineRule="exact"/>
              <w:rPr>
                <w:rFonts w:ascii="宋体" w:hAnsi="宋体" w:cs="宋体"/>
                <w:color w:val="auto"/>
                <w:sz w:val="24"/>
                <w:highlight w:val="none"/>
              </w:rPr>
            </w:pPr>
          </w:p>
        </w:tc>
        <w:tc>
          <w:tcPr>
            <w:tcW w:w="1200" w:type="dxa"/>
            <w:vAlign w:val="center"/>
          </w:tcPr>
          <w:p w14:paraId="29218B15">
            <w:pPr>
              <w:spacing w:line="300" w:lineRule="exact"/>
              <w:rPr>
                <w:rFonts w:ascii="宋体" w:hAnsi="宋体" w:cs="宋体"/>
                <w:color w:val="auto"/>
                <w:sz w:val="24"/>
                <w:highlight w:val="none"/>
              </w:rPr>
            </w:pPr>
          </w:p>
        </w:tc>
      </w:tr>
    </w:tbl>
    <w:p w14:paraId="47582DB8">
      <w:pPr>
        <w:spacing w:line="380" w:lineRule="exact"/>
        <w:ind w:firstLine="422" w:firstLineChars="200"/>
        <w:jc w:val="left"/>
        <w:rPr>
          <w:rFonts w:ascii="宋体" w:hAnsi="宋体" w:cs="宋体"/>
          <w:b/>
          <w:color w:val="auto"/>
          <w:szCs w:val="21"/>
          <w:highlight w:val="none"/>
        </w:rPr>
      </w:pPr>
      <w:r>
        <w:rPr>
          <w:rFonts w:hint="eastAsia" w:ascii="宋体" w:hAnsi="宋体" w:cs="宋体"/>
          <w:b/>
          <w:color w:val="auto"/>
          <w:szCs w:val="21"/>
          <w:highlight w:val="none"/>
        </w:rPr>
        <w:t>以上★号条款为</w:t>
      </w:r>
      <w:r>
        <w:rPr>
          <w:rFonts w:hint="eastAsia" w:ascii="宋体" w:hAnsi="宋体" w:cs="宋体"/>
          <w:b/>
          <w:color w:val="auto"/>
          <w:szCs w:val="21"/>
          <w:highlight w:val="none"/>
          <w:lang w:eastAsia="zh-CN"/>
        </w:rPr>
        <w:t>询价文件</w:t>
      </w:r>
      <w:r>
        <w:rPr>
          <w:rFonts w:hint="eastAsia" w:ascii="宋体" w:hAnsi="宋体" w:cs="宋体"/>
          <w:b/>
          <w:color w:val="auto"/>
          <w:szCs w:val="21"/>
          <w:highlight w:val="none"/>
        </w:rPr>
        <w:t>中的所有★号条款</w:t>
      </w:r>
    </w:p>
    <w:p w14:paraId="42B6C84B">
      <w:pPr>
        <w:spacing w:line="360" w:lineRule="auto"/>
        <w:ind w:firstLine="4200" w:firstLineChars="1750"/>
        <w:rPr>
          <w:rFonts w:ascii="宋体" w:hAnsi="宋体" w:cs="宋体"/>
          <w:color w:val="auto"/>
          <w:sz w:val="24"/>
          <w:highlight w:val="none"/>
        </w:rPr>
      </w:pPr>
    </w:p>
    <w:p w14:paraId="4339FF86">
      <w:pPr>
        <w:spacing w:line="360" w:lineRule="auto"/>
        <w:jc w:val="right"/>
        <w:rPr>
          <w:rFonts w:ascii="宋体" w:hAnsi="宋体" w:cs="宋体"/>
          <w:color w:val="auto"/>
          <w:sz w:val="24"/>
          <w:highlight w:val="none"/>
        </w:rPr>
      </w:pPr>
      <w:r>
        <w:rPr>
          <w:rFonts w:hint="eastAsia" w:ascii="宋体" w:hAnsi="宋体" w:cs="宋体"/>
          <w:color w:val="auto"/>
          <w:sz w:val="24"/>
          <w:highlight w:val="none"/>
        </w:rPr>
        <w:t>供应商（全称并加盖公章）：</w:t>
      </w:r>
    </w:p>
    <w:p w14:paraId="5958A445">
      <w:pPr>
        <w:spacing w:line="360" w:lineRule="auto"/>
        <w:jc w:val="right"/>
        <w:rPr>
          <w:rFonts w:ascii="宋体" w:hAnsi="宋体" w:cs="宋体"/>
          <w:color w:val="auto"/>
          <w:sz w:val="24"/>
          <w:highlight w:val="none"/>
        </w:rPr>
      </w:pPr>
      <w:r>
        <w:rPr>
          <w:rFonts w:hint="eastAsia" w:ascii="宋体" w:hAnsi="宋体" w:cs="宋体"/>
          <w:color w:val="auto"/>
          <w:sz w:val="24"/>
          <w:highlight w:val="none"/>
        </w:rPr>
        <w:t>供应商代表签字：</w:t>
      </w:r>
    </w:p>
    <w:p w14:paraId="13CB8FF5">
      <w:pPr>
        <w:spacing w:line="360" w:lineRule="auto"/>
        <w:ind w:firstLine="7680" w:firstLineChars="3200"/>
        <w:rPr>
          <w:rFonts w:ascii="宋体" w:hAnsi="宋体" w:cs="宋体"/>
          <w:b/>
          <w:color w:val="auto"/>
          <w:sz w:val="36"/>
          <w:szCs w:val="36"/>
          <w:highlight w:val="none"/>
        </w:rPr>
      </w:pPr>
      <w:r>
        <w:rPr>
          <w:rFonts w:hint="eastAsia" w:ascii="宋体" w:hAnsi="宋体" w:cs="宋体"/>
          <w:color w:val="auto"/>
          <w:sz w:val="24"/>
          <w:highlight w:val="none"/>
        </w:rPr>
        <w:t xml:space="preserve"> 日      期：</w:t>
      </w:r>
    </w:p>
    <w:bookmarkEnd w:id="208"/>
    <w:p w14:paraId="2040AAD9">
      <w:pPr>
        <w:spacing w:line="360" w:lineRule="auto"/>
        <w:jc w:val="left"/>
        <w:rPr>
          <w:rFonts w:ascii="宋体" w:hAnsi="宋体" w:cs="宋体"/>
          <w:color w:val="auto"/>
          <w:sz w:val="36"/>
          <w:highlight w:val="none"/>
        </w:rPr>
      </w:pPr>
      <w:r>
        <w:rPr>
          <w:rFonts w:hint="eastAsia" w:ascii="宋体" w:hAnsi="宋体" w:cs="宋体"/>
          <w:color w:val="auto"/>
          <w:highlight w:val="none"/>
        </w:rPr>
        <w:br w:type="page"/>
      </w:r>
      <w:r>
        <w:rPr>
          <w:rFonts w:hint="eastAsia" w:ascii="宋体" w:hAnsi="宋体" w:cs="宋体"/>
          <w:color w:val="auto"/>
          <w:sz w:val="24"/>
          <w:highlight w:val="none"/>
        </w:rPr>
        <w:t>附件</w:t>
      </w:r>
      <w:r>
        <w:rPr>
          <w:rFonts w:hint="eastAsia" w:ascii="宋体" w:hAnsi="宋体" w:cs="宋体"/>
          <w:color w:val="auto"/>
          <w:sz w:val="24"/>
          <w:highlight w:val="none"/>
          <w:lang w:val="en-US" w:eastAsia="zh-CN"/>
        </w:rPr>
        <w:t>4</w:t>
      </w:r>
      <w:r>
        <w:rPr>
          <w:rFonts w:hint="eastAsia" w:ascii="宋体" w:hAnsi="宋体" w:cs="宋体"/>
          <w:color w:val="auto"/>
          <w:sz w:val="24"/>
          <w:highlight w:val="none"/>
        </w:rPr>
        <w:t xml:space="preserve">                 </w:t>
      </w:r>
      <w:r>
        <w:rPr>
          <w:rFonts w:hint="eastAsia" w:ascii="宋体" w:hAnsi="宋体" w:cs="宋体"/>
          <w:b/>
          <w:color w:val="auto"/>
          <w:sz w:val="36"/>
          <w:highlight w:val="none"/>
        </w:rPr>
        <w:t>供应商的资格证明文件</w:t>
      </w:r>
    </w:p>
    <w:p w14:paraId="5BC60E7F">
      <w:pPr>
        <w:spacing w:line="0" w:lineRule="atLeast"/>
        <w:rPr>
          <w:rFonts w:ascii="宋体" w:hAnsi="宋体" w:cs="宋体"/>
          <w:color w:val="auto"/>
          <w:highlight w:val="none"/>
        </w:rPr>
      </w:pPr>
    </w:p>
    <w:p w14:paraId="0F7F6EDA">
      <w:pPr>
        <w:spacing w:line="0" w:lineRule="atLeast"/>
        <w:rPr>
          <w:rFonts w:ascii="宋体" w:hAnsi="宋体" w:cs="宋体"/>
          <w:color w:val="auto"/>
          <w:highlight w:val="none"/>
        </w:rPr>
      </w:pPr>
    </w:p>
    <w:p w14:paraId="684F2751">
      <w:pPr>
        <w:spacing w:line="460" w:lineRule="exact"/>
        <w:rPr>
          <w:rFonts w:ascii="宋体" w:hAnsi="宋体" w:cs="宋体"/>
          <w:b/>
          <w:color w:val="auto"/>
          <w:sz w:val="32"/>
          <w:highlight w:val="none"/>
        </w:rPr>
      </w:pPr>
      <w:r>
        <w:rPr>
          <w:rFonts w:hint="eastAsia" w:ascii="宋体" w:hAnsi="宋体" w:cs="宋体"/>
          <w:color w:val="auto"/>
          <w:sz w:val="24"/>
          <w:highlight w:val="none"/>
        </w:rPr>
        <w:t>附件</w:t>
      </w:r>
      <w:r>
        <w:rPr>
          <w:rFonts w:hint="eastAsia" w:ascii="宋体" w:hAnsi="宋体" w:cs="宋体"/>
          <w:color w:val="auto"/>
          <w:sz w:val="24"/>
          <w:highlight w:val="none"/>
          <w:lang w:val="en-US" w:eastAsia="zh-CN"/>
        </w:rPr>
        <w:t>4</w:t>
      </w:r>
      <w:r>
        <w:rPr>
          <w:rFonts w:hint="eastAsia" w:ascii="宋体" w:hAnsi="宋体" w:cs="宋体"/>
          <w:color w:val="auto"/>
          <w:sz w:val="24"/>
          <w:highlight w:val="none"/>
        </w:rPr>
        <w:t xml:space="preserve">-1                   </w:t>
      </w:r>
      <w:r>
        <w:rPr>
          <w:rFonts w:hint="eastAsia" w:ascii="宋体" w:hAnsi="宋体" w:cs="宋体"/>
          <w:b/>
          <w:color w:val="auto"/>
          <w:sz w:val="32"/>
          <w:highlight w:val="none"/>
        </w:rPr>
        <w:t>参加询价的声明函</w:t>
      </w:r>
    </w:p>
    <w:p w14:paraId="0D1F767E">
      <w:pPr>
        <w:rPr>
          <w:rFonts w:ascii="宋体" w:hAnsi="宋体" w:cs="宋体"/>
          <w:b/>
          <w:color w:val="auto"/>
          <w:sz w:val="36"/>
          <w:szCs w:val="36"/>
          <w:highlight w:val="none"/>
        </w:rPr>
      </w:pPr>
    </w:p>
    <w:p w14:paraId="5980AB32">
      <w:pPr>
        <w:spacing w:line="460" w:lineRule="exact"/>
        <w:rPr>
          <w:rFonts w:ascii="宋体" w:hAnsi="宋体" w:cs="宋体"/>
          <w:color w:val="auto"/>
          <w:sz w:val="24"/>
          <w:highlight w:val="none"/>
        </w:rPr>
      </w:pPr>
    </w:p>
    <w:p w14:paraId="4703DFC8">
      <w:pPr>
        <w:spacing w:afterLines="80" w:line="560" w:lineRule="exact"/>
        <w:rPr>
          <w:rFonts w:ascii="宋体" w:hAnsi="宋体" w:cs="宋体"/>
          <w:color w:val="auto"/>
          <w:sz w:val="24"/>
          <w:highlight w:val="none"/>
        </w:rPr>
      </w:pPr>
      <w:r>
        <w:rPr>
          <w:rFonts w:hint="eastAsia" w:ascii="宋体" w:hAnsi="宋体" w:cs="宋体"/>
          <w:color w:val="auto"/>
          <w:sz w:val="24"/>
          <w:highlight w:val="none"/>
        </w:rPr>
        <w:t>致：厦门湖里国投物业服务有限公司</w:t>
      </w:r>
    </w:p>
    <w:p w14:paraId="16401713">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关于贵方询价邀请，本签字人愿意参加询价，提供</w:t>
      </w:r>
      <w:r>
        <w:rPr>
          <w:rFonts w:hint="eastAsia" w:ascii="宋体" w:hAnsi="宋体" w:cs="宋体"/>
          <w:color w:val="auto"/>
          <w:sz w:val="24"/>
          <w:highlight w:val="none"/>
          <w:lang w:eastAsia="zh-CN"/>
        </w:rPr>
        <w:t>询价文件</w:t>
      </w:r>
      <w:r>
        <w:rPr>
          <w:rFonts w:hint="eastAsia" w:ascii="宋体" w:hAnsi="宋体" w:cs="宋体"/>
          <w:color w:val="auto"/>
          <w:sz w:val="24"/>
          <w:highlight w:val="none"/>
        </w:rPr>
        <w:t>中规定的</w:t>
      </w:r>
      <w:r>
        <w:rPr>
          <w:rFonts w:hint="eastAsia" w:ascii="宋体" w:hAnsi="宋体" w:cs="宋体"/>
          <w:color w:val="auto"/>
          <w:sz w:val="24"/>
          <w:highlight w:val="none"/>
          <w:u w:val="single"/>
          <w:lang w:eastAsia="zh-CN"/>
        </w:rPr>
        <w:t>源昌国际城维序服务</w:t>
      </w:r>
      <w:r>
        <w:rPr>
          <w:rFonts w:hint="eastAsia" w:ascii="宋体" w:hAnsi="宋体" w:cs="宋体"/>
          <w:color w:val="auto"/>
          <w:sz w:val="24"/>
          <w:highlight w:val="none"/>
        </w:rPr>
        <w:t>（服务名称），并证明提交的下列文件和说明是准确的和真实的。</w:t>
      </w:r>
    </w:p>
    <w:p w14:paraId="50DE7449">
      <w:pPr>
        <w:spacing w:line="360" w:lineRule="auto"/>
        <w:ind w:firstLine="480" w:firstLineChars="200"/>
        <w:rPr>
          <w:rFonts w:ascii="宋体" w:hAnsi="宋体" w:cs="宋体"/>
          <w:color w:val="auto"/>
          <w:sz w:val="24"/>
          <w:highlight w:val="none"/>
        </w:rPr>
      </w:pPr>
    </w:p>
    <w:p w14:paraId="515F010F">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1．本签字人确认资格文件中的说明以及响应文件中所有提交的文件和材料是真实的、准确的。</w:t>
      </w:r>
    </w:p>
    <w:p w14:paraId="4F0E6020">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2．我方的资格声明正本一份，副本二份，随响应文件一同递交。</w:t>
      </w:r>
    </w:p>
    <w:p w14:paraId="06839DD4">
      <w:pPr>
        <w:spacing w:line="440" w:lineRule="exact"/>
        <w:jc w:val="left"/>
        <w:rPr>
          <w:rFonts w:ascii="宋体" w:hAnsi="宋体" w:cs="宋体"/>
          <w:color w:val="auto"/>
          <w:sz w:val="24"/>
          <w:highlight w:val="none"/>
        </w:rPr>
      </w:pPr>
    </w:p>
    <w:p w14:paraId="2CBBFB47">
      <w:pPr>
        <w:spacing w:line="440" w:lineRule="exact"/>
        <w:jc w:val="left"/>
        <w:rPr>
          <w:rFonts w:ascii="宋体" w:hAnsi="宋体" w:cs="宋体"/>
          <w:color w:val="auto"/>
          <w:sz w:val="24"/>
          <w:highlight w:val="none"/>
        </w:rPr>
      </w:pPr>
    </w:p>
    <w:p w14:paraId="539FF76D">
      <w:pPr>
        <w:spacing w:line="440" w:lineRule="exact"/>
        <w:rPr>
          <w:rFonts w:ascii="宋体" w:hAnsi="宋体" w:cs="宋体"/>
          <w:color w:val="auto"/>
          <w:sz w:val="24"/>
          <w:highlight w:val="none"/>
          <w:u w:val="single"/>
        </w:rPr>
      </w:pPr>
      <w:r>
        <w:rPr>
          <w:rFonts w:hint="eastAsia" w:ascii="宋体" w:hAnsi="宋体" w:cs="宋体"/>
          <w:color w:val="auto"/>
          <w:sz w:val="24"/>
          <w:highlight w:val="none"/>
        </w:rPr>
        <w:t>供应商代表：</w:t>
      </w:r>
      <w:r>
        <w:rPr>
          <w:rFonts w:hint="eastAsia" w:ascii="宋体" w:hAnsi="宋体" w:cs="宋体"/>
          <w:color w:val="auto"/>
          <w:sz w:val="24"/>
          <w:highlight w:val="none"/>
          <w:u w:val="single"/>
        </w:rPr>
        <w:t xml:space="preserve"> （签字）</w:t>
      </w:r>
    </w:p>
    <w:p w14:paraId="4E34F9D3">
      <w:pPr>
        <w:spacing w:line="440" w:lineRule="exact"/>
        <w:rPr>
          <w:rFonts w:ascii="宋体" w:hAnsi="宋体" w:cs="宋体"/>
          <w:color w:val="auto"/>
          <w:sz w:val="24"/>
          <w:highlight w:val="none"/>
          <w:u w:val="single"/>
        </w:rPr>
      </w:pPr>
      <w:r>
        <w:rPr>
          <w:rFonts w:hint="eastAsia" w:ascii="宋体" w:hAnsi="宋体" w:cs="宋体"/>
          <w:color w:val="auto"/>
          <w:sz w:val="24"/>
          <w:highlight w:val="none"/>
        </w:rPr>
        <w:t>供应商名称：</w:t>
      </w:r>
      <w:r>
        <w:rPr>
          <w:rFonts w:hint="eastAsia" w:ascii="宋体" w:hAnsi="宋体" w:cs="宋体"/>
          <w:color w:val="auto"/>
          <w:sz w:val="24"/>
          <w:highlight w:val="none"/>
          <w:u w:val="single"/>
        </w:rPr>
        <w:t xml:space="preserve">         （全称并加盖公章）              .</w:t>
      </w:r>
    </w:p>
    <w:p w14:paraId="0E740094">
      <w:pPr>
        <w:spacing w:line="360" w:lineRule="auto"/>
        <w:rPr>
          <w:rFonts w:ascii="宋体" w:hAnsi="宋体" w:cs="宋体"/>
          <w:color w:val="auto"/>
          <w:sz w:val="24"/>
          <w:highlight w:val="none"/>
        </w:rPr>
      </w:pPr>
      <w:r>
        <w:rPr>
          <w:rFonts w:hint="eastAsia" w:ascii="宋体" w:hAnsi="宋体" w:cs="宋体"/>
          <w:color w:val="auto"/>
          <w:sz w:val="24"/>
          <w:highlight w:val="none"/>
        </w:rPr>
        <w:t>地     址：</w:t>
      </w:r>
      <w:r>
        <w:rPr>
          <w:rFonts w:hint="eastAsia" w:ascii="宋体" w:hAnsi="宋体" w:cs="宋体"/>
          <w:color w:val="auto"/>
          <w:sz w:val="24"/>
          <w:highlight w:val="none"/>
          <w:u w:val="single"/>
        </w:rPr>
        <w:t xml:space="preserve">                         </w:t>
      </w:r>
    </w:p>
    <w:p w14:paraId="5AA7519B">
      <w:pPr>
        <w:spacing w:line="360" w:lineRule="auto"/>
        <w:rPr>
          <w:rFonts w:ascii="宋体" w:hAnsi="宋体" w:cs="宋体"/>
          <w:color w:val="auto"/>
          <w:sz w:val="24"/>
          <w:highlight w:val="none"/>
        </w:rPr>
      </w:pPr>
      <w:r>
        <w:rPr>
          <w:rFonts w:hint="eastAsia" w:ascii="宋体" w:hAnsi="宋体" w:cs="宋体"/>
          <w:color w:val="auto"/>
          <w:sz w:val="24"/>
          <w:highlight w:val="none"/>
        </w:rPr>
        <w:t>邮     编：</w:t>
      </w:r>
      <w:r>
        <w:rPr>
          <w:rFonts w:hint="eastAsia" w:ascii="宋体" w:hAnsi="宋体" w:cs="宋体"/>
          <w:color w:val="auto"/>
          <w:sz w:val="24"/>
          <w:highlight w:val="none"/>
          <w:u w:val="single"/>
        </w:rPr>
        <w:t xml:space="preserve">                         </w:t>
      </w:r>
    </w:p>
    <w:p w14:paraId="0B37BFAB">
      <w:pPr>
        <w:spacing w:line="360" w:lineRule="auto"/>
        <w:rPr>
          <w:rFonts w:ascii="宋体" w:hAnsi="宋体" w:cs="宋体"/>
          <w:color w:val="auto"/>
          <w:sz w:val="24"/>
          <w:highlight w:val="none"/>
        </w:rPr>
      </w:pPr>
      <w:r>
        <w:rPr>
          <w:rFonts w:hint="eastAsia" w:ascii="宋体" w:hAnsi="宋体" w:cs="宋体"/>
          <w:color w:val="auto"/>
          <w:sz w:val="24"/>
          <w:highlight w:val="none"/>
        </w:rPr>
        <w:t>电 话/传 真：</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 xml:space="preserve"> </w:t>
      </w:r>
    </w:p>
    <w:p w14:paraId="78FBD1B8">
      <w:pPr>
        <w:spacing w:line="360" w:lineRule="auto"/>
        <w:rPr>
          <w:rFonts w:ascii="宋体" w:hAnsi="宋体" w:cs="宋体"/>
          <w:color w:val="auto"/>
          <w:sz w:val="24"/>
          <w:highlight w:val="none"/>
        </w:rPr>
      </w:pPr>
      <w:r>
        <w:rPr>
          <w:rFonts w:hint="eastAsia" w:ascii="宋体" w:hAnsi="宋体" w:cs="宋体"/>
          <w:color w:val="auto"/>
          <w:sz w:val="24"/>
          <w:highlight w:val="none"/>
        </w:rPr>
        <w:t>电子信箱：</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 xml:space="preserve"> </w:t>
      </w:r>
    </w:p>
    <w:p w14:paraId="261C8BAB">
      <w:pPr>
        <w:spacing w:line="440" w:lineRule="exact"/>
        <w:rPr>
          <w:rFonts w:ascii="宋体" w:hAnsi="宋体" w:cs="宋体"/>
          <w:color w:val="auto"/>
          <w:highlight w:val="none"/>
        </w:rPr>
      </w:pPr>
      <w:r>
        <w:rPr>
          <w:rFonts w:hint="eastAsia" w:ascii="宋体" w:hAnsi="宋体" w:cs="宋体"/>
          <w:color w:val="auto"/>
          <w:sz w:val="24"/>
          <w:highlight w:val="none"/>
        </w:rPr>
        <w:t>日  期： 年 月 日</w:t>
      </w:r>
    </w:p>
    <w:p w14:paraId="492534AA">
      <w:pPr>
        <w:spacing w:line="440" w:lineRule="exact"/>
        <w:rPr>
          <w:rFonts w:ascii="宋体" w:hAnsi="宋体" w:cs="宋体"/>
          <w:color w:val="auto"/>
          <w:highlight w:val="none"/>
        </w:rPr>
      </w:pPr>
    </w:p>
    <w:p w14:paraId="461AFB95">
      <w:pPr>
        <w:spacing w:line="0" w:lineRule="atLeast"/>
        <w:rPr>
          <w:rFonts w:ascii="宋体" w:hAnsi="宋体" w:cs="宋体"/>
          <w:color w:val="auto"/>
          <w:highlight w:val="none"/>
        </w:rPr>
      </w:pPr>
    </w:p>
    <w:p w14:paraId="62976520">
      <w:pPr>
        <w:spacing w:line="360" w:lineRule="auto"/>
        <w:jc w:val="both"/>
        <w:outlineLvl w:val="1"/>
        <w:rPr>
          <w:rFonts w:ascii="宋体" w:hAnsi="宋体" w:eastAsia="宋体" w:cs="宋体"/>
          <w:b/>
          <w:color w:val="auto"/>
          <w:sz w:val="24"/>
          <w:highlight w:val="none"/>
        </w:rPr>
      </w:pPr>
      <w:r>
        <w:rPr>
          <w:rFonts w:hint="eastAsia" w:ascii="宋体" w:hAnsi="宋体" w:cs="宋体"/>
          <w:color w:val="auto"/>
          <w:highlight w:val="none"/>
        </w:rPr>
        <w:br w:type="page"/>
      </w:r>
      <w:r>
        <w:rPr>
          <w:rFonts w:hint="eastAsia" w:ascii="宋体" w:hAnsi="宋体" w:cs="宋体"/>
          <w:color w:val="auto"/>
          <w:sz w:val="24"/>
          <w:highlight w:val="none"/>
        </w:rPr>
        <w:t>附件</w:t>
      </w:r>
      <w:r>
        <w:rPr>
          <w:rFonts w:hint="eastAsia" w:ascii="宋体" w:hAnsi="宋体" w:cs="宋体"/>
          <w:color w:val="auto"/>
          <w:sz w:val="24"/>
          <w:highlight w:val="none"/>
          <w:lang w:val="en-US" w:eastAsia="zh-CN"/>
        </w:rPr>
        <w:t>4</w:t>
      </w:r>
      <w:r>
        <w:rPr>
          <w:rFonts w:hint="eastAsia" w:ascii="宋体" w:hAnsi="宋体" w:cs="宋体"/>
          <w:color w:val="auto"/>
          <w:sz w:val="24"/>
          <w:highlight w:val="none"/>
        </w:rPr>
        <w:t xml:space="preserve">-2                  </w:t>
      </w:r>
      <w:r>
        <w:rPr>
          <w:rFonts w:hint="eastAsia" w:ascii="宋体" w:hAnsi="宋体" w:cs="宋体"/>
          <w:b/>
          <w:color w:val="auto"/>
          <w:sz w:val="28"/>
          <w:szCs w:val="28"/>
          <w:highlight w:val="none"/>
        </w:rPr>
        <w:t>资格承诺函</w:t>
      </w:r>
    </w:p>
    <w:p w14:paraId="15F36F44">
      <w:pPr>
        <w:pStyle w:val="94"/>
        <w:ind w:firstLine="480" w:firstLineChars="200"/>
        <w:jc w:val="both"/>
        <w:rPr>
          <w:rFonts w:hint="default" w:ascii="宋体" w:hAnsi="宋体" w:eastAsia="宋体" w:cs="宋体"/>
          <w:color w:val="auto"/>
          <w:highlight w:val="none"/>
        </w:rPr>
      </w:pPr>
      <w:r>
        <w:rPr>
          <w:rFonts w:ascii="宋体" w:hAnsi="宋体" w:eastAsia="宋体" w:cs="宋体"/>
          <w:color w:val="auto"/>
          <w:sz w:val="24"/>
          <w:highlight w:val="none"/>
        </w:rPr>
        <w:t>我单位(本人)自愿参加本次政府采购活动，严格遵守《中华人民共和国政府采购法》及相关法律法规，坚守公开、公平公正和诚实信用等原则，依法诚信经营，并郑重承诺:</w:t>
      </w:r>
    </w:p>
    <w:p w14:paraId="42243222">
      <w:pPr>
        <w:pStyle w:val="94"/>
        <w:ind w:firstLine="400"/>
        <w:jc w:val="both"/>
        <w:rPr>
          <w:rFonts w:hint="default" w:ascii="宋体" w:hAnsi="宋体" w:eastAsia="宋体" w:cs="宋体"/>
          <w:color w:val="auto"/>
          <w:highlight w:val="none"/>
        </w:rPr>
      </w:pPr>
      <w:r>
        <w:rPr>
          <w:rFonts w:ascii="宋体" w:hAnsi="宋体" w:eastAsia="宋体" w:cs="宋体"/>
          <w:color w:val="auto"/>
          <w:sz w:val="24"/>
          <w:highlight w:val="none"/>
        </w:rPr>
        <w:t>一、我单位(本人)具备</w:t>
      </w:r>
      <w:r>
        <w:rPr>
          <w:rFonts w:hint="eastAsia" w:ascii="宋体" w:hAnsi="宋体" w:cs="宋体"/>
          <w:color w:val="auto"/>
          <w:sz w:val="24"/>
          <w:highlight w:val="none"/>
          <w:lang w:eastAsia="zh-CN"/>
        </w:rPr>
        <w:t>询价文件</w:t>
      </w:r>
      <w:r>
        <w:rPr>
          <w:rFonts w:ascii="宋体" w:hAnsi="宋体" w:eastAsia="宋体" w:cs="宋体"/>
          <w:color w:val="auto"/>
          <w:sz w:val="24"/>
          <w:highlight w:val="none"/>
        </w:rPr>
        <w:t>要求以及《中华人民共和国政府采购法》第二十二条规定的条件:</w:t>
      </w:r>
    </w:p>
    <w:p w14:paraId="04717D94">
      <w:pPr>
        <w:pStyle w:val="94"/>
        <w:ind w:firstLine="400"/>
        <w:jc w:val="both"/>
        <w:rPr>
          <w:rFonts w:hint="default" w:ascii="宋体" w:hAnsi="宋体" w:eastAsia="宋体" w:cs="宋体"/>
          <w:color w:val="auto"/>
          <w:highlight w:val="none"/>
        </w:rPr>
      </w:pPr>
      <w:r>
        <w:rPr>
          <w:rFonts w:ascii="宋体" w:hAnsi="宋体" w:eastAsia="宋体" w:cs="宋体"/>
          <w:color w:val="auto"/>
          <w:sz w:val="24"/>
          <w:highlight w:val="none"/>
        </w:rPr>
        <w:t>1.具有独立承担民事责任的能力;</w:t>
      </w:r>
    </w:p>
    <w:p w14:paraId="7FE42B9E">
      <w:pPr>
        <w:pStyle w:val="94"/>
        <w:ind w:firstLine="400"/>
        <w:jc w:val="both"/>
        <w:rPr>
          <w:rFonts w:hint="default" w:ascii="宋体" w:hAnsi="宋体" w:eastAsia="宋体" w:cs="宋体"/>
          <w:color w:val="auto"/>
          <w:highlight w:val="none"/>
        </w:rPr>
      </w:pPr>
      <w:r>
        <w:rPr>
          <w:rFonts w:ascii="宋体" w:hAnsi="宋体" w:eastAsia="宋体" w:cs="宋体"/>
          <w:color w:val="auto"/>
          <w:sz w:val="24"/>
          <w:highlight w:val="none"/>
        </w:rPr>
        <w:t>2.具有良好的商业信誉和健全的财务会计制度;</w:t>
      </w:r>
    </w:p>
    <w:p w14:paraId="1DBCEC9C">
      <w:pPr>
        <w:pStyle w:val="94"/>
        <w:ind w:firstLine="400"/>
        <w:jc w:val="both"/>
        <w:rPr>
          <w:rFonts w:hint="default" w:ascii="宋体" w:hAnsi="宋体" w:eastAsia="宋体" w:cs="宋体"/>
          <w:color w:val="auto"/>
          <w:highlight w:val="none"/>
        </w:rPr>
      </w:pPr>
      <w:r>
        <w:rPr>
          <w:rFonts w:ascii="宋体" w:hAnsi="宋体" w:eastAsia="宋体" w:cs="宋体"/>
          <w:color w:val="auto"/>
          <w:sz w:val="24"/>
          <w:highlight w:val="none"/>
        </w:rPr>
        <w:t>3.具有履行合同所必需的设备和专业技术能力;</w:t>
      </w:r>
    </w:p>
    <w:p w14:paraId="3C66D80F">
      <w:pPr>
        <w:pStyle w:val="94"/>
        <w:ind w:firstLine="400"/>
        <w:jc w:val="both"/>
        <w:rPr>
          <w:rFonts w:hint="default" w:ascii="宋体" w:hAnsi="宋体" w:eastAsia="宋体" w:cs="宋体"/>
          <w:color w:val="auto"/>
          <w:highlight w:val="none"/>
        </w:rPr>
      </w:pPr>
      <w:r>
        <w:rPr>
          <w:rFonts w:ascii="宋体" w:hAnsi="宋体" w:eastAsia="宋体" w:cs="宋体"/>
          <w:color w:val="auto"/>
          <w:sz w:val="24"/>
          <w:highlight w:val="none"/>
        </w:rPr>
        <w:t>4.有依法缴纳税收和社会保障资金的良好记录;</w:t>
      </w:r>
    </w:p>
    <w:p w14:paraId="37328435">
      <w:pPr>
        <w:pStyle w:val="94"/>
        <w:ind w:firstLine="400"/>
        <w:jc w:val="both"/>
        <w:rPr>
          <w:rFonts w:hint="default" w:ascii="宋体" w:hAnsi="宋体" w:eastAsia="宋体" w:cs="宋体"/>
          <w:color w:val="auto"/>
          <w:highlight w:val="none"/>
        </w:rPr>
      </w:pPr>
      <w:r>
        <w:rPr>
          <w:rFonts w:ascii="宋体" w:hAnsi="宋体" w:eastAsia="宋体" w:cs="宋体"/>
          <w:color w:val="auto"/>
          <w:sz w:val="24"/>
          <w:highlight w:val="none"/>
        </w:rPr>
        <w:t>5.参加政府采购活动前三年内，在经营活动中没有重大违法记录；</w:t>
      </w:r>
    </w:p>
    <w:p w14:paraId="2A90FDBF">
      <w:pPr>
        <w:pStyle w:val="94"/>
        <w:ind w:firstLine="400"/>
        <w:jc w:val="both"/>
        <w:rPr>
          <w:rFonts w:hint="default" w:ascii="宋体" w:hAnsi="宋体" w:eastAsia="宋体" w:cs="宋体"/>
          <w:color w:val="auto"/>
          <w:highlight w:val="none"/>
        </w:rPr>
      </w:pPr>
      <w:r>
        <w:rPr>
          <w:rFonts w:ascii="宋体" w:hAnsi="宋体" w:eastAsia="宋体" w:cs="宋体"/>
          <w:color w:val="auto"/>
          <w:sz w:val="24"/>
          <w:highlight w:val="none"/>
        </w:rPr>
        <w:t>6.法律、行政法规规定的其他条件。</w:t>
      </w:r>
    </w:p>
    <w:p w14:paraId="46714359">
      <w:pPr>
        <w:pStyle w:val="94"/>
        <w:ind w:firstLine="400"/>
        <w:jc w:val="both"/>
        <w:rPr>
          <w:rFonts w:hint="default" w:ascii="宋体" w:hAnsi="宋体" w:eastAsia="宋体" w:cs="宋体"/>
          <w:color w:val="auto"/>
          <w:highlight w:val="none"/>
        </w:rPr>
      </w:pPr>
      <w:r>
        <w:rPr>
          <w:rFonts w:ascii="宋体" w:hAnsi="宋体" w:eastAsia="宋体" w:cs="宋体"/>
          <w:color w:val="auto"/>
          <w:sz w:val="24"/>
          <w:highlight w:val="none"/>
        </w:rPr>
        <w:t>二、不存在违反《中华人民共和国政府采购法实施条例》第十八条规定的“单位负责人为同一人或者存在直接控股、管理关系的不同供应商，不得参加同一合同项下的政府采购活动。除单一来源采购项目外，为采购项目提供整体设计、规范编制或者项目管理、监理、检测等服务的供应商，不得再参加该采购项目的其他采购活动”情形。</w:t>
      </w:r>
    </w:p>
    <w:p w14:paraId="4E7B8BDC">
      <w:pPr>
        <w:pStyle w:val="94"/>
        <w:ind w:firstLine="400"/>
        <w:jc w:val="both"/>
        <w:rPr>
          <w:rFonts w:hint="default" w:ascii="宋体" w:hAnsi="宋体" w:eastAsia="宋体" w:cs="宋体"/>
          <w:color w:val="auto"/>
          <w:highlight w:val="none"/>
        </w:rPr>
      </w:pPr>
      <w:r>
        <w:rPr>
          <w:rFonts w:ascii="宋体" w:hAnsi="宋体" w:eastAsia="宋体" w:cs="宋体"/>
          <w:color w:val="auto"/>
          <w:sz w:val="24"/>
          <w:highlight w:val="none"/>
        </w:rPr>
        <w:t>我单位(本人)对本承诺函及所承诺事项的真实性、合法性及有效性负责，并已知晓如所作信用承诺不实，可能涉嫌《中华人民共和国政府采购法》第七十七条第一款第(一)项规定的“提供虚假材料谋取中标成交”违法情形。经调查属实的，愿意接受行政监管部门按照《中华人民共和国政府采购法》第七十七条:“处以采购金额千分之五以上千分之十以下的罚款，列入不良行为记录名单，在一至三年内禁止参加政府采购活动，有违法所得的，并处没收违法所得，情节严重的，由市场监管部门吊销营业执照，构成犯罪的，依法追究刑事责任”和政府采购法律法规有关规定处理。</w:t>
      </w:r>
    </w:p>
    <w:p w14:paraId="68DFE798">
      <w:pPr>
        <w:pStyle w:val="94"/>
        <w:ind w:firstLine="2200"/>
        <w:jc w:val="both"/>
        <w:rPr>
          <w:rFonts w:ascii="宋体" w:hAnsi="宋体" w:eastAsia="宋体" w:cs="宋体"/>
          <w:color w:val="auto"/>
          <w:sz w:val="24"/>
          <w:highlight w:val="none"/>
        </w:rPr>
      </w:pPr>
    </w:p>
    <w:p w14:paraId="22EC97FE">
      <w:pPr>
        <w:pStyle w:val="94"/>
        <w:ind w:firstLine="2200"/>
        <w:jc w:val="both"/>
        <w:rPr>
          <w:rFonts w:ascii="宋体" w:hAnsi="宋体" w:eastAsia="宋体" w:cs="宋体"/>
          <w:color w:val="auto"/>
          <w:sz w:val="24"/>
          <w:highlight w:val="none"/>
        </w:rPr>
      </w:pPr>
    </w:p>
    <w:p w14:paraId="77DD459A">
      <w:pPr>
        <w:pStyle w:val="94"/>
        <w:ind w:firstLine="2200"/>
        <w:jc w:val="both"/>
        <w:rPr>
          <w:rFonts w:hint="default" w:ascii="宋体" w:hAnsi="宋体" w:eastAsia="宋体" w:cs="宋体"/>
          <w:color w:val="auto"/>
          <w:highlight w:val="none"/>
        </w:rPr>
      </w:pPr>
      <w:r>
        <w:rPr>
          <w:rFonts w:ascii="宋体" w:hAnsi="宋体" w:eastAsia="宋体" w:cs="宋体"/>
          <w:color w:val="auto"/>
          <w:sz w:val="24"/>
          <w:highlight w:val="none"/>
        </w:rPr>
        <w:t>供应商名称(单位公章):</w:t>
      </w:r>
    </w:p>
    <w:p w14:paraId="64C0AAFF">
      <w:pPr>
        <w:pStyle w:val="94"/>
        <w:ind w:firstLine="2200"/>
        <w:jc w:val="both"/>
        <w:rPr>
          <w:rFonts w:hint="default" w:ascii="宋体" w:hAnsi="宋体" w:eastAsia="宋体" w:cs="宋体"/>
          <w:color w:val="auto"/>
          <w:highlight w:val="none"/>
        </w:rPr>
      </w:pPr>
      <w:r>
        <w:rPr>
          <w:rFonts w:ascii="宋体" w:hAnsi="宋体" w:eastAsia="宋体" w:cs="宋体"/>
          <w:color w:val="auto"/>
          <w:sz w:val="24"/>
          <w:highlight w:val="none"/>
        </w:rPr>
        <w:t xml:space="preserve"> 年   月   日</w:t>
      </w:r>
    </w:p>
    <w:p w14:paraId="22F35A40">
      <w:pPr>
        <w:pStyle w:val="94"/>
        <w:ind w:firstLine="400"/>
        <w:jc w:val="both"/>
        <w:rPr>
          <w:rFonts w:hint="default" w:ascii="宋体" w:hAnsi="宋体" w:eastAsia="宋体" w:cs="宋体"/>
          <w:color w:val="auto"/>
          <w:highlight w:val="none"/>
        </w:rPr>
      </w:pPr>
      <w:r>
        <w:rPr>
          <w:rFonts w:ascii="宋体" w:hAnsi="宋体" w:eastAsia="宋体" w:cs="宋体"/>
          <w:color w:val="auto"/>
          <w:sz w:val="24"/>
          <w:highlight w:val="none"/>
        </w:rPr>
        <w:t>注:</w:t>
      </w:r>
    </w:p>
    <w:p w14:paraId="7DFA3D38">
      <w:pPr>
        <w:pStyle w:val="94"/>
        <w:spacing w:line="440" w:lineRule="exact"/>
        <w:jc w:val="both"/>
        <w:rPr>
          <w:rFonts w:hint="default" w:ascii="宋体" w:hAnsi="宋体" w:eastAsia="宋体" w:cs="宋体"/>
          <w:color w:val="auto"/>
          <w:highlight w:val="none"/>
        </w:rPr>
      </w:pPr>
      <w:r>
        <w:rPr>
          <w:rFonts w:ascii="宋体" w:hAnsi="宋体" w:eastAsia="宋体" w:cs="宋体"/>
          <w:color w:val="auto"/>
          <w:sz w:val="24"/>
          <w:highlight w:val="none"/>
        </w:rPr>
        <w:t>1.我单位(本人)专指参加政府采购活动的供应商(含自然人)；</w:t>
      </w:r>
    </w:p>
    <w:p w14:paraId="1CD4BD90">
      <w:pPr>
        <w:spacing w:line="440" w:lineRule="exact"/>
        <w:rPr>
          <w:rFonts w:hint="eastAsia" w:ascii="宋体" w:hAnsi="宋体" w:cs="宋体"/>
          <w:color w:val="auto"/>
          <w:sz w:val="24"/>
          <w:highlight w:val="none"/>
        </w:rPr>
      </w:pPr>
      <w:r>
        <w:rPr>
          <w:rFonts w:hint="eastAsia" w:ascii="宋体" w:hAnsi="宋体" w:cs="宋体"/>
          <w:color w:val="auto"/>
          <w:sz w:val="24"/>
          <w:highlight w:val="none"/>
        </w:rPr>
        <w:t>2.资格承诺的供应商应在投标(响应)文件中按此模板提供承诺函，否则，视为未按照</w:t>
      </w:r>
      <w:r>
        <w:rPr>
          <w:rFonts w:hint="eastAsia" w:ascii="宋体" w:hAnsi="宋体" w:cs="宋体"/>
          <w:color w:val="auto"/>
          <w:sz w:val="24"/>
          <w:highlight w:val="none"/>
          <w:lang w:eastAsia="zh-CN"/>
        </w:rPr>
        <w:t>询价文件</w:t>
      </w:r>
      <w:r>
        <w:rPr>
          <w:rFonts w:hint="eastAsia" w:ascii="宋体" w:hAnsi="宋体" w:cs="宋体"/>
          <w:color w:val="auto"/>
          <w:sz w:val="24"/>
          <w:highlight w:val="none"/>
        </w:rPr>
        <w:t>规定提交供应商的资格及资信文件，按资格审查不通过处理。</w:t>
      </w:r>
    </w:p>
    <w:p w14:paraId="11595C18">
      <w:pPr>
        <w:pStyle w:val="41"/>
        <w:rPr>
          <w:rFonts w:hint="eastAsia" w:ascii="宋体" w:hAnsi="宋体" w:cs="宋体"/>
          <w:color w:val="auto"/>
          <w:sz w:val="24"/>
          <w:highlight w:val="none"/>
        </w:rPr>
      </w:pPr>
    </w:p>
    <w:p w14:paraId="4F1D35A2">
      <w:pPr>
        <w:rPr>
          <w:rFonts w:hint="eastAsia" w:ascii="宋体" w:hAnsi="宋体" w:cs="宋体"/>
          <w:color w:val="auto"/>
          <w:sz w:val="24"/>
          <w:highlight w:val="none"/>
        </w:rPr>
      </w:pPr>
    </w:p>
    <w:p w14:paraId="4F744A37">
      <w:pPr>
        <w:spacing w:line="380" w:lineRule="exact"/>
        <w:rPr>
          <w:rFonts w:ascii="宋体" w:hAnsi="宋体" w:cs="宋体"/>
          <w:color w:val="auto"/>
          <w:highlight w:val="none"/>
        </w:rPr>
      </w:pPr>
    </w:p>
    <w:p w14:paraId="17A1B042">
      <w:pPr>
        <w:pStyle w:val="94"/>
        <w:spacing w:line="400" w:lineRule="exact"/>
        <w:rPr>
          <w:rFonts w:hint="default" w:ascii="宋体" w:hAnsi="宋体" w:eastAsia="宋体" w:cs="宋体"/>
          <w:color w:val="auto"/>
          <w:sz w:val="24"/>
          <w:highlight w:val="none"/>
        </w:rPr>
      </w:pPr>
    </w:p>
    <w:p w14:paraId="345B366A">
      <w:pPr>
        <w:pStyle w:val="94"/>
        <w:spacing w:line="400" w:lineRule="exact"/>
        <w:rPr>
          <w:rFonts w:hint="default" w:ascii="宋体" w:hAnsi="宋体" w:eastAsia="宋体" w:cs="宋体"/>
          <w:b/>
          <w:color w:val="auto"/>
          <w:sz w:val="32"/>
          <w:highlight w:val="none"/>
        </w:rPr>
      </w:pPr>
      <w:r>
        <w:rPr>
          <w:rFonts w:ascii="宋体" w:hAnsi="宋体" w:eastAsia="宋体" w:cs="宋体"/>
          <w:color w:val="auto"/>
          <w:sz w:val="24"/>
          <w:highlight w:val="none"/>
        </w:rPr>
        <w:t>附件</w:t>
      </w:r>
      <w:r>
        <w:rPr>
          <w:rFonts w:hint="eastAsia" w:ascii="宋体" w:hAnsi="宋体" w:cs="宋体"/>
          <w:color w:val="auto"/>
          <w:sz w:val="24"/>
          <w:highlight w:val="none"/>
          <w:lang w:val="en-US" w:eastAsia="zh-CN"/>
        </w:rPr>
        <w:t>4</w:t>
      </w:r>
      <w:r>
        <w:rPr>
          <w:rFonts w:ascii="宋体" w:hAnsi="宋体" w:eastAsia="宋体" w:cs="宋体"/>
          <w:color w:val="auto"/>
          <w:sz w:val="24"/>
          <w:highlight w:val="none"/>
        </w:rPr>
        <w:t xml:space="preserve">-3                       </w:t>
      </w:r>
      <w:r>
        <w:rPr>
          <w:rFonts w:ascii="宋体" w:hAnsi="宋体" w:eastAsia="宋体" w:cs="宋体"/>
          <w:b/>
          <w:color w:val="auto"/>
          <w:sz w:val="28"/>
          <w:szCs w:val="28"/>
          <w:highlight w:val="none"/>
        </w:rPr>
        <w:t>营业执照等证明文件</w:t>
      </w:r>
    </w:p>
    <w:p w14:paraId="3959E227">
      <w:pPr>
        <w:spacing w:line="440" w:lineRule="exact"/>
        <w:rPr>
          <w:rFonts w:ascii="宋体" w:hAnsi="宋体" w:cs="宋体"/>
          <w:color w:val="auto"/>
          <w:sz w:val="24"/>
          <w:highlight w:val="none"/>
        </w:rPr>
      </w:pPr>
    </w:p>
    <w:p w14:paraId="14251530">
      <w:pPr>
        <w:spacing w:line="440" w:lineRule="exact"/>
        <w:rPr>
          <w:rFonts w:ascii="宋体" w:hAnsi="宋体" w:cs="宋体"/>
          <w:color w:val="auto"/>
          <w:sz w:val="24"/>
          <w:highlight w:val="none"/>
        </w:rPr>
      </w:pPr>
    </w:p>
    <w:p w14:paraId="7E5F23B6">
      <w:pPr>
        <w:spacing w:line="440" w:lineRule="exact"/>
        <w:rPr>
          <w:rFonts w:ascii="宋体" w:hAnsi="宋体" w:cs="宋体"/>
          <w:color w:val="auto"/>
          <w:sz w:val="24"/>
          <w:highlight w:val="none"/>
        </w:rPr>
      </w:pPr>
      <w:r>
        <w:rPr>
          <w:rFonts w:hint="eastAsia" w:ascii="宋体" w:hAnsi="宋体" w:cs="宋体"/>
          <w:color w:val="auto"/>
          <w:sz w:val="24"/>
          <w:highlight w:val="none"/>
        </w:rPr>
        <w:t>★注意：</w:t>
      </w:r>
    </w:p>
    <w:p w14:paraId="76422576">
      <w:pPr>
        <w:spacing w:line="440" w:lineRule="exact"/>
        <w:rPr>
          <w:rFonts w:ascii="宋体" w:hAnsi="宋体" w:cs="宋体"/>
          <w:color w:val="auto"/>
          <w:sz w:val="24"/>
          <w:highlight w:val="none"/>
        </w:rPr>
      </w:pPr>
      <w:r>
        <w:rPr>
          <w:rFonts w:hint="eastAsia" w:ascii="宋体" w:hAnsi="宋体" w:cs="宋体"/>
          <w:color w:val="auto"/>
          <w:sz w:val="24"/>
          <w:highlight w:val="none"/>
          <w:lang w:val="en-US" w:eastAsia="zh-CN"/>
        </w:rPr>
        <w:t>1</w:t>
      </w:r>
      <w:r>
        <w:rPr>
          <w:rFonts w:hint="eastAsia" w:ascii="宋体" w:hAnsi="宋体" w:cs="宋体"/>
          <w:color w:val="auto"/>
          <w:sz w:val="24"/>
          <w:highlight w:val="none"/>
        </w:rPr>
        <w:t>、供应商为企业的，提供有效的营业执照复印件；供应商为事业单位的，提供有效的事业单位法人证书复印件；供应商为社会团体的，提供有效的社会团体法人登记证书复印件；供应商为合伙企业、个体工商户的，提供有效的营业执照复印件；供应商为非企业专业服务机构的，提供有效的执业许可证等证明材料复印件；供应商为自然人的，提供有效的自然人身份证件复印件；其他供应商应按照有关法律、法规和规章规定，提供有效的相应具体证照复印件。</w:t>
      </w:r>
    </w:p>
    <w:p w14:paraId="6DD5A592">
      <w:pPr>
        <w:spacing w:line="440" w:lineRule="exact"/>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2、上述证明文件复印件需加盖公章。</w:t>
      </w:r>
    </w:p>
    <w:p w14:paraId="7260CC49">
      <w:pPr>
        <w:pStyle w:val="41"/>
        <w:rPr>
          <w:rFonts w:hint="default"/>
          <w:color w:val="auto"/>
          <w:highlight w:val="none"/>
          <w:lang w:val="en-US" w:eastAsia="zh-CN"/>
        </w:rPr>
      </w:pPr>
    </w:p>
    <w:p w14:paraId="56F2F8A1">
      <w:pPr>
        <w:spacing w:line="440" w:lineRule="exact"/>
        <w:rPr>
          <w:rFonts w:ascii="宋体" w:hAnsi="宋体" w:cs="宋体"/>
          <w:color w:val="auto"/>
          <w:sz w:val="24"/>
          <w:highlight w:val="none"/>
          <w:u w:val="single"/>
        </w:rPr>
      </w:pPr>
      <w:r>
        <w:rPr>
          <w:rFonts w:hint="eastAsia" w:ascii="宋体" w:hAnsi="宋体" w:cs="宋体"/>
          <w:color w:val="auto"/>
          <w:sz w:val="24"/>
          <w:highlight w:val="none"/>
        </w:rPr>
        <w:t>供应商代表：</w:t>
      </w:r>
      <w:r>
        <w:rPr>
          <w:rFonts w:hint="eastAsia" w:ascii="宋体" w:hAnsi="宋体" w:cs="宋体"/>
          <w:color w:val="auto"/>
          <w:sz w:val="24"/>
          <w:highlight w:val="none"/>
          <w:u w:val="single"/>
        </w:rPr>
        <w:t xml:space="preserve"> （签字）</w:t>
      </w:r>
    </w:p>
    <w:p w14:paraId="7F448232">
      <w:pPr>
        <w:spacing w:line="440" w:lineRule="exact"/>
        <w:rPr>
          <w:rFonts w:ascii="宋体" w:hAnsi="宋体" w:cs="宋体"/>
          <w:color w:val="auto"/>
          <w:sz w:val="24"/>
          <w:highlight w:val="none"/>
          <w:u w:val="single"/>
        </w:rPr>
      </w:pPr>
      <w:r>
        <w:rPr>
          <w:rFonts w:hint="eastAsia" w:ascii="宋体" w:hAnsi="宋体" w:cs="宋体"/>
          <w:color w:val="auto"/>
          <w:sz w:val="24"/>
          <w:highlight w:val="none"/>
        </w:rPr>
        <w:t>供应商名称：</w:t>
      </w:r>
      <w:r>
        <w:rPr>
          <w:rFonts w:hint="eastAsia" w:ascii="宋体" w:hAnsi="宋体" w:cs="宋体"/>
          <w:color w:val="auto"/>
          <w:sz w:val="24"/>
          <w:highlight w:val="none"/>
          <w:u w:val="single"/>
        </w:rPr>
        <w:t xml:space="preserve">         （全称并加盖公章）              </w:t>
      </w:r>
    </w:p>
    <w:p w14:paraId="679681CC">
      <w:pPr>
        <w:spacing w:line="380" w:lineRule="exact"/>
        <w:jc w:val="center"/>
        <w:rPr>
          <w:rFonts w:ascii="宋体" w:hAnsi="宋体" w:cs="宋体"/>
          <w:b/>
          <w:color w:val="auto"/>
          <w:sz w:val="28"/>
          <w:szCs w:val="28"/>
          <w:highlight w:val="none"/>
        </w:rPr>
      </w:pPr>
      <w:r>
        <w:rPr>
          <w:rFonts w:hint="eastAsia" w:ascii="宋体" w:hAnsi="宋体" w:cs="宋体"/>
          <w:color w:val="auto"/>
          <w:sz w:val="24"/>
          <w:highlight w:val="none"/>
        </w:rPr>
        <w:t>日  期： 年 月 日</w:t>
      </w:r>
    </w:p>
    <w:p w14:paraId="363AA58D">
      <w:pPr>
        <w:spacing w:line="380" w:lineRule="exact"/>
        <w:jc w:val="center"/>
        <w:rPr>
          <w:rFonts w:ascii="宋体" w:hAnsi="宋体" w:cs="宋体"/>
          <w:b/>
          <w:color w:val="auto"/>
          <w:sz w:val="28"/>
          <w:szCs w:val="28"/>
          <w:highlight w:val="none"/>
        </w:rPr>
      </w:pPr>
    </w:p>
    <w:p w14:paraId="1BF83697">
      <w:pPr>
        <w:spacing w:line="380" w:lineRule="exact"/>
        <w:jc w:val="center"/>
        <w:rPr>
          <w:rFonts w:ascii="宋体" w:hAnsi="宋体" w:cs="宋体"/>
          <w:b/>
          <w:color w:val="auto"/>
          <w:sz w:val="28"/>
          <w:szCs w:val="28"/>
          <w:highlight w:val="none"/>
        </w:rPr>
      </w:pPr>
    </w:p>
    <w:p w14:paraId="72EC2EA7">
      <w:pPr>
        <w:spacing w:line="380" w:lineRule="exact"/>
        <w:jc w:val="center"/>
        <w:rPr>
          <w:rFonts w:ascii="宋体" w:hAnsi="宋体" w:cs="宋体"/>
          <w:b/>
          <w:color w:val="auto"/>
          <w:sz w:val="28"/>
          <w:szCs w:val="28"/>
          <w:highlight w:val="none"/>
        </w:rPr>
      </w:pPr>
    </w:p>
    <w:p w14:paraId="0F285B49">
      <w:pPr>
        <w:spacing w:line="380" w:lineRule="exact"/>
        <w:jc w:val="center"/>
        <w:rPr>
          <w:rFonts w:ascii="宋体" w:hAnsi="宋体" w:cs="宋体"/>
          <w:b/>
          <w:color w:val="auto"/>
          <w:sz w:val="28"/>
          <w:szCs w:val="28"/>
          <w:highlight w:val="none"/>
        </w:rPr>
      </w:pPr>
    </w:p>
    <w:p w14:paraId="0A625A3E">
      <w:pPr>
        <w:spacing w:line="380" w:lineRule="exact"/>
        <w:jc w:val="center"/>
        <w:rPr>
          <w:rFonts w:ascii="宋体" w:hAnsi="宋体" w:cs="宋体"/>
          <w:b/>
          <w:color w:val="auto"/>
          <w:sz w:val="28"/>
          <w:szCs w:val="28"/>
          <w:highlight w:val="none"/>
        </w:rPr>
      </w:pPr>
    </w:p>
    <w:p w14:paraId="243A70B0">
      <w:pPr>
        <w:spacing w:line="380" w:lineRule="exact"/>
        <w:jc w:val="center"/>
        <w:rPr>
          <w:rFonts w:ascii="宋体" w:hAnsi="宋体" w:cs="宋体"/>
          <w:b/>
          <w:color w:val="auto"/>
          <w:sz w:val="28"/>
          <w:szCs w:val="28"/>
          <w:highlight w:val="none"/>
        </w:rPr>
      </w:pPr>
    </w:p>
    <w:p w14:paraId="2B75945B">
      <w:pPr>
        <w:spacing w:line="380" w:lineRule="exact"/>
        <w:jc w:val="center"/>
        <w:rPr>
          <w:rFonts w:ascii="宋体" w:hAnsi="宋体" w:cs="宋体"/>
          <w:b/>
          <w:color w:val="auto"/>
          <w:sz w:val="28"/>
          <w:szCs w:val="28"/>
          <w:highlight w:val="none"/>
        </w:rPr>
      </w:pPr>
    </w:p>
    <w:p w14:paraId="3CC9DC0B">
      <w:pPr>
        <w:spacing w:line="380" w:lineRule="exact"/>
        <w:jc w:val="center"/>
        <w:rPr>
          <w:rFonts w:ascii="宋体" w:hAnsi="宋体" w:cs="宋体"/>
          <w:b/>
          <w:color w:val="auto"/>
          <w:sz w:val="28"/>
          <w:szCs w:val="28"/>
          <w:highlight w:val="none"/>
        </w:rPr>
      </w:pPr>
    </w:p>
    <w:p w14:paraId="731F8AEA">
      <w:pPr>
        <w:spacing w:line="380" w:lineRule="exact"/>
        <w:jc w:val="center"/>
        <w:rPr>
          <w:rFonts w:ascii="宋体" w:hAnsi="宋体" w:cs="宋体"/>
          <w:b/>
          <w:color w:val="auto"/>
          <w:sz w:val="28"/>
          <w:szCs w:val="28"/>
          <w:highlight w:val="none"/>
        </w:rPr>
      </w:pPr>
    </w:p>
    <w:p w14:paraId="24FB0639">
      <w:pPr>
        <w:spacing w:line="380" w:lineRule="exact"/>
        <w:jc w:val="center"/>
        <w:rPr>
          <w:rFonts w:ascii="宋体" w:hAnsi="宋体" w:cs="宋体"/>
          <w:b/>
          <w:color w:val="auto"/>
          <w:sz w:val="28"/>
          <w:szCs w:val="28"/>
          <w:highlight w:val="none"/>
        </w:rPr>
      </w:pPr>
    </w:p>
    <w:p w14:paraId="302FDE69">
      <w:pPr>
        <w:spacing w:line="380" w:lineRule="exact"/>
        <w:jc w:val="center"/>
        <w:rPr>
          <w:rFonts w:ascii="宋体" w:hAnsi="宋体" w:cs="宋体"/>
          <w:b/>
          <w:color w:val="auto"/>
          <w:sz w:val="28"/>
          <w:szCs w:val="28"/>
          <w:highlight w:val="none"/>
        </w:rPr>
      </w:pPr>
    </w:p>
    <w:p w14:paraId="1620BCAA">
      <w:pPr>
        <w:spacing w:line="380" w:lineRule="exact"/>
        <w:jc w:val="center"/>
        <w:rPr>
          <w:rFonts w:ascii="宋体" w:hAnsi="宋体" w:cs="宋体"/>
          <w:b/>
          <w:color w:val="auto"/>
          <w:sz w:val="28"/>
          <w:szCs w:val="28"/>
          <w:highlight w:val="none"/>
        </w:rPr>
      </w:pPr>
    </w:p>
    <w:p w14:paraId="148855D1">
      <w:pPr>
        <w:spacing w:line="380" w:lineRule="exact"/>
        <w:jc w:val="center"/>
        <w:rPr>
          <w:rFonts w:ascii="宋体" w:hAnsi="宋体" w:cs="宋体"/>
          <w:b/>
          <w:color w:val="auto"/>
          <w:sz w:val="28"/>
          <w:szCs w:val="28"/>
          <w:highlight w:val="none"/>
        </w:rPr>
      </w:pPr>
    </w:p>
    <w:p w14:paraId="704DAF55">
      <w:pPr>
        <w:spacing w:line="380" w:lineRule="exact"/>
        <w:jc w:val="center"/>
        <w:rPr>
          <w:rFonts w:ascii="宋体" w:hAnsi="宋体" w:cs="宋体"/>
          <w:b/>
          <w:color w:val="auto"/>
          <w:sz w:val="28"/>
          <w:szCs w:val="28"/>
          <w:highlight w:val="none"/>
        </w:rPr>
      </w:pPr>
    </w:p>
    <w:p w14:paraId="2A502811">
      <w:pPr>
        <w:spacing w:line="380" w:lineRule="exact"/>
        <w:jc w:val="center"/>
        <w:rPr>
          <w:rFonts w:ascii="宋体" w:hAnsi="宋体" w:cs="宋体"/>
          <w:b/>
          <w:color w:val="auto"/>
          <w:sz w:val="28"/>
          <w:szCs w:val="28"/>
          <w:highlight w:val="none"/>
        </w:rPr>
      </w:pPr>
    </w:p>
    <w:p w14:paraId="1A19E3D5">
      <w:pPr>
        <w:spacing w:line="380" w:lineRule="exact"/>
        <w:jc w:val="center"/>
        <w:rPr>
          <w:rFonts w:ascii="宋体" w:hAnsi="宋体" w:cs="宋体"/>
          <w:b/>
          <w:color w:val="auto"/>
          <w:sz w:val="28"/>
          <w:szCs w:val="28"/>
          <w:highlight w:val="none"/>
        </w:rPr>
      </w:pPr>
    </w:p>
    <w:p w14:paraId="6B8A4342">
      <w:pPr>
        <w:spacing w:line="380" w:lineRule="exact"/>
        <w:jc w:val="center"/>
        <w:rPr>
          <w:rFonts w:ascii="宋体" w:hAnsi="宋体" w:cs="宋体"/>
          <w:b/>
          <w:color w:val="auto"/>
          <w:sz w:val="28"/>
          <w:szCs w:val="28"/>
          <w:highlight w:val="none"/>
        </w:rPr>
      </w:pPr>
    </w:p>
    <w:p w14:paraId="4E5D4A2D">
      <w:pPr>
        <w:spacing w:line="380" w:lineRule="exact"/>
        <w:jc w:val="center"/>
        <w:rPr>
          <w:rFonts w:ascii="宋体" w:hAnsi="宋体" w:cs="宋体"/>
          <w:b/>
          <w:color w:val="auto"/>
          <w:sz w:val="28"/>
          <w:szCs w:val="28"/>
          <w:highlight w:val="none"/>
        </w:rPr>
      </w:pPr>
    </w:p>
    <w:p w14:paraId="6183771A">
      <w:pPr>
        <w:spacing w:line="380" w:lineRule="exact"/>
        <w:jc w:val="center"/>
        <w:rPr>
          <w:rFonts w:ascii="宋体" w:hAnsi="宋体" w:cs="宋体"/>
          <w:b/>
          <w:color w:val="auto"/>
          <w:sz w:val="28"/>
          <w:szCs w:val="28"/>
          <w:highlight w:val="none"/>
        </w:rPr>
      </w:pPr>
    </w:p>
    <w:p w14:paraId="14F0E15D">
      <w:pPr>
        <w:spacing w:line="380" w:lineRule="exact"/>
        <w:jc w:val="both"/>
        <w:rPr>
          <w:rFonts w:hint="default" w:ascii="宋体" w:hAnsi="宋体" w:eastAsia="宋体" w:cs="宋体"/>
          <w:b/>
          <w:color w:val="auto"/>
          <w:sz w:val="28"/>
          <w:szCs w:val="28"/>
          <w:highlight w:val="none"/>
          <w:lang w:val="en-US" w:eastAsia="zh-CN"/>
        </w:rPr>
      </w:pPr>
      <w:r>
        <w:rPr>
          <w:rFonts w:hint="eastAsia" w:ascii="宋体" w:hAnsi="宋体" w:cs="宋体"/>
          <w:b/>
          <w:color w:val="auto"/>
          <w:sz w:val="28"/>
          <w:szCs w:val="28"/>
          <w:highlight w:val="none"/>
          <w:lang w:val="en-US" w:eastAsia="zh-CN"/>
        </w:rPr>
        <w:t xml:space="preserve">附件4-4 </w:t>
      </w:r>
      <w:r>
        <w:rPr>
          <w:rFonts w:hint="eastAsia" w:ascii="宋体" w:hAnsi="宋体" w:cs="宋体"/>
          <w:b/>
          <w:color w:val="auto"/>
          <w:sz w:val="28"/>
          <w:szCs w:val="28"/>
          <w:highlight w:val="none"/>
          <w:u w:val="none"/>
          <w:lang w:val="en-US" w:eastAsia="zh-CN"/>
        </w:rPr>
        <w:t xml:space="preserve">               公安机关核发的保安服务许可证等证明文件</w:t>
      </w:r>
    </w:p>
    <w:p w14:paraId="66CF6D55">
      <w:pPr>
        <w:spacing w:line="380" w:lineRule="exact"/>
        <w:jc w:val="center"/>
        <w:rPr>
          <w:rFonts w:ascii="宋体" w:hAnsi="宋体" w:cs="宋体"/>
          <w:b/>
          <w:color w:val="auto"/>
          <w:sz w:val="28"/>
          <w:szCs w:val="28"/>
          <w:highlight w:val="none"/>
        </w:rPr>
      </w:pPr>
    </w:p>
    <w:p w14:paraId="4AB97505">
      <w:pPr>
        <w:pStyle w:val="41"/>
        <w:rPr>
          <w:rFonts w:ascii="宋体" w:hAnsi="宋体" w:cs="宋体"/>
          <w:b/>
          <w:color w:val="auto"/>
          <w:sz w:val="28"/>
          <w:szCs w:val="28"/>
          <w:highlight w:val="none"/>
        </w:rPr>
      </w:pPr>
    </w:p>
    <w:p w14:paraId="59CC3B5C">
      <w:pPr>
        <w:spacing w:line="440" w:lineRule="exact"/>
        <w:rPr>
          <w:rFonts w:ascii="宋体" w:hAnsi="宋体" w:cs="宋体"/>
          <w:color w:val="auto"/>
          <w:sz w:val="24"/>
          <w:highlight w:val="none"/>
        </w:rPr>
      </w:pPr>
      <w:r>
        <w:rPr>
          <w:rFonts w:hint="eastAsia" w:ascii="宋体" w:hAnsi="宋体" w:cs="宋体"/>
          <w:color w:val="auto"/>
          <w:sz w:val="24"/>
          <w:highlight w:val="none"/>
        </w:rPr>
        <w:t>★注意：</w:t>
      </w:r>
    </w:p>
    <w:p w14:paraId="1B153AEB">
      <w:pPr>
        <w:spacing w:line="440" w:lineRule="exact"/>
        <w:rPr>
          <w:rFonts w:ascii="宋体" w:hAnsi="宋体" w:cs="宋体"/>
          <w:color w:val="auto"/>
          <w:sz w:val="24"/>
          <w:highlight w:val="none"/>
        </w:rPr>
      </w:pPr>
      <w:r>
        <w:rPr>
          <w:rFonts w:hint="eastAsia" w:ascii="宋体" w:hAnsi="宋体" w:cs="宋体"/>
          <w:color w:val="auto"/>
          <w:sz w:val="24"/>
          <w:highlight w:val="none"/>
          <w:lang w:val="en-US" w:eastAsia="zh-CN"/>
        </w:rPr>
        <w:t>1</w:t>
      </w:r>
      <w:r>
        <w:rPr>
          <w:rFonts w:hint="eastAsia" w:ascii="宋体" w:hAnsi="宋体" w:cs="宋体"/>
          <w:color w:val="auto"/>
          <w:sz w:val="24"/>
          <w:highlight w:val="none"/>
        </w:rPr>
        <w:t>、供应商</w:t>
      </w:r>
      <w:r>
        <w:rPr>
          <w:rFonts w:hint="eastAsia" w:ascii="宋体" w:hAnsi="宋体" w:cs="宋体"/>
          <w:color w:val="auto"/>
          <w:sz w:val="24"/>
          <w:highlight w:val="none"/>
          <w:lang w:val="en-US" w:eastAsia="zh-CN"/>
        </w:rPr>
        <w:t>应提供公安机关核发的保安服务许可证</w:t>
      </w:r>
      <w:r>
        <w:rPr>
          <w:rFonts w:hint="eastAsia" w:ascii="宋体" w:hAnsi="宋体" w:cs="宋体"/>
          <w:color w:val="auto"/>
          <w:sz w:val="24"/>
          <w:highlight w:val="none"/>
        </w:rPr>
        <w:t>件。</w:t>
      </w:r>
    </w:p>
    <w:p w14:paraId="19A262D1">
      <w:pPr>
        <w:spacing w:line="440" w:lineRule="exact"/>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2、上述证明文件复印件需加盖公章。</w:t>
      </w:r>
    </w:p>
    <w:p w14:paraId="490D2D24">
      <w:pPr>
        <w:pStyle w:val="41"/>
        <w:rPr>
          <w:rFonts w:hint="default"/>
          <w:color w:val="auto"/>
          <w:highlight w:val="none"/>
          <w:lang w:val="en-US" w:eastAsia="zh-CN"/>
        </w:rPr>
      </w:pPr>
    </w:p>
    <w:p w14:paraId="599E0043">
      <w:pPr>
        <w:spacing w:line="440" w:lineRule="exact"/>
        <w:rPr>
          <w:rFonts w:ascii="宋体" w:hAnsi="宋体" w:cs="宋体"/>
          <w:color w:val="auto"/>
          <w:sz w:val="24"/>
          <w:highlight w:val="none"/>
          <w:u w:val="single"/>
        </w:rPr>
      </w:pPr>
      <w:r>
        <w:rPr>
          <w:rFonts w:hint="eastAsia" w:ascii="宋体" w:hAnsi="宋体" w:cs="宋体"/>
          <w:color w:val="auto"/>
          <w:sz w:val="24"/>
          <w:highlight w:val="none"/>
        </w:rPr>
        <w:t>供应商代表：</w:t>
      </w:r>
      <w:r>
        <w:rPr>
          <w:rFonts w:hint="eastAsia" w:ascii="宋体" w:hAnsi="宋体" w:cs="宋体"/>
          <w:color w:val="auto"/>
          <w:sz w:val="24"/>
          <w:highlight w:val="none"/>
          <w:u w:val="single"/>
        </w:rPr>
        <w:t xml:space="preserve"> （签字）</w:t>
      </w:r>
    </w:p>
    <w:p w14:paraId="77D408E1">
      <w:pPr>
        <w:spacing w:line="440" w:lineRule="exact"/>
        <w:rPr>
          <w:rFonts w:ascii="宋体" w:hAnsi="宋体" w:cs="宋体"/>
          <w:color w:val="auto"/>
          <w:sz w:val="24"/>
          <w:highlight w:val="none"/>
          <w:u w:val="single"/>
        </w:rPr>
      </w:pPr>
      <w:r>
        <w:rPr>
          <w:rFonts w:hint="eastAsia" w:ascii="宋体" w:hAnsi="宋体" w:cs="宋体"/>
          <w:color w:val="auto"/>
          <w:sz w:val="24"/>
          <w:highlight w:val="none"/>
        </w:rPr>
        <w:t>供应商名称：</w:t>
      </w:r>
      <w:r>
        <w:rPr>
          <w:rFonts w:hint="eastAsia" w:ascii="宋体" w:hAnsi="宋体" w:cs="宋体"/>
          <w:color w:val="auto"/>
          <w:sz w:val="24"/>
          <w:highlight w:val="none"/>
          <w:u w:val="single"/>
        </w:rPr>
        <w:t xml:space="preserve">         （全称并加盖公章）              </w:t>
      </w:r>
    </w:p>
    <w:p w14:paraId="7F73D52C">
      <w:pPr>
        <w:spacing w:line="380" w:lineRule="exact"/>
        <w:jc w:val="center"/>
        <w:rPr>
          <w:rFonts w:ascii="宋体" w:hAnsi="宋体" w:cs="宋体"/>
          <w:b/>
          <w:color w:val="auto"/>
          <w:sz w:val="28"/>
          <w:szCs w:val="28"/>
          <w:highlight w:val="none"/>
        </w:rPr>
      </w:pPr>
      <w:r>
        <w:rPr>
          <w:rFonts w:hint="eastAsia" w:ascii="宋体" w:hAnsi="宋体" w:cs="宋体"/>
          <w:color w:val="auto"/>
          <w:sz w:val="24"/>
          <w:highlight w:val="none"/>
        </w:rPr>
        <w:t>日  期： 年 月 日</w:t>
      </w:r>
    </w:p>
    <w:p w14:paraId="7D9F6953">
      <w:pPr>
        <w:rPr>
          <w:rFonts w:ascii="宋体" w:hAnsi="宋体" w:cs="宋体"/>
          <w:b/>
          <w:color w:val="auto"/>
          <w:sz w:val="28"/>
          <w:szCs w:val="28"/>
          <w:highlight w:val="none"/>
        </w:rPr>
      </w:pPr>
    </w:p>
    <w:p w14:paraId="2745678E">
      <w:pPr>
        <w:pStyle w:val="41"/>
        <w:rPr>
          <w:rFonts w:ascii="宋体" w:hAnsi="宋体" w:cs="宋体"/>
          <w:b/>
          <w:color w:val="auto"/>
          <w:sz w:val="28"/>
          <w:szCs w:val="28"/>
          <w:highlight w:val="none"/>
        </w:rPr>
      </w:pPr>
    </w:p>
    <w:p w14:paraId="5D4026ED">
      <w:pPr>
        <w:rPr>
          <w:rFonts w:ascii="宋体" w:hAnsi="宋体" w:cs="宋体"/>
          <w:b/>
          <w:color w:val="auto"/>
          <w:sz w:val="28"/>
          <w:szCs w:val="28"/>
          <w:highlight w:val="none"/>
        </w:rPr>
      </w:pPr>
    </w:p>
    <w:p w14:paraId="64383290">
      <w:pPr>
        <w:pStyle w:val="41"/>
        <w:rPr>
          <w:rFonts w:ascii="宋体" w:hAnsi="宋体" w:cs="宋体"/>
          <w:b/>
          <w:color w:val="auto"/>
          <w:sz w:val="28"/>
          <w:szCs w:val="28"/>
          <w:highlight w:val="none"/>
        </w:rPr>
      </w:pPr>
    </w:p>
    <w:p w14:paraId="579B20F7">
      <w:pPr>
        <w:rPr>
          <w:rFonts w:ascii="宋体" w:hAnsi="宋体" w:cs="宋体"/>
          <w:b/>
          <w:color w:val="auto"/>
          <w:sz w:val="28"/>
          <w:szCs w:val="28"/>
          <w:highlight w:val="none"/>
        </w:rPr>
      </w:pPr>
    </w:p>
    <w:p w14:paraId="6CC1D1FE">
      <w:pPr>
        <w:pStyle w:val="41"/>
        <w:rPr>
          <w:rFonts w:ascii="宋体" w:hAnsi="宋体" w:cs="宋体"/>
          <w:b/>
          <w:color w:val="auto"/>
          <w:sz w:val="28"/>
          <w:szCs w:val="28"/>
          <w:highlight w:val="none"/>
        </w:rPr>
      </w:pPr>
    </w:p>
    <w:p w14:paraId="2B6C3ED7">
      <w:pPr>
        <w:rPr>
          <w:rFonts w:ascii="宋体" w:hAnsi="宋体" w:cs="宋体"/>
          <w:b/>
          <w:color w:val="auto"/>
          <w:sz w:val="28"/>
          <w:szCs w:val="28"/>
          <w:highlight w:val="none"/>
        </w:rPr>
      </w:pPr>
    </w:p>
    <w:p w14:paraId="3B77E101">
      <w:pPr>
        <w:pStyle w:val="41"/>
        <w:rPr>
          <w:rFonts w:ascii="宋体" w:hAnsi="宋体" w:cs="宋体"/>
          <w:b/>
          <w:color w:val="auto"/>
          <w:sz w:val="28"/>
          <w:szCs w:val="28"/>
          <w:highlight w:val="none"/>
        </w:rPr>
      </w:pPr>
    </w:p>
    <w:p w14:paraId="7EDFF6B6">
      <w:pPr>
        <w:rPr>
          <w:rFonts w:ascii="宋体" w:hAnsi="宋体" w:cs="宋体"/>
          <w:b/>
          <w:color w:val="auto"/>
          <w:sz w:val="28"/>
          <w:szCs w:val="28"/>
          <w:highlight w:val="none"/>
        </w:rPr>
      </w:pPr>
    </w:p>
    <w:p w14:paraId="2717F82F">
      <w:pPr>
        <w:rPr>
          <w:rFonts w:ascii="宋体" w:hAnsi="宋体" w:cs="宋体"/>
          <w:b/>
          <w:color w:val="auto"/>
          <w:sz w:val="28"/>
          <w:szCs w:val="28"/>
          <w:highlight w:val="none"/>
        </w:rPr>
      </w:pPr>
    </w:p>
    <w:p w14:paraId="08D4DF65">
      <w:pPr>
        <w:rPr>
          <w:rFonts w:ascii="宋体" w:hAnsi="宋体" w:cs="宋体"/>
          <w:b/>
          <w:color w:val="auto"/>
          <w:sz w:val="28"/>
          <w:szCs w:val="28"/>
          <w:highlight w:val="none"/>
        </w:rPr>
      </w:pPr>
    </w:p>
    <w:p w14:paraId="66FF89A0">
      <w:pPr>
        <w:rPr>
          <w:rFonts w:ascii="宋体" w:hAnsi="宋体" w:cs="宋体"/>
          <w:b/>
          <w:color w:val="auto"/>
          <w:sz w:val="28"/>
          <w:szCs w:val="28"/>
          <w:highlight w:val="none"/>
        </w:rPr>
      </w:pPr>
    </w:p>
    <w:p w14:paraId="4F9DA218">
      <w:pPr>
        <w:rPr>
          <w:rFonts w:ascii="宋体" w:hAnsi="宋体" w:cs="宋体"/>
          <w:b/>
          <w:color w:val="auto"/>
          <w:sz w:val="28"/>
          <w:szCs w:val="28"/>
          <w:highlight w:val="none"/>
        </w:rPr>
      </w:pPr>
    </w:p>
    <w:p w14:paraId="412E1370">
      <w:pPr>
        <w:rPr>
          <w:rFonts w:ascii="宋体" w:hAnsi="宋体" w:cs="宋体"/>
          <w:b/>
          <w:color w:val="auto"/>
          <w:sz w:val="28"/>
          <w:szCs w:val="28"/>
          <w:highlight w:val="none"/>
        </w:rPr>
      </w:pPr>
    </w:p>
    <w:p w14:paraId="4492F1C8">
      <w:pPr>
        <w:rPr>
          <w:rFonts w:ascii="宋体" w:hAnsi="宋体" w:cs="宋体"/>
          <w:b/>
          <w:color w:val="auto"/>
          <w:sz w:val="28"/>
          <w:szCs w:val="28"/>
          <w:highlight w:val="none"/>
        </w:rPr>
      </w:pPr>
    </w:p>
    <w:p w14:paraId="55340C27">
      <w:pPr>
        <w:rPr>
          <w:rFonts w:ascii="宋体" w:hAnsi="宋体" w:cs="宋体"/>
          <w:b/>
          <w:color w:val="auto"/>
          <w:sz w:val="28"/>
          <w:szCs w:val="28"/>
          <w:highlight w:val="none"/>
        </w:rPr>
      </w:pPr>
    </w:p>
    <w:p w14:paraId="5F6D32F3">
      <w:pPr>
        <w:rPr>
          <w:rFonts w:ascii="宋体" w:hAnsi="宋体" w:cs="宋体"/>
          <w:b/>
          <w:color w:val="auto"/>
          <w:sz w:val="28"/>
          <w:szCs w:val="28"/>
          <w:highlight w:val="none"/>
        </w:rPr>
      </w:pPr>
    </w:p>
    <w:p w14:paraId="56485BCE">
      <w:pPr>
        <w:rPr>
          <w:rFonts w:ascii="宋体" w:hAnsi="宋体" w:cs="宋体"/>
          <w:b/>
          <w:color w:val="auto"/>
          <w:sz w:val="28"/>
          <w:szCs w:val="28"/>
          <w:highlight w:val="none"/>
        </w:rPr>
      </w:pPr>
    </w:p>
    <w:p w14:paraId="4EB241C4">
      <w:pPr>
        <w:rPr>
          <w:rFonts w:ascii="宋体" w:hAnsi="宋体" w:cs="宋体"/>
          <w:b/>
          <w:color w:val="auto"/>
          <w:sz w:val="28"/>
          <w:szCs w:val="28"/>
          <w:highlight w:val="none"/>
        </w:rPr>
      </w:pPr>
    </w:p>
    <w:p w14:paraId="61739932">
      <w:pPr>
        <w:rPr>
          <w:rFonts w:ascii="宋体" w:hAnsi="宋体" w:cs="宋体"/>
          <w:b/>
          <w:color w:val="auto"/>
          <w:sz w:val="28"/>
          <w:szCs w:val="28"/>
          <w:highlight w:val="none"/>
        </w:rPr>
      </w:pPr>
    </w:p>
    <w:p w14:paraId="06196B2E">
      <w:pPr>
        <w:rPr>
          <w:rFonts w:ascii="宋体" w:hAnsi="宋体" w:cs="宋体"/>
          <w:b/>
          <w:color w:val="auto"/>
          <w:sz w:val="28"/>
          <w:szCs w:val="28"/>
          <w:highlight w:val="none"/>
        </w:rPr>
      </w:pPr>
    </w:p>
    <w:p w14:paraId="6A56D727">
      <w:pPr>
        <w:rPr>
          <w:rFonts w:ascii="宋体" w:hAnsi="宋体" w:cs="宋体"/>
          <w:b/>
          <w:color w:val="auto"/>
          <w:sz w:val="28"/>
          <w:szCs w:val="28"/>
          <w:highlight w:val="none"/>
        </w:rPr>
      </w:pPr>
    </w:p>
    <w:p w14:paraId="0C94548D">
      <w:pPr>
        <w:pStyle w:val="41"/>
        <w:rPr>
          <w:color w:val="auto"/>
          <w:highlight w:val="none"/>
        </w:rPr>
      </w:pPr>
    </w:p>
    <w:p w14:paraId="766FE87E">
      <w:pPr>
        <w:spacing w:line="380" w:lineRule="exact"/>
        <w:jc w:val="center"/>
        <w:rPr>
          <w:rFonts w:ascii="宋体" w:hAnsi="宋体" w:cs="宋体"/>
          <w:b/>
          <w:color w:val="auto"/>
          <w:sz w:val="28"/>
          <w:szCs w:val="28"/>
          <w:highlight w:val="none"/>
        </w:rPr>
      </w:pPr>
    </w:p>
    <w:p w14:paraId="34349F31">
      <w:pPr>
        <w:spacing w:line="380" w:lineRule="exact"/>
        <w:jc w:val="left"/>
        <w:rPr>
          <w:rFonts w:ascii="宋体" w:hAnsi="宋体" w:cs="宋体"/>
          <w:color w:val="auto"/>
          <w:sz w:val="24"/>
          <w:highlight w:val="none"/>
        </w:rPr>
      </w:pPr>
    </w:p>
    <w:p w14:paraId="5FCB8C75">
      <w:pPr>
        <w:spacing w:line="380" w:lineRule="exact"/>
        <w:jc w:val="left"/>
        <w:rPr>
          <w:rFonts w:hint="eastAsia" w:ascii="宋体" w:hAnsi="宋体" w:cs="宋体"/>
          <w:color w:val="auto"/>
          <w:sz w:val="24"/>
          <w:highlight w:val="none"/>
        </w:rPr>
      </w:pPr>
    </w:p>
    <w:p w14:paraId="4CD94E8B">
      <w:pPr>
        <w:spacing w:line="380" w:lineRule="exact"/>
        <w:jc w:val="left"/>
        <w:rPr>
          <w:rFonts w:ascii="宋体" w:hAnsi="宋体" w:cs="宋体"/>
          <w:color w:val="auto"/>
          <w:sz w:val="32"/>
          <w:highlight w:val="none"/>
        </w:rPr>
      </w:pPr>
      <w:r>
        <w:rPr>
          <w:rFonts w:hint="eastAsia" w:ascii="宋体" w:hAnsi="宋体" w:cs="宋体"/>
          <w:color w:val="auto"/>
          <w:sz w:val="24"/>
          <w:highlight w:val="none"/>
        </w:rPr>
        <w:t>附件</w:t>
      </w:r>
      <w:r>
        <w:rPr>
          <w:rFonts w:hint="eastAsia" w:ascii="宋体" w:hAnsi="宋体" w:cs="宋体"/>
          <w:color w:val="auto"/>
          <w:sz w:val="24"/>
          <w:highlight w:val="none"/>
          <w:lang w:val="en-US" w:eastAsia="zh-CN"/>
        </w:rPr>
        <w:t>4</w:t>
      </w:r>
      <w:r>
        <w:rPr>
          <w:rFonts w:hint="eastAsia" w:ascii="宋体" w:hAnsi="宋体" w:cs="宋体"/>
          <w:color w:val="auto"/>
          <w:sz w:val="24"/>
          <w:highlight w:val="none"/>
        </w:rPr>
        <w:t>-</w:t>
      </w:r>
      <w:r>
        <w:rPr>
          <w:rFonts w:hint="eastAsia" w:ascii="宋体" w:hAnsi="宋体" w:cs="宋体"/>
          <w:color w:val="auto"/>
          <w:sz w:val="24"/>
          <w:highlight w:val="none"/>
          <w:lang w:val="en-US" w:eastAsia="zh-CN"/>
        </w:rPr>
        <w:t>5</w:t>
      </w:r>
      <w:r>
        <w:rPr>
          <w:rFonts w:hint="eastAsia" w:ascii="宋体" w:hAnsi="宋体" w:cs="宋体"/>
          <w:b/>
          <w:color w:val="auto"/>
          <w:sz w:val="28"/>
          <w:szCs w:val="28"/>
          <w:highlight w:val="none"/>
        </w:rPr>
        <w:t xml:space="preserve">              单位负责人授权书</w:t>
      </w:r>
    </w:p>
    <w:p w14:paraId="15379350">
      <w:pPr>
        <w:spacing w:line="400" w:lineRule="exact"/>
        <w:rPr>
          <w:rFonts w:ascii="宋体" w:hAnsi="宋体" w:cs="宋体"/>
          <w:color w:val="auto"/>
          <w:sz w:val="24"/>
          <w:highlight w:val="none"/>
        </w:rPr>
      </w:pPr>
    </w:p>
    <w:p w14:paraId="5B20B490">
      <w:pPr>
        <w:spacing w:line="400" w:lineRule="exact"/>
        <w:rPr>
          <w:rFonts w:ascii="宋体" w:hAnsi="宋体" w:cs="宋体"/>
          <w:color w:val="auto"/>
          <w:sz w:val="24"/>
          <w:highlight w:val="none"/>
        </w:rPr>
      </w:pPr>
      <w:r>
        <w:rPr>
          <w:rFonts w:hint="eastAsia" w:ascii="宋体" w:hAnsi="宋体" w:cs="宋体"/>
          <w:color w:val="auto"/>
          <w:sz w:val="24"/>
          <w:highlight w:val="none"/>
        </w:rPr>
        <w:t>致：</w:t>
      </w:r>
      <w:r>
        <w:rPr>
          <w:rFonts w:hint="eastAsia" w:ascii="宋体" w:hAnsi="宋体" w:cs="宋体"/>
          <w:color w:val="auto"/>
          <w:szCs w:val="21"/>
          <w:highlight w:val="none"/>
        </w:rPr>
        <w:t>厦门湖里国投物业服务有限公司</w:t>
      </w:r>
    </w:p>
    <w:p w14:paraId="42221C89">
      <w:pPr>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我方的单位负责人</w:t>
      </w:r>
      <w:r>
        <w:rPr>
          <w:rFonts w:hint="eastAsia" w:ascii="宋体" w:hAnsi="宋体" w:cs="宋体"/>
          <w:color w:val="auto"/>
          <w:sz w:val="24"/>
          <w:highlight w:val="none"/>
          <w:u w:val="single"/>
        </w:rPr>
        <w:t>（填写“单位负责人全名”）</w:t>
      </w:r>
      <w:r>
        <w:rPr>
          <w:rFonts w:hint="eastAsia" w:ascii="宋体" w:hAnsi="宋体" w:cs="宋体"/>
          <w:color w:val="auto"/>
          <w:sz w:val="24"/>
          <w:highlight w:val="none"/>
        </w:rPr>
        <w:t>授权</w:t>
      </w:r>
      <w:r>
        <w:rPr>
          <w:rFonts w:hint="eastAsia" w:ascii="宋体" w:hAnsi="宋体" w:cs="宋体"/>
          <w:color w:val="auto"/>
          <w:sz w:val="24"/>
          <w:highlight w:val="none"/>
          <w:u w:val="single"/>
        </w:rPr>
        <w:t>（填写“供应商代表全名”）</w:t>
      </w:r>
      <w:r>
        <w:rPr>
          <w:rFonts w:hint="eastAsia" w:ascii="宋体" w:hAnsi="宋体" w:cs="宋体"/>
          <w:color w:val="auto"/>
          <w:sz w:val="24"/>
          <w:highlight w:val="none"/>
        </w:rPr>
        <w:t>为我方的供应商代表，代表我方参加</w:t>
      </w:r>
      <w:r>
        <w:rPr>
          <w:rFonts w:hint="eastAsia" w:ascii="宋体" w:hAnsi="宋体" w:cs="宋体"/>
          <w:color w:val="auto"/>
          <w:sz w:val="24"/>
          <w:highlight w:val="none"/>
          <w:u w:val="single"/>
          <w:lang w:eastAsia="zh-CN"/>
        </w:rPr>
        <w:t>源昌国际城维序服务</w:t>
      </w:r>
      <w:r>
        <w:rPr>
          <w:rFonts w:hint="eastAsia" w:ascii="宋体" w:hAnsi="宋体" w:cs="宋体"/>
          <w:color w:val="auto"/>
          <w:sz w:val="24"/>
          <w:highlight w:val="none"/>
          <w:u w:val="single"/>
        </w:rPr>
        <w:t>（填写“项目名称”）</w:t>
      </w:r>
      <w:r>
        <w:rPr>
          <w:rFonts w:hint="eastAsia" w:ascii="宋体" w:hAnsi="宋体" w:cs="宋体"/>
          <w:color w:val="auto"/>
          <w:sz w:val="24"/>
          <w:highlight w:val="none"/>
        </w:rPr>
        <w:t>项目的响应询价，全权代表我方处理响应询价过程的一切事宜，包括但不限于：递交响应文件、参与询价、澄清、签约等工作。供应商代表在响应询价过程中所签署的一切文件和处理与之有关的一切事务，我方均予以认可并对此承担责任。</w:t>
      </w:r>
    </w:p>
    <w:p w14:paraId="657CC6A9">
      <w:pPr>
        <w:spacing w:line="400" w:lineRule="exact"/>
        <w:rPr>
          <w:rFonts w:ascii="宋体" w:hAnsi="宋体" w:cs="宋体"/>
          <w:color w:val="auto"/>
          <w:sz w:val="24"/>
          <w:highlight w:val="none"/>
        </w:rPr>
      </w:pPr>
      <w:r>
        <w:rPr>
          <w:rFonts w:hint="eastAsia" w:ascii="宋体" w:hAnsi="宋体" w:cs="宋体"/>
          <w:color w:val="auto"/>
          <w:sz w:val="24"/>
          <w:highlight w:val="none"/>
        </w:rPr>
        <w:t xml:space="preserve">    供应商代表无转委权。特此授权。</w:t>
      </w:r>
    </w:p>
    <w:p w14:paraId="3B7B0531">
      <w:pPr>
        <w:spacing w:line="400" w:lineRule="exact"/>
        <w:jc w:val="center"/>
        <w:rPr>
          <w:rFonts w:ascii="宋体" w:hAnsi="宋体" w:cs="宋体"/>
          <w:color w:val="auto"/>
          <w:sz w:val="24"/>
          <w:highlight w:val="none"/>
        </w:rPr>
      </w:pPr>
      <w:r>
        <w:rPr>
          <w:rFonts w:hint="eastAsia" w:ascii="宋体" w:hAnsi="宋体" w:cs="宋体"/>
          <w:color w:val="auto"/>
          <w:sz w:val="24"/>
          <w:highlight w:val="none"/>
        </w:rPr>
        <w:t>（以下无正文）</w:t>
      </w:r>
    </w:p>
    <w:p w14:paraId="421DCA9F">
      <w:pPr>
        <w:spacing w:line="400" w:lineRule="exact"/>
        <w:rPr>
          <w:rFonts w:ascii="宋体" w:hAnsi="宋体" w:cs="宋体"/>
          <w:color w:val="auto"/>
          <w:sz w:val="24"/>
          <w:highlight w:val="none"/>
        </w:rPr>
      </w:pPr>
      <w:r>
        <w:rPr>
          <w:rFonts w:hint="eastAsia" w:ascii="宋体" w:hAnsi="宋体" w:cs="宋体"/>
          <w:color w:val="auto"/>
          <w:sz w:val="24"/>
          <w:highlight w:val="none"/>
        </w:rPr>
        <w:t>单位负责人：身份证号：手机：</w:t>
      </w:r>
    </w:p>
    <w:p w14:paraId="674AFE66">
      <w:pPr>
        <w:spacing w:line="400" w:lineRule="exact"/>
        <w:rPr>
          <w:rFonts w:ascii="宋体" w:hAnsi="宋体" w:cs="宋体"/>
          <w:color w:val="auto"/>
          <w:sz w:val="24"/>
          <w:highlight w:val="none"/>
        </w:rPr>
      </w:pPr>
      <w:r>
        <w:rPr>
          <w:rFonts w:hint="eastAsia" w:ascii="宋体" w:hAnsi="宋体" w:cs="宋体"/>
          <w:color w:val="auto"/>
          <w:sz w:val="24"/>
          <w:highlight w:val="none"/>
        </w:rPr>
        <w:t xml:space="preserve">供应商代表：身份证号：手机： </w:t>
      </w:r>
    </w:p>
    <w:p w14:paraId="4B24C9FF">
      <w:pPr>
        <w:spacing w:line="400" w:lineRule="exact"/>
        <w:rPr>
          <w:rFonts w:ascii="宋体" w:hAnsi="宋体" w:cs="宋体"/>
          <w:color w:val="auto"/>
          <w:sz w:val="24"/>
          <w:highlight w:val="none"/>
        </w:rPr>
      </w:pPr>
    </w:p>
    <w:p w14:paraId="65B5C866">
      <w:pPr>
        <w:spacing w:line="400" w:lineRule="exact"/>
        <w:rPr>
          <w:rFonts w:ascii="宋体" w:hAnsi="宋体" w:cs="宋体"/>
          <w:color w:val="auto"/>
          <w:sz w:val="24"/>
          <w:highlight w:val="none"/>
        </w:rPr>
      </w:pPr>
      <w:r>
        <w:rPr>
          <w:rFonts w:hint="eastAsia" w:ascii="宋体" w:hAnsi="宋体" w:cs="宋体"/>
          <w:color w:val="auto"/>
          <w:sz w:val="24"/>
          <w:highlight w:val="none"/>
        </w:rPr>
        <w:t>授权方</w:t>
      </w:r>
    </w:p>
    <w:p w14:paraId="0402E728">
      <w:pPr>
        <w:spacing w:line="400" w:lineRule="exact"/>
        <w:rPr>
          <w:rFonts w:ascii="宋体" w:hAnsi="宋体" w:cs="宋体"/>
          <w:color w:val="auto"/>
          <w:sz w:val="24"/>
          <w:highlight w:val="none"/>
        </w:rPr>
      </w:pPr>
      <w:r>
        <w:rPr>
          <w:rFonts w:hint="eastAsia" w:ascii="宋体" w:hAnsi="宋体" w:cs="宋体"/>
          <w:color w:val="auto"/>
          <w:sz w:val="24"/>
          <w:highlight w:val="none"/>
        </w:rPr>
        <w:t>供应商：</w:t>
      </w:r>
      <w:r>
        <w:rPr>
          <w:rFonts w:hint="eastAsia" w:ascii="宋体" w:hAnsi="宋体" w:cs="宋体"/>
          <w:color w:val="auto"/>
          <w:sz w:val="24"/>
          <w:highlight w:val="none"/>
          <w:u w:val="single"/>
        </w:rPr>
        <w:t>（全称并加盖单位公章）</w:t>
      </w:r>
    </w:p>
    <w:p w14:paraId="19545BC8">
      <w:pPr>
        <w:spacing w:line="400" w:lineRule="exact"/>
        <w:rPr>
          <w:rFonts w:ascii="宋体" w:hAnsi="宋体" w:cs="宋体"/>
          <w:color w:val="auto"/>
          <w:sz w:val="24"/>
          <w:highlight w:val="none"/>
        </w:rPr>
      </w:pPr>
      <w:r>
        <w:rPr>
          <w:rFonts w:hint="eastAsia" w:ascii="宋体" w:hAnsi="宋体" w:cs="宋体"/>
          <w:color w:val="auto"/>
          <w:sz w:val="24"/>
          <w:highlight w:val="none"/>
        </w:rPr>
        <w:t>单位负责人签字或盖章：</w:t>
      </w:r>
    </w:p>
    <w:p w14:paraId="30B8976E">
      <w:pPr>
        <w:spacing w:line="400" w:lineRule="exact"/>
        <w:rPr>
          <w:rFonts w:ascii="宋体" w:hAnsi="宋体" w:cs="宋体"/>
          <w:color w:val="auto"/>
          <w:sz w:val="24"/>
          <w:highlight w:val="none"/>
        </w:rPr>
      </w:pPr>
    </w:p>
    <w:p w14:paraId="382630C3">
      <w:pPr>
        <w:spacing w:line="400" w:lineRule="exact"/>
        <w:rPr>
          <w:rFonts w:ascii="宋体" w:hAnsi="宋体" w:cs="宋体"/>
          <w:color w:val="auto"/>
          <w:sz w:val="24"/>
          <w:highlight w:val="none"/>
        </w:rPr>
      </w:pPr>
      <w:r>
        <w:rPr>
          <w:rFonts w:hint="eastAsia" w:ascii="宋体" w:hAnsi="宋体" w:cs="宋体"/>
          <w:color w:val="auto"/>
          <w:sz w:val="24"/>
          <w:highlight w:val="none"/>
        </w:rPr>
        <w:t>接受授权方</w:t>
      </w:r>
    </w:p>
    <w:p w14:paraId="786F8F92">
      <w:pPr>
        <w:spacing w:line="400" w:lineRule="exact"/>
        <w:rPr>
          <w:rFonts w:ascii="宋体" w:hAnsi="宋体" w:cs="宋体"/>
          <w:color w:val="auto"/>
          <w:sz w:val="24"/>
          <w:highlight w:val="none"/>
        </w:rPr>
      </w:pPr>
      <w:r>
        <w:rPr>
          <w:rFonts w:hint="eastAsia" w:ascii="宋体" w:hAnsi="宋体" w:cs="宋体"/>
          <w:color w:val="auto"/>
          <w:sz w:val="24"/>
          <w:highlight w:val="none"/>
        </w:rPr>
        <w:t>供应商代表签字：</w:t>
      </w:r>
    </w:p>
    <w:p w14:paraId="50990688">
      <w:pPr>
        <w:spacing w:line="400" w:lineRule="exact"/>
        <w:rPr>
          <w:rFonts w:ascii="宋体" w:hAnsi="宋体" w:cs="宋体"/>
          <w:color w:val="auto"/>
          <w:sz w:val="24"/>
          <w:highlight w:val="none"/>
        </w:rPr>
      </w:pPr>
      <w:r>
        <w:rPr>
          <w:rFonts w:hint="eastAsia" w:ascii="宋体" w:hAnsi="宋体" w:cs="宋体"/>
          <w:color w:val="auto"/>
          <w:sz w:val="24"/>
          <w:highlight w:val="none"/>
        </w:rPr>
        <w:t>签署日期：年月日</w:t>
      </w:r>
    </w:p>
    <w:p w14:paraId="75B66BBF">
      <w:pPr>
        <w:spacing w:line="400" w:lineRule="exact"/>
        <w:rPr>
          <w:rFonts w:ascii="宋体" w:hAnsi="宋体" w:cs="宋体"/>
          <w:color w:val="auto"/>
          <w:sz w:val="24"/>
          <w:highlight w:val="none"/>
        </w:rPr>
      </w:pPr>
    </w:p>
    <w:p w14:paraId="5B0D4969">
      <w:pPr>
        <w:spacing w:line="400" w:lineRule="exact"/>
        <w:rPr>
          <w:rFonts w:ascii="宋体" w:hAnsi="宋体" w:cs="宋体"/>
          <w:color w:val="auto"/>
          <w:sz w:val="24"/>
          <w:highlight w:val="none"/>
        </w:rPr>
      </w:pPr>
      <w:r>
        <w:rPr>
          <w:rFonts w:hint="eastAsia" w:ascii="宋体" w:hAnsi="宋体" w:cs="宋体"/>
          <w:color w:val="auto"/>
          <w:sz w:val="24"/>
          <w:highlight w:val="none"/>
        </w:rPr>
        <w:t>附：单位负责人、供应商代表的身份证正反面复印件</w:t>
      </w:r>
    </w:p>
    <w:tbl>
      <w:tblPr>
        <w:tblStyle w:val="42"/>
        <w:tblW w:w="8522" w:type="dxa"/>
        <w:tblInd w:w="10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8522"/>
      </w:tblGrid>
      <w:tr w14:paraId="3A041E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75" w:hRule="atLeast"/>
        </w:trPr>
        <w:tc>
          <w:tcPr>
            <w:tcW w:w="852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050E47FF">
            <w:pPr>
              <w:spacing w:line="400" w:lineRule="exact"/>
              <w:jc w:val="center"/>
              <w:rPr>
                <w:rFonts w:ascii="宋体" w:hAnsi="宋体" w:cs="宋体"/>
                <w:b/>
                <w:color w:val="auto"/>
                <w:sz w:val="24"/>
                <w:highlight w:val="none"/>
              </w:rPr>
            </w:pPr>
          </w:p>
          <w:p w14:paraId="7DA1D8C6">
            <w:pPr>
              <w:spacing w:line="400" w:lineRule="exact"/>
              <w:jc w:val="center"/>
              <w:rPr>
                <w:rFonts w:ascii="宋体" w:hAnsi="宋体" w:cs="宋体"/>
                <w:b/>
                <w:color w:val="auto"/>
                <w:sz w:val="24"/>
                <w:highlight w:val="none"/>
              </w:rPr>
            </w:pPr>
            <w:r>
              <w:rPr>
                <w:rFonts w:hint="eastAsia" w:ascii="宋体" w:hAnsi="宋体" w:cs="宋体"/>
                <w:b/>
                <w:color w:val="auto"/>
                <w:sz w:val="24"/>
                <w:highlight w:val="none"/>
              </w:rPr>
              <w:t>要求：真实、有效、清晰</w:t>
            </w:r>
          </w:p>
          <w:p w14:paraId="6C28CE7D">
            <w:pPr>
              <w:spacing w:line="400" w:lineRule="exact"/>
              <w:jc w:val="center"/>
              <w:rPr>
                <w:rFonts w:ascii="宋体" w:hAnsi="宋体" w:cs="宋体"/>
                <w:b/>
                <w:color w:val="auto"/>
                <w:sz w:val="24"/>
                <w:highlight w:val="none"/>
              </w:rPr>
            </w:pPr>
          </w:p>
        </w:tc>
      </w:tr>
    </w:tbl>
    <w:p w14:paraId="0B220B2E">
      <w:pPr>
        <w:spacing w:line="280" w:lineRule="exact"/>
        <w:rPr>
          <w:rFonts w:ascii="宋体" w:hAnsi="宋体" w:cs="宋体"/>
          <w:color w:val="auto"/>
          <w:szCs w:val="21"/>
          <w:highlight w:val="none"/>
        </w:rPr>
      </w:pPr>
      <w:r>
        <w:rPr>
          <w:rFonts w:hint="eastAsia" w:ascii="宋体" w:hAnsi="宋体" w:cs="宋体"/>
          <w:color w:val="auto"/>
          <w:szCs w:val="21"/>
          <w:highlight w:val="none"/>
        </w:rPr>
        <w:t>★注意：</w:t>
      </w:r>
    </w:p>
    <w:p w14:paraId="20D62504">
      <w:pPr>
        <w:spacing w:line="280" w:lineRule="exact"/>
        <w:rPr>
          <w:rFonts w:ascii="宋体" w:hAnsi="宋体" w:cs="宋体"/>
          <w:color w:val="auto"/>
          <w:szCs w:val="21"/>
          <w:highlight w:val="none"/>
        </w:rPr>
      </w:pPr>
      <w:r>
        <w:rPr>
          <w:rFonts w:hint="eastAsia" w:ascii="宋体" w:hAnsi="宋体" w:cs="宋体"/>
          <w:color w:val="auto"/>
          <w:szCs w:val="21"/>
          <w:highlight w:val="none"/>
        </w:rPr>
        <w:t>1、企业（银行、保险、石油石化、电力、电信等行业除外）、事业单位和社会团体法人的“单位负责人”指</w:t>
      </w:r>
      <w:r>
        <w:rPr>
          <w:rFonts w:hint="eastAsia" w:ascii="宋体" w:hAnsi="宋体" w:cs="宋体"/>
          <w:b/>
          <w:color w:val="auto"/>
          <w:szCs w:val="21"/>
          <w:highlight w:val="none"/>
        </w:rPr>
        <w:t>法定代表人，</w:t>
      </w:r>
      <w:r>
        <w:rPr>
          <w:rFonts w:hint="eastAsia" w:ascii="宋体" w:hAnsi="宋体" w:cs="宋体"/>
          <w:color w:val="auto"/>
          <w:szCs w:val="21"/>
          <w:highlight w:val="none"/>
        </w:rPr>
        <w:t>即</w:t>
      </w:r>
      <w:r>
        <w:rPr>
          <w:rFonts w:hint="eastAsia" w:ascii="宋体" w:hAnsi="宋体" w:cs="宋体"/>
          <w:b/>
          <w:color w:val="auto"/>
          <w:szCs w:val="21"/>
          <w:highlight w:val="none"/>
        </w:rPr>
        <w:t>与实际提交的“营业执照等证明文件”载明的一致</w:t>
      </w:r>
      <w:r>
        <w:rPr>
          <w:rFonts w:hint="eastAsia" w:ascii="宋体" w:hAnsi="宋体" w:cs="宋体"/>
          <w:color w:val="auto"/>
          <w:szCs w:val="21"/>
          <w:highlight w:val="none"/>
        </w:rPr>
        <w:t>。</w:t>
      </w:r>
    </w:p>
    <w:p w14:paraId="45D17F52">
      <w:pPr>
        <w:spacing w:line="280" w:lineRule="exact"/>
        <w:rPr>
          <w:rFonts w:ascii="宋体" w:hAnsi="宋体" w:cs="宋体"/>
          <w:color w:val="auto"/>
          <w:szCs w:val="21"/>
          <w:highlight w:val="none"/>
        </w:rPr>
      </w:pPr>
      <w:r>
        <w:rPr>
          <w:rFonts w:hint="eastAsia" w:ascii="宋体" w:hAnsi="宋体" w:cs="宋体"/>
          <w:color w:val="auto"/>
          <w:szCs w:val="21"/>
          <w:highlight w:val="none"/>
        </w:rPr>
        <w:t>2、银行、保险、石油石化、电力、电信等行业：以法人身份参加的，“单位负责人”指</w:t>
      </w:r>
      <w:r>
        <w:rPr>
          <w:rFonts w:hint="eastAsia" w:ascii="宋体" w:hAnsi="宋体" w:cs="宋体"/>
          <w:b/>
          <w:color w:val="auto"/>
          <w:szCs w:val="21"/>
          <w:highlight w:val="none"/>
        </w:rPr>
        <w:t>法定代表人，</w:t>
      </w:r>
      <w:r>
        <w:rPr>
          <w:rFonts w:hint="eastAsia" w:ascii="宋体" w:hAnsi="宋体" w:cs="宋体"/>
          <w:color w:val="auto"/>
          <w:szCs w:val="21"/>
          <w:highlight w:val="none"/>
        </w:rPr>
        <w:t>即</w:t>
      </w:r>
      <w:r>
        <w:rPr>
          <w:rFonts w:hint="eastAsia" w:ascii="宋体" w:hAnsi="宋体" w:cs="宋体"/>
          <w:b/>
          <w:color w:val="auto"/>
          <w:szCs w:val="21"/>
          <w:highlight w:val="none"/>
        </w:rPr>
        <w:t>与实际提交的“营业执照等证明文件”载明的一致</w:t>
      </w:r>
      <w:r>
        <w:rPr>
          <w:rFonts w:hint="eastAsia" w:ascii="宋体" w:hAnsi="宋体" w:cs="宋体"/>
          <w:color w:val="auto"/>
          <w:szCs w:val="21"/>
          <w:highlight w:val="none"/>
        </w:rPr>
        <w:t>；以非法人身份参加的，“单位负责人”指</w:t>
      </w:r>
      <w:r>
        <w:rPr>
          <w:rFonts w:hint="eastAsia" w:ascii="宋体" w:hAnsi="宋体" w:cs="宋体"/>
          <w:b/>
          <w:color w:val="auto"/>
          <w:szCs w:val="21"/>
          <w:highlight w:val="none"/>
        </w:rPr>
        <w:t>代表单位行使职权的主要负责人，</w:t>
      </w:r>
      <w:r>
        <w:rPr>
          <w:rFonts w:hint="eastAsia" w:ascii="宋体" w:hAnsi="宋体" w:cs="宋体"/>
          <w:color w:val="auto"/>
          <w:szCs w:val="21"/>
          <w:highlight w:val="none"/>
        </w:rPr>
        <w:t>即</w:t>
      </w:r>
      <w:r>
        <w:rPr>
          <w:rFonts w:hint="eastAsia" w:ascii="宋体" w:hAnsi="宋体" w:cs="宋体"/>
          <w:b/>
          <w:color w:val="auto"/>
          <w:szCs w:val="21"/>
          <w:highlight w:val="none"/>
        </w:rPr>
        <w:t>与实际提交的“营业执照等证明文件”载明的一致</w:t>
      </w:r>
      <w:r>
        <w:rPr>
          <w:rFonts w:hint="eastAsia" w:ascii="宋体" w:hAnsi="宋体" w:cs="宋体"/>
          <w:color w:val="auto"/>
          <w:szCs w:val="21"/>
          <w:highlight w:val="none"/>
        </w:rPr>
        <w:t>。</w:t>
      </w:r>
    </w:p>
    <w:p w14:paraId="41D330BD">
      <w:pPr>
        <w:spacing w:line="280" w:lineRule="exact"/>
        <w:rPr>
          <w:rFonts w:ascii="宋体" w:hAnsi="宋体" w:cs="宋体"/>
          <w:color w:val="auto"/>
          <w:szCs w:val="21"/>
          <w:highlight w:val="none"/>
        </w:rPr>
      </w:pPr>
      <w:r>
        <w:rPr>
          <w:rFonts w:hint="eastAsia" w:ascii="宋体" w:hAnsi="宋体" w:cs="宋体"/>
          <w:color w:val="auto"/>
          <w:szCs w:val="21"/>
          <w:highlight w:val="none"/>
        </w:rPr>
        <w:t>3、负责响应文件签字的供应商代表如果不是上述规定的单位负责人，则供应商应当在响应文件中提供本授权书，</w:t>
      </w:r>
      <w:r>
        <w:rPr>
          <w:rFonts w:hint="eastAsia" w:ascii="宋体" w:hAnsi="宋体" w:cs="宋体"/>
          <w:b/>
          <w:bCs/>
          <w:color w:val="auto"/>
          <w:szCs w:val="21"/>
          <w:highlight w:val="none"/>
        </w:rPr>
        <w:t>纸质响应文件正本中的本授权书应为原件。</w:t>
      </w:r>
      <w:r>
        <w:rPr>
          <w:rFonts w:hint="eastAsia" w:ascii="宋体" w:hAnsi="宋体" w:cs="宋体"/>
          <w:color w:val="auto"/>
          <w:szCs w:val="21"/>
          <w:highlight w:val="none"/>
        </w:rPr>
        <w:t>供应商为自然人的，可不填写本授权书，但应当提供其身份证正反面复印件。</w:t>
      </w:r>
    </w:p>
    <w:p w14:paraId="0F815FFC">
      <w:pPr>
        <w:pStyle w:val="23"/>
        <w:ind w:firstLine="0" w:firstLineChars="0"/>
        <w:rPr>
          <w:rFonts w:ascii="宋体" w:hAnsi="宋体" w:cs="宋体"/>
          <w:color w:val="auto"/>
          <w:sz w:val="21"/>
          <w:szCs w:val="21"/>
          <w:highlight w:val="none"/>
        </w:rPr>
      </w:pPr>
    </w:p>
    <w:p w14:paraId="0781BF61">
      <w:pPr>
        <w:pStyle w:val="23"/>
        <w:ind w:firstLine="0" w:firstLineChars="0"/>
        <w:rPr>
          <w:rFonts w:ascii="宋体" w:hAnsi="宋体" w:cs="宋体"/>
          <w:color w:val="auto"/>
          <w:sz w:val="21"/>
          <w:szCs w:val="21"/>
          <w:highlight w:val="none"/>
        </w:rPr>
      </w:pPr>
    </w:p>
    <w:p w14:paraId="32CDEA5A">
      <w:pPr>
        <w:spacing w:line="440" w:lineRule="exact"/>
        <w:jc w:val="left"/>
        <w:rPr>
          <w:rFonts w:hint="eastAsia" w:ascii="宋体" w:hAnsi="宋体" w:cs="宋体"/>
          <w:color w:val="auto"/>
          <w:sz w:val="24"/>
          <w:highlight w:val="none"/>
        </w:rPr>
      </w:pPr>
    </w:p>
    <w:p w14:paraId="53C5F18C">
      <w:pPr>
        <w:spacing w:line="440" w:lineRule="exact"/>
        <w:jc w:val="left"/>
        <w:rPr>
          <w:rFonts w:ascii="宋体" w:hAnsi="宋体" w:cs="宋体"/>
          <w:color w:val="auto"/>
          <w:sz w:val="24"/>
          <w:highlight w:val="none"/>
        </w:rPr>
      </w:pPr>
      <w:r>
        <w:rPr>
          <w:rFonts w:hint="eastAsia" w:ascii="宋体" w:hAnsi="宋体" w:cs="宋体"/>
          <w:color w:val="auto"/>
          <w:sz w:val="24"/>
          <w:highlight w:val="none"/>
        </w:rPr>
        <w:t>附件</w:t>
      </w:r>
      <w:r>
        <w:rPr>
          <w:rFonts w:hint="eastAsia" w:ascii="宋体" w:hAnsi="宋体" w:cs="宋体"/>
          <w:color w:val="auto"/>
          <w:sz w:val="24"/>
          <w:highlight w:val="none"/>
          <w:lang w:val="en-US" w:eastAsia="zh-CN"/>
        </w:rPr>
        <w:t>4</w:t>
      </w:r>
      <w:r>
        <w:rPr>
          <w:rFonts w:hint="eastAsia" w:ascii="宋体" w:hAnsi="宋体" w:cs="宋体"/>
          <w:color w:val="auto"/>
          <w:sz w:val="24"/>
          <w:highlight w:val="none"/>
        </w:rPr>
        <w:t>-</w:t>
      </w:r>
      <w:r>
        <w:rPr>
          <w:rFonts w:hint="eastAsia" w:ascii="宋体" w:hAnsi="宋体" w:cs="宋体"/>
          <w:color w:val="auto"/>
          <w:sz w:val="24"/>
          <w:highlight w:val="none"/>
          <w:lang w:val="en-US" w:eastAsia="zh-CN"/>
        </w:rPr>
        <w:t xml:space="preserve">6              </w:t>
      </w:r>
      <w:r>
        <w:rPr>
          <w:rFonts w:hint="eastAsia" w:ascii="宋体" w:hAnsi="宋体" w:cs="宋体"/>
          <w:b/>
          <w:color w:val="auto"/>
          <w:sz w:val="32"/>
          <w:highlight w:val="none"/>
        </w:rPr>
        <w:t>财务状况报告</w:t>
      </w:r>
    </w:p>
    <w:p w14:paraId="0301C5D2">
      <w:pPr>
        <w:spacing w:line="440" w:lineRule="exact"/>
        <w:rPr>
          <w:rFonts w:ascii="宋体" w:hAnsi="宋体" w:cs="宋体"/>
          <w:color w:val="auto"/>
          <w:sz w:val="24"/>
          <w:highlight w:val="none"/>
        </w:rPr>
      </w:pPr>
      <w:r>
        <w:rPr>
          <w:rFonts w:hint="eastAsia" w:ascii="宋体" w:hAnsi="宋体" w:cs="宋体"/>
          <w:color w:val="auto"/>
          <w:sz w:val="24"/>
          <w:highlight w:val="none"/>
        </w:rPr>
        <w:t>致：</w:t>
      </w:r>
      <w:r>
        <w:rPr>
          <w:rFonts w:hint="eastAsia" w:ascii="宋体" w:hAnsi="宋体" w:cs="宋体"/>
          <w:color w:val="auto"/>
          <w:szCs w:val="21"/>
          <w:highlight w:val="none"/>
        </w:rPr>
        <w:t>厦门湖里国投物业服务有限公司</w:t>
      </w:r>
    </w:p>
    <w:p w14:paraId="1CEF76F8">
      <w:pPr>
        <w:spacing w:line="440" w:lineRule="exact"/>
        <w:ind w:firstLine="240" w:firstLineChars="100"/>
        <w:rPr>
          <w:rFonts w:ascii="宋体" w:hAnsi="宋体" w:cs="宋体"/>
          <w:color w:val="auto"/>
          <w:sz w:val="24"/>
          <w:highlight w:val="none"/>
        </w:rPr>
      </w:pPr>
      <w:r>
        <w:rPr>
          <w:rFonts w:hint="eastAsia" w:ascii="宋体" w:hAnsi="宋体" w:cs="宋体"/>
          <w:color w:val="auto"/>
          <w:sz w:val="24"/>
          <w:highlight w:val="none"/>
        </w:rPr>
        <w:t>（）供应商提供财务报告的</w:t>
      </w:r>
    </w:p>
    <w:p w14:paraId="696B9991">
      <w:pPr>
        <w:spacing w:line="44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企业适用：现附上我方（填写“具体的年度、或半年度、或季度”）财务报告复印件，包括资产负债表、利润表、现金流量表、所有者权益变动表及其附注（若有）、会计师事务所营业执照和注册会计师资格证书，上述证明材料真实有效，否则我方负全部责任。</w:t>
      </w:r>
    </w:p>
    <w:p w14:paraId="076BB56A">
      <w:pPr>
        <w:spacing w:line="44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事业单位适用：现附上我方（填写“具体的年度、或半年度、或季度”）财务报告复印件，包括资产负债表、收入支出表或收入费用表、财政补助收入支出表（若有）、会计师事务所营业执照和注册会计师资格证书，上述证明材料真实有效，否则我方负全部责任。</w:t>
      </w:r>
    </w:p>
    <w:p w14:paraId="11254E40">
      <w:pPr>
        <w:spacing w:line="44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社会团体、民办非企单位适用：现附上我方（填写“具体的年度、或半年度、或季度”）财务报告复印件，包括资产负债表、业务活动表、现金流量表、会计师事务所营业执照和注册会计师资格证书，上述证明材料真实有效，否则我方负全部责任。</w:t>
      </w:r>
    </w:p>
    <w:p w14:paraId="56D0CCD9">
      <w:pPr>
        <w:spacing w:line="440" w:lineRule="exact"/>
        <w:ind w:firstLine="240" w:firstLineChars="100"/>
        <w:rPr>
          <w:rFonts w:ascii="宋体" w:hAnsi="宋体" w:cs="宋体"/>
          <w:color w:val="auto"/>
          <w:sz w:val="24"/>
          <w:highlight w:val="none"/>
        </w:rPr>
      </w:pPr>
      <w:r>
        <w:rPr>
          <w:rFonts w:hint="eastAsia" w:ascii="宋体" w:hAnsi="宋体" w:cs="宋体"/>
          <w:color w:val="auto"/>
          <w:sz w:val="24"/>
          <w:highlight w:val="none"/>
        </w:rPr>
        <w:t>（）供应商提供资信证明的</w:t>
      </w:r>
    </w:p>
    <w:p w14:paraId="757E8B53">
      <w:pPr>
        <w:spacing w:line="44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□非自然人适用（包括企业、事业单位、社会团体和其他组织）：现附上我方银行：（填写“开户银行全称”）出具的资信证明复印件，上述证明材料真实有效，否则我方负全部责任。</w:t>
      </w:r>
    </w:p>
    <w:p w14:paraId="62CB0714">
      <w:pPr>
        <w:spacing w:line="44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□自然人适用（包括企业、事业单位、社会团体和其他组织）：现附上我方银行：（填写自然人的“个人账户的开户银行全称”）出具的资信证明复印件，上述证明材料真实有效，否则我方负全部责任。</w:t>
      </w:r>
    </w:p>
    <w:p w14:paraId="428EA587">
      <w:pPr>
        <w:spacing w:line="440" w:lineRule="exact"/>
        <w:ind w:firstLine="240" w:firstLineChars="100"/>
        <w:rPr>
          <w:rFonts w:ascii="宋体" w:hAnsi="宋体" w:cs="宋体"/>
          <w:color w:val="auto"/>
          <w:sz w:val="24"/>
          <w:highlight w:val="none"/>
        </w:rPr>
      </w:pPr>
      <w:r>
        <w:rPr>
          <w:rFonts w:hint="eastAsia" w:ascii="宋体" w:hAnsi="宋体" w:cs="宋体"/>
          <w:color w:val="auto"/>
          <w:sz w:val="24"/>
          <w:highlight w:val="none"/>
        </w:rPr>
        <w:t>（）供应商提供询价担保函的</w:t>
      </w:r>
    </w:p>
    <w:p w14:paraId="732E3AA2">
      <w:pPr>
        <w:spacing w:line="44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现附上由专业担保机构：（填写“担保机构全称”）出具的询价担保函复印件，上述证明材料真实有效，否则我方负全部责任。</w:t>
      </w:r>
    </w:p>
    <w:p w14:paraId="343338C7">
      <w:pPr>
        <w:spacing w:line="440" w:lineRule="exact"/>
        <w:rPr>
          <w:rFonts w:ascii="宋体" w:hAnsi="宋体" w:cs="宋体"/>
          <w:color w:val="auto"/>
          <w:sz w:val="24"/>
          <w:highlight w:val="none"/>
        </w:rPr>
      </w:pPr>
    </w:p>
    <w:p w14:paraId="41528F1B">
      <w:pPr>
        <w:spacing w:line="440" w:lineRule="exact"/>
        <w:rPr>
          <w:rFonts w:ascii="宋体" w:hAnsi="宋体" w:cs="宋体"/>
          <w:color w:val="auto"/>
          <w:sz w:val="24"/>
          <w:highlight w:val="none"/>
        </w:rPr>
      </w:pPr>
      <w:r>
        <w:rPr>
          <w:rFonts w:hint="eastAsia" w:ascii="宋体" w:hAnsi="宋体" w:cs="宋体"/>
          <w:color w:val="auto"/>
          <w:sz w:val="24"/>
          <w:highlight w:val="none"/>
        </w:rPr>
        <w:t>★注意：</w:t>
      </w:r>
    </w:p>
    <w:p w14:paraId="0CA2632E">
      <w:pPr>
        <w:spacing w:line="44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1、上文提供财务报告、资信证明、担保函共三大类型，请供应商按照自身实际情况编制填写，在其中相应的（）中打“√”并选择相应的“□”（若有）后，再按照本格式的要求提供相应证明材料的复印件即可。即供应商符合上述三大类型其中一种，并按要求提供相应证明资料即为满足。</w:t>
      </w:r>
    </w:p>
    <w:p w14:paraId="5613B4DB">
      <w:pPr>
        <w:spacing w:line="44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2、供应商提供的财务报告复印件（成立年限按照响应文件递交截止时间推算）应符合下列规定：</w:t>
      </w:r>
    </w:p>
    <w:p w14:paraId="33B91926">
      <w:pPr>
        <w:spacing w:line="44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2.1成立年限满1年及以上的供应商，提供经审计的上一年度的年度财务报告。</w:t>
      </w:r>
    </w:p>
    <w:p w14:paraId="5956087D">
      <w:pPr>
        <w:spacing w:line="44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2.2成立年限满半年但不足1年的供应商，提供该半年度中任一季度的季度财务报告或该半年度的半年度财务报告。</w:t>
      </w:r>
    </w:p>
    <w:p w14:paraId="52E487F0">
      <w:pPr>
        <w:spacing w:line="440" w:lineRule="exact"/>
        <w:rPr>
          <w:rFonts w:ascii="宋体" w:hAnsi="宋体" w:cs="宋体"/>
          <w:b/>
          <w:color w:val="auto"/>
          <w:sz w:val="24"/>
          <w:highlight w:val="none"/>
        </w:rPr>
      </w:pPr>
      <w:r>
        <w:rPr>
          <w:rFonts w:hint="eastAsia" w:ascii="宋体" w:hAnsi="宋体" w:cs="宋体"/>
          <w:b/>
          <w:color w:val="auto"/>
          <w:sz w:val="24"/>
          <w:highlight w:val="none"/>
        </w:rPr>
        <w:t>※无法按照本格式注意事项第2.1、2.2条规定提供财务报告复印件的供应商，应按照本格式注意事项的要求选择提供资信证明复印件或</w:t>
      </w:r>
      <w:r>
        <w:rPr>
          <w:rFonts w:hint="eastAsia" w:ascii="宋体" w:hAnsi="宋体" w:cs="宋体"/>
          <w:b/>
          <w:color w:val="auto"/>
          <w:sz w:val="24"/>
          <w:highlight w:val="none"/>
          <w:lang w:eastAsia="zh-CN"/>
        </w:rPr>
        <w:t>询价</w:t>
      </w:r>
      <w:r>
        <w:rPr>
          <w:rFonts w:hint="eastAsia" w:ascii="宋体" w:hAnsi="宋体" w:cs="宋体"/>
          <w:b/>
          <w:color w:val="auto"/>
          <w:sz w:val="24"/>
          <w:highlight w:val="none"/>
        </w:rPr>
        <w:t>担保函复印件，其中：非自然人的供应商选择提供资信证明的，还应附上其开户（基本户）许可证复印件。</w:t>
      </w:r>
    </w:p>
    <w:p w14:paraId="71593D4B">
      <w:pPr>
        <w:spacing w:line="44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3、</w:t>
      </w:r>
    </w:p>
    <w:p w14:paraId="1EBCB2D4">
      <w:pPr>
        <w:spacing w:line="440" w:lineRule="exact"/>
        <w:ind w:firstLine="480" w:firstLineChars="200"/>
        <w:rPr>
          <w:rFonts w:ascii="宋体" w:hAnsi="宋体" w:cs="宋体"/>
          <w:color w:val="auto"/>
          <w:sz w:val="24"/>
          <w:highlight w:val="none"/>
        </w:rPr>
      </w:pPr>
      <w:r>
        <w:rPr>
          <w:rFonts w:hint="eastAsia" w:ascii="宋体" w:hAnsi="宋体" w:cs="宋体"/>
          <w:color w:val="auto"/>
          <w:sz w:val="24"/>
          <w:highlight w:val="none"/>
          <w:lang w:val="en-US" w:eastAsia="zh-CN"/>
        </w:rPr>
        <w:t>3</w:t>
      </w:r>
      <w:r>
        <w:rPr>
          <w:rFonts w:hint="eastAsia" w:ascii="宋体" w:hAnsi="宋体" w:cs="宋体"/>
          <w:color w:val="auto"/>
          <w:sz w:val="24"/>
          <w:highlight w:val="none"/>
        </w:rPr>
        <w:t>、供应商提供的相应证明材料复印件均应符合：内容完整、清晰、整洁，并由供应商加盖其单位公章。</w:t>
      </w:r>
    </w:p>
    <w:p w14:paraId="420ED6D6">
      <w:pPr>
        <w:spacing w:line="440" w:lineRule="exact"/>
        <w:rPr>
          <w:rFonts w:ascii="宋体" w:hAnsi="宋体" w:cs="宋体"/>
          <w:color w:val="auto"/>
          <w:sz w:val="24"/>
          <w:highlight w:val="none"/>
        </w:rPr>
      </w:pPr>
    </w:p>
    <w:p w14:paraId="216A0131">
      <w:pPr>
        <w:spacing w:line="440" w:lineRule="exact"/>
        <w:rPr>
          <w:rFonts w:ascii="宋体" w:hAnsi="宋体" w:cs="宋体"/>
          <w:color w:val="auto"/>
          <w:sz w:val="24"/>
          <w:highlight w:val="none"/>
          <w:u w:val="single"/>
        </w:rPr>
      </w:pPr>
      <w:r>
        <w:rPr>
          <w:rFonts w:hint="eastAsia" w:ascii="宋体" w:hAnsi="宋体" w:cs="宋体"/>
          <w:color w:val="auto"/>
          <w:sz w:val="24"/>
          <w:highlight w:val="none"/>
        </w:rPr>
        <w:t>供应商代表：</w:t>
      </w:r>
      <w:r>
        <w:rPr>
          <w:rFonts w:hint="eastAsia" w:ascii="宋体" w:hAnsi="宋体" w:cs="宋体"/>
          <w:color w:val="auto"/>
          <w:sz w:val="24"/>
          <w:highlight w:val="none"/>
          <w:u w:val="single"/>
        </w:rPr>
        <w:t xml:space="preserve"> （签字）</w:t>
      </w:r>
    </w:p>
    <w:p w14:paraId="3D65EAD4">
      <w:pPr>
        <w:spacing w:line="440" w:lineRule="exact"/>
        <w:rPr>
          <w:rFonts w:ascii="宋体" w:hAnsi="宋体" w:cs="宋体"/>
          <w:color w:val="auto"/>
          <w:sz w:val="24"/>
          <w:highlight w:val="none"/>
          <w:u w:val="single"/>
        </w:rPr>
      </w:pPr>
      <w:r>
        <w:rPr>
          <w:rFonts w:hint="eastAsia" w:ascii="宋体" w:hAnsi="宋体" w:cs="宋体"/>
          <w:color w:val="auto"/>
          <w:sz w:val="24"/>
          <w:highlight w:val="none"/>
        </w:rPr>
        <w:t>供应商名称：</w:t>
      </w:r>
      <w:r>
        <w:rPr>
          <w:rFonts w:hint="eastAsia" w:ascii="宋体" w:hAnsi="宋体" w:cs="宋体"/>
          <w:color w:val="auto"/>
          <w:sz w:val="24"/>
          <w:highlight w:val="none"/>
          <w:u w:val="single"/>
        </w:rPr>
        <w:t xml:space="preserve">         （全称并加盖公章）              </w:t>
      </w:r>
    </w:p>
    <w:p w14:paraId="6F81B0FB">
      <w:pPr>
        <w:spacing w:line="440" w:lineRule="exact"/>
        <w:rPr>
          <w:rFonts w:ascii="宋体" w:hAnsi="宋体" w:cs="宋体"/>
          <w:color w:val="auto"/>
          <w:sz w:val="24"/>
          <w:highlight w:val="none"/>
        </w:rPr>
      </w:pPr>
      <w:r>
        <w:rPr>
          <w:rFonts w:hint="eastAsia" w:ascii="宋体" w:hAnsi="宋体" w:cs="宋体"/>
          <w:color w:val="auto"/>
          <w:sz w:val="24"/>
          <w:highlight w:val="none"/>
        </w:rPr>
        <w:t>日  期： 年 月 日</w:t>
      </w:r>
    </w:p>
    <w:p w14:paraId="0A4DD445">
      <w:pPr>
        <w:spacing w:line="440" w:lineRule="exact"/>
        <w:rPr>
          <w:rFonts w:ascii="宋体" w:hAnsi="宋体" w:cs="宋体"/>
          <w:color w:val="auto"/>
          <w:sz w:val="24"/>
          <w:highlight w:val="none"/>
        </w:rPr>
      </w:pPr>
    </w:p>
    <w:p w14:paraId="20C1227F">
      <w:pPr>
        <w:spacing w:line="420" w:lineRule="exact"/>
        <w:jc w:val="left"/>
        <w:rPr>
          <w:rFonts w:ascii="宋体" w:hAnsi="宋体" w:cs="宋体"/>
          <w:color w:val="auto"/>
          <w:sz w:val="24"/>
          <w:highlight w:val="none"/>
        </w:rPr>
      </w:pPr>
      <w:r>
        <w:rPr>
          <w:rFonts w:hint="eastAsia" w:ascii="宋体" w:hAnsi="宋体" w:cs="宋体"/>
          <w:color w:val="auto"/>
          <w:highlight w:val="none"/>
        </w:rPr>
        <w:br w:type="page"/>
      </w:r>
      <w:r>
        <w:rPr>
          <w:rFonts w:hint="eastAsia" w:ascii="宋体" w:hAnsi="宋体" w:cs="宋体"/>
          <w:color w:val="auto"/>
          <w:sz w:val="24"/>
          <w:highlight w:val="none"/>
        </w:rPr>
        <w:t>附件</w:t>
      </w:r>
      <w:r>
        <w:rPr>
          <w:rFonts w:hint="eastAsia" w:ascii="宋体" w:hAnsi="宋体" w:cs="宋体"/>
          <w:color w:val="auto"/>
          <w:sz w:val="24"/>
          <w:highlight w:val="none"/>
          <w:lang w:val="en-US" w:eastAsia="zh-CN"/>
        </w:rPr>
        <w:t>4</w:t>
      </w:r>
      <w:r>
        <w:rPr>
          <w:rFonts w:hint="eastAsia" w:ascii="宋体" w:hAnsi="宋体" w:cs="宋体"/>
          <w:color w:val="auto"/>
          <w:sz w:val="24"/>
          <w:highlight w:val="none"/>
        </w:rPr>
        <w:t>-</w:t>
      </w:r>
      <w:r>
        <w:rPr>
          <w:rFonts w:hint="eastAsia" w:ascii="宋体" w:hAnsi="宋体" w:cs="宋体"/>
          <w:color w:val="auto"/>
          <w:sz w:val="24"/>
          <w:highlight w:val="none"/>
          <w:lang w:val="en-US" w:eastAsia="zh-CN"/>
        </w:rPr>
        <w:t>7</w:t>
      </w:r>
      <w:r>
        <w:rPr>
          <w:rFonts w:hint="eastAsia" w:ascii="宋体" w:hAnsi="宋体" w:cs="宋体"/>
          <w:color w:val="auto"/>
          <w:sz w:val="24"/>
          <w:highlight w:val="none"/>
        </w:rPr>
        <w:t xml:space="preserve">              </w:t>
      </w:r>
      <w:r>
        <w:rPr>
          <w:rFonts w:hint="eastAsia" w:ascii="宋体" w:hAnsi="宋体" w:cs="宋体"/>
          <w:b/>
          <w:color w:val="auto"/>
          <w:sz w:val="32"/>
          <w:highlight w:val="none"/>
        </w:rPr>
        <w:t>依法缴纳税收证明材料</w:t>
      </w:r>
    </w:p>
    <w:p w14:paraId="1EAFF6E8">
      <w:pPr>
        <w:pStyle w:val="94"/>
        <w:spacing w:line="400" w:lineRule="exact"/>
        <w:ind w:firstLine="480"/>
        <w:rPr>
          <w:rFonts w:hint="default" w:ascii="宋体" w:hAnsi="宋体" w:eastAsia="宋体" w:cs="宋体"/>
          <w:color w:val="auto"/>
          <w:sz w:val="24"/>
          <w:szCs w:val="24"/>
          <w:highlight w:val="none"/>
        </w:rPr>
      </w:pPr>
      <w:r>
        <w:rPr>
          <w:rFonts w:ascii="宋体" w:hAnsi="宋体" w:eastAsia="宋体" w:cs="宋体"/>
          <w:color w:val="auto"/>
          <w:sz w:val="24"/>
          <w:szCs w:val="24"/>
          <w:highlight w:val="none"/>
        </w:rPr>
        <w:t>致：</w:t>
      </w:r>
      <w:r>
        <w:rPr>
          <w:rFonts w:hint="eastAsia" w:ascii="宋体" w:hAnsi="宋体" w:cs="宋体"/>
          <w:color w:val="auto"/>
          <w:szCs w:val="21"/>
          <w:highlight w:val="none"/>
        </w:rPr>
        <w:t>厦门湖里国投物业服务有限公司</w:t>
      </w:r>
    </w:p>
    <w:p w14:paraId="0FC5661B">
      <w:pPr>
        <w:pStyle w:val="94"/>
        <w:spacing w:line="400" w:lineRule="exact"/>
        <w:ind w:firstLine="480"/>
        <w:rPr>
          <w:rFonts w:hint="default" w:ascii="宋体" w:hAnsi="宋体" w:eastAsia="宋体" w:cs="宋体"/>
          <w:color w:val="auto"/>
          <w:sz w:val="24"/>
          <w:szCs w:val="24"/>
          <w:highlight w:val="none"/>
        </w:rPr>
      </w:pPr>
      <w:r>
        <w:rPr>
          <w:rFonts w:ascii="宋体" w:hAnsi="宋体" w:eastAsia="宋体" w:cs="宋体"/>
          <w:color w:val="auto"/>
          <w:sz w:val="24"/>
          <w:szCs w:val="24"/>
          <w:highlight w:val="none"/>
        </w:rPr>
        <w:t>1、依法缴纳税收的供应商</w:t>
      </w:r>
    </w:p>
    <w:p w14:paraId="371851CF">
      <w:pPr>
        <w:pStyle w:val="94"/>
        <w:spacing w:line="400" w:lineRule="exact"/>
        <w:ind w:firstLine="480"/>
        <w:rPr>
          <w:rFonts w:hint="default" w:ascii="宋体" w:hAnsi="宋体" w:eastAsia="宋体" w:cs="宋体"/>
          <w:color w:val="auto"/>
          <w:sz w:val="24"/>
          <w:szCs w:val="24"/>
          <w:highlight w:val="none"/>
        </w:rPr>
      </w:pPr>
      <w:r>
        <w:rPr>
          <w:rFonts w:ascii="宋体" w:hAnsi="宋体" w:eastAsia="宋体" w:cs="宋体"/>
          <w:color w:val="auto"/>
          <w:sz w:val="24"/>
          <w:szCs w:val="24"/>
          <w:highlight w:val="none"/>
        </w:rPr>
        <w:t>（）法人（包括企业、事业单位和社会团体）的</w:t>
      </w:r>
    </w:p>
    <w:p w14:paraId="71C20317">
      <w:pPr>
        <w:pStyle w:val="94"/>
        <w:spacing w:line="400" w:lineRule="exact"/>
        <w:ind w:firstLine="480"/>
        <w:rPr>
          <w:rFonts w:hint="default" w:ascii="宋体" w:hAnsi="宋体" w:eastAsia="宋体" w:cs="宋体"/>
          <w:color w:val="auto"/>
          <w:sz w:val="24"/>
          <w:szCs w:val="24"/>
          <w:highlight w:val="none"/>
        </w:rPr>
      </w:pPr>
      <w:r>
        <w:rPr>
          <w:rFonts w:ascii="宋体" w:hAnsi="宋体" w:eastAsia="宋体" w:cs="宋体"/>
          <w:color w:val="auto"/>
          <w:sz w:val="24"/>
          <w:szCs w:val="24"/>
          <w:highlight w:val="none"/>
        </w:rPr>
        <w:t xml:space="preserve">现附上自 </w:t>
      </w:r>
      <w:r>
        <w:rPr>
          <w:rFonts w:ascii="宋体" w:hAnsi="宋体" w:eastAsia="宋体" w:cs="宋体"/>
          <w:color w:val="auto"/>
          <w:sz w:val="24"/>
          <w:szCs w:val="24"/>
          <w:highlight w:val="none"/>
          <w:u w:val="single"/>
        </w:rPr>
        <w:t xml:space="preserve">  </w:t>
      </w:r>
      <w:r>
        <w:rPr>
          <w:rFonts w:ascii="宋体" w:hAnsi="宋体" w:eastAsia="宋体" w:cs="宋体"/>
          <w:color w:val="auto"/>
          <w:sz w:val="24"/>
          <w:szCs w:val="24"/>
          <w:highlight w:val="none"/>
        </w:rPr>
        <w:t>年</w:t>
      </w:r>
      <w:r>
        <w:rPr>
          <w:rFonts w:ascii="宋体" w:hAnsi="宋体" w:eastAsia="宋体" w:cs="宋体"/>
          <w:color w:val="auto"/>
          <w:sz w:val="24"/>
          <w:szCs w:val="24"/>
          <w:highlight w:val="none"/>
          <w:u w:val="single"/>
        </w:rPr>
        <w:t xml:space="preserve">  </w:t>
      </w:r>
      <w:r>
        <w:rPr>
          <w:rFonts w:ascii="宋体" w:hAnsi="宋体" w:eastAsia="宋体" w:cs="宋体"/>
          <w:color w:val="auto"/>
          <w:sz w:val="24"/>
          <w:szCs w:val="24"/>
          <w:highlight w:val="none"/>
        </w:rPr>
        <w:t>月</w:t>
      </w:r>
      <w:r>
        <w:rPr>
          <w:rFonts w:ascii="宋体" w:hAnsi="宋体" w:eastAsia="宋体" w:cs="宋体"/>
          <w:color w:val="auto"/>
          <w:sz w:val="24"/>
          <w:szCs w:val="24"/>
          <w:highlight w:val="none"/>
          <w:u w:val="single"/>
        </w:rPr>
        <w:t xml:space="preserve">  </w:t>
      </w:r>
      <w:r>
        <w:rPr>
          <w:rFonts w:ascii="宋体" w:hAnsi="宋体" w:eastAsia="宋体" w:cs="宋体"/>
          <w:color w:val="auto"/>
          <w:sz w:val="24"/>
          <w:szCs w:val="24"/>
          <w:highlight w:val="none"/>
        </w:rPr>
        <w:t>日至</w:t>
      </w:r>
      <w:r>
        <w:rPr>
          <w:rFonts w:ascii="宋体" w:hAnsi="宋体" w:eastAsia="宋体" w:cs="宋体"/>
          <w:color w:val="auto"/>
          <w:sz w:val="24"/>
          <w:szCs w:val="24"/>
          <w:highlight w:val="none"/>
          <w:u w:val="single"/>
        </w:rPr>
        <w:t xml:space="preserve">  </w:t>
      </w:r>
      <w:r>
        <w:rPr>
          <w:rFonts w:ascii="宋体" w:hAnsi="宋体" w:eastAsia="宋体" w:cs="宋体"/>
          <w:color w:val="auto"/>
          <w:sz w:val="24"/>
          <w:szCs w:val="24"/>
          <w:highlight w:val="none"/>
        </w:rPr>
        <w:t>年</w:t>
      </w:r>
      <w:r>
        <w:rPr>
          <w:rFonts w:ascii="宋体" w:hAnsi="宋体" w:eastAsia="宋体" w:cs="宋体"/>
          <w:color w:val="auto"/>
          <w:sz w:val="24"/>
          <w:szCs w:val="24"/>
          <w:highlight w:val="none"/>
          <w:u w:val="single"/>
        </w:rPr>
        <w:t xml:space="preserve">  </w:t>
      </w:r>
      <w:r>
        <w:rPr>
          <w:rFonts w:ascii="宋体" w:hAnsi="宋体" w:eastAsia="宋体" w:cs="宋体"/>
          <w:color w:val="auto"/>
          <w:sz w:val="24"/>
          <w:szCs w:val="24"/>
          <w:highlight w:val="none"/>
        </w:rPr>
        <w:t>月</w:t>
      </w:r>
      <w:r>
        <w:rPr>
          <w:rFonts w:ascii="宋体" w:hAnsi="宋体" w:eastAsia="宋体" w:cs="宋体"/>
          <w:color w:val="auto"/>
          <w:sz w:val="24"/>
          <w:szCs w:val="24"/>
          <w:highlight w:val="none"/>
          <w:u w:val="single"/>
        </w:rPr>
        <w:t xml:space="preserve">  </w:t>
      </w:r>
      <w:r>
        <w:rPr>
          <w:rFonts w:ascii="宋体" w:hAnsi="宋体" w:eastAsia="宋体" w:cs="宋体"/>
          <w:color w:val="auto"/>
          <w:sz w:val="24"/>
          <w:szCs w:val="24"/>
          <w:highlight w:val="none"/>
        </w:rPr>
        <w:t>日期间我方缴纳（包括但不限于税务机关出具的专用收据、税收缴纳证明或税收代缴银行的缴款收讫凭证）等税收凭据复印件，上述证明材料真实有效，否则我方负全部责任。</w:t>
      </w:r>
    </w:p>
    <w:p w14:paraId="29CD78ED">
      <w:pPr>
        <w:pStyle w:val="94"/>
        <w:spacing w:line="400" w:lineRule="exact"/>
        <w:ind w:firstLine="480"/>
        <w:rPr>
          <w:rFonts w:hint="default" w:ascii="宋体" w:hAnsi="宋体" w:eastAsia="宋体" w:cs="宋体"/>
          <w:color w:val="auto"/>
          <w:sz w:val="24"/>
          <w:szCs w:val="24"/>
          <w:highlight w:val="none"/>
        </w:rPr>
      </w:pPr>
      <w:r>
        <w:rPr>
          <w:rFonts w:ascii="宋体" w:hAnsi="宋体" w:eastAsia="宋体" w:cs="宋体"/>
          <w:color w:val="auto"/>
          <w:sz w:val="24"/>
          <w:szCs w:val="24"/>
          <w:highlight w:val="none"/>
        </w:rPr>
        <w:t>（）非法人（包括其他组织、自然人）的</w:t>
      </w:r>
    </w:p>
    <w:p w14:paraId="5F260347">
      <w:pPr>
        <w:pStyle w:val="94"/>
        <w:spacing w:line="400" w:lineRule="exact"/>
        <w:ind w:firstLine="480"/>
        <w:rPr>
          <w:rFonts w:hint="default" w:ascii="宋体" w:hAnsi="宋体" w:eastAsia="宋体" w:cs="宋体"/>
          <w:color w:val="auto"/>
          <w:sz w:val="24"/>
          <w:szCs w:val="24"/>
          <w:highlight w:val="none"/>
        </w:rPr>
      </w:pPr>
      <w:r>
        <w:rPr>
          <w:rFonts w:ascii="宋体" w:hAnsi="宋体" w:eastAsia="宋体" w:cs="宋体"/>
          <w:color w:val="auto"/>
          <w:sz w:val="24"/>
          <w:szCs w:val="24"/>
          <w:highlight w:val="none"/>
        </w:rPr>
        <w:t>现附上自</w:t>
      </w:r>
      <w:r>
        <w:rPr>
          <w:rFonts w:ascii="宋体" w:hAnsi="宋体" w:eastAsia="宋体" w:cs="宋体"/>
          <w:color w:val="auto"/>
          <w:sz w:val="24"/>
          <w:szCs w:val="24"/>
          <w:highlight w:val="none"/>
          <w:u w:val="single"/>
        </w:rPr>
        <w:t xml:space="preserve">  </w:t>
      </w:r>
      <w:r>
        <w:rPr>
          <w:rFonts w:ascii="宋体" w:hAnsi="宋体" w:eastAsia="宋体" w:cs="宋体"/>
          <w:color w:val="auto"/>
          <w:sz w:val="24"/>
          <w:szCs w:val="24"/>
          <w:highlight w:val="none"/>
        </w:rPr>
        <w:t>年</w:t>
      </w:r>
      <w:r>
        <w:rPr>
          <w:rFonts w:ascii="宋体" w:hAnsi="宋体" w:eastAsia="宋体" w:cs="宋体"/>
          <w:color w:val="auto"/>
          <w:sz w:val="24"/>
          <w:szCs w:val="24"/>
          <w:highlight w:val="none"/>
          <w:u w:val="single"/>
        </w:rPr>
        <w:t xml:space="preserve">  </w:t>
      </w:r>
      <w:r>
        <w:rPr>
          <w:rFonts w:ascii="宋体" w:hAnsi="宋体" w:eastAsia="宋体" w:cs="宋体"/>
          <w:color w:val="auto"/>
          <w:sz w:val="24"/>
          <w:szCs w:val="24"/>
          <w:highlight w:val="none"/>
        </w:rPr>
        <w:t>月</w:t>
      </w:r>
      <w:r>
        <w:rPr>
          <w:rFonts w:ascii="宋体" w:hAnsi="宋体" w:eastAsia="宋体" w:cs="宋体"/>
          <w:color w:val="auto"/>
          <w:sz w:val="24"/>
          <w:szCs w:val="24"/>
          <w:highlight w:val="none"/>
          <w:u w:val="single"/>
        </w:rPr>
        <w:t xml:space="preserve">  </w:t>
      </w:r>
      <w:r>
        <w:rPr>
          <w:rFonts w:ascii="宋体" w:hAnsi="宋体" w:eastAsia="宋体" w:cs="宋体"/>
          <w:color w:val="auto"/>
          <w:sz w:val="24"/>
          <w:szCs w:val="24"/>
          <w:highlight w:val="none"/>
        </w:rPr>
        <w:t>日至</w:t>
      </w:r>
      <w:r>
        <w:rPr>
          <w:rFonts w:ascii="宋体" w:hAnsi="宋体" w:eastAsia="宋体" w:cs="宋体"/>
          <w:color w:val="auto"/>
          <w:sz w:val="24"/>
          <w:szCs w:val="24"/>
          <w:highlight w:val="none"/>
          <w:u w:val="single"/>
        </w:rPr>
        <w:t xml:space="preserve">  </w:t>
      </w:r>
      <w:r>
        <w:rPr>
          <w:rFonts w:ascii="宋体" w:hAnsi="宋体" w:eastAsia="宋体" w:cs="宋体"/>
          <w:color w:val="auto"/>
          <w:sz w:val="24"/>
          <w:szCs w:val="24"/>
          <w:highlight w:val="none"/>
        </w:rPr>
        <w:t>年</w:t>
      </w:r>
      <w:r>
        <w:rPr>
          <w:rFonts w:ascii="宋体" w:hAnsi="宋体" w:eastAsia="宋体" w:cs="宋体"/>
          <w:color w:val="auto"/>
          <w:sz w:val="24"/>
          <w:szCs w:val="24"/>
          <w:highlight w:val="none"/>
          <w:u w:val="single"/>
        </w:rPr>
        <w:t xml:space="preserve">  </w:t>
      </w:r>
      <w:r>
        <w:rPr>
          <w:rFonts w:ascii="宋体" w:hAnsi="宋体" w:eastAsia="宋体" w:cs="宋体"/>
          <w:color w:val="auto"/>
          <w:sz w:val="24"/>
          <w:szCs w:val="24"/>
          <w:highlight w:val="none"/>
        </w:rPr>
        <w:t>月</w:t>
      </w:r>
      <w:r>
        <w:rPr>
          <w:rFonts w:ascii="宋体" w:hAnsi="宋体" w:eastAsia="宋体" w:cs="宋体"/>
          <w:color w:val="auto"/>
          <w:sz w:val="24"/>
          <w:szCs w:val="24"/>
          <w:highlight w:val="none"/>
          <w:u w:val="single"/>
        </w:rPr>
        <w:t xml:space="preserve">  </w:t>
      </w:r>
      <w:r>
        <w:rPr>
          <w:rFonts w:ascii="宋体" w:hAnsi="宋体" w:eastAsia="宋体" w:cs="宋体"/>
          <w:color w:val="auto"/>
          <w:sz w:val="24"/>
          <w:szCs w:val="24"/>
          <w:highlight w:val="none"/>
        </w:rPr>
        <w:t>日期间我方缴纳（包括但不限于税务机关出具的专用收据、税收缴纳证明或税收代缴银行的缴款收讫凭证）等税收凭据复印件，上述证明材料真实有效，否则我方负全部责任。</w:t>
      </w:r>
    </w:p>
    <w:p w14:paraId="530100BC">
      <w:pPr>
        <w:pStyle w:val="94"/>
        <w:spacing w:line="400" w:lineRule="exact"/>
        <w:ind w:firstLine="480"/>
        <w:rPr>
          <w:rFonts w:hint="default" w:ascii="宋体" w:hAnsi="宋体" w:eastAsia="宋体" w:cs="宋体"/>
          <w:color w:val="auto"/>
          <w:sz w:val="24"/>
          <w:szCs w:val="24"/>
          <w:highlight w:val="none"/>
        </w:rPr>
      </w:pPr>
      <w:r>
        <w:rPr>
          <w:rFonts w:ascii="宋体" w:hAnsi="宋体" w:eastAsia="宋体" w:cs="宋体"/>
          <w:color w:val="auto"/>
          <w:sz w:val="24"/>
          <w:szCs w:val="24"/>
          <w:highlight w:val="none"/>
        </w:rPr>
        <w:t>2、依法减免税收的供应商</w:t>
      </w:r>
    </w:p>
    <w:p w14:paraId="5D54F940">
      <w:pPr>
        <w:pStyle w:val="94"/>
        <w:spacing w:line="400" w:lineRule="exact"/>
        <w:ind w:firstLine="480"/>
        <w:rPr>
          <w:rFonts w:hint="default" w:ascii="宋体" w:hAnsi="宋体" w:eastAsia="宋体" w:cs="宋体"/>
          <w:color w:val="auto"/>
          <w:sz w:val="24"/>
          <w:szCs w:val="24"/>
          <w:highlight w:val="none"/>
        </w:rPr>
      </w:pPr>
      <w:r>
        <w:rPr>
          <w:rFonts w:ascii="宋体" w:hAnsi="宋体" w:eastAsia="宋体" w:cs="宋体"/>
          <w:color w:val="auto"/>
          <w:sz w:val="24"/>
          <w:szCs w:val="24"/>
          <w:highlight w:val="none"/>
        </w:rPr>
        <w:t>（）现附上我方依法免税证明材料复印件，上述证明材料真实有效，否则我方负全部责任。</w:t>
      </w:r>
    </w:p>
    <w:p w14:paraId="77B6BD2E">
      <w:pPr>
        <w:pStyle w:val="94"/>
        <w:spacing w:line="400" w:lineRule="exact"/>
        <w:ind w:firstLine="480"/>
        <w:rPr>
          <w:rFonts w:hint="default" w:ascii="宋体" w:hAnsi="宋体" w:eastAsia="宋体" w:cs="宋体"/>
          <w:color w:val="auto"/>
          <w:sz w:val="24"/>
          <w:szCs w:val="24"/>
          <w:highlight w:val="none"/>
        </w:rPr>
      </w:pPr>
    </w:p>
    <w:p w14:paraId="74EF0A30">
      <w:pPr>
        <w:pStyle w:val="94"/>
        <w:spacing w:line="400" w:lineRule="exact"/>
        <w:ind w:firstLine="480"/>
        <w:rPr>
          <w:rFonts w:hint="default" w:ascii="宋体" w:hAnsi="宋体" w:eastAsia="宋体" w:cs="宋体"/>
          <w:color w:val="auto"/>
          <w:sz w:val="24"/>
          <w:szCs w:val="24"/>
          <w:highlight w:val="none"/>
        </w:rPr>
      </w:pPr>
      <w:r>
        <w:rPr>
          <w:rFonts w:ascii="宋体" w:hAnsi="宋体" w:eastAsia="宋体" w:cs="宋体"/>
          <w:color w:val="auto"/>
          <w:sz w:val="24"/>
          <w:szCs w:val="24"/>
          <w:highlight w:val="none"/>
        </w:rPr>
        <w:t>※注意</w:t>
      </w:r>
    </w:p>
    <w:p w14:paraId="4CE8F822">
      <w:pPr>
        <w:pStyle w:val="94"/>
        <w:spacing w:line="400" w:lineRule="exact"/>
        <w:ind w:firstLine="480"/>
        <w:rPr>
          <w:rFonts w:hint="default" w:ascii="宋体" w:hAnsi="宋体" w:eastAsia="宋体" w:cs="宋体"/>
          <w:color w:val="auto"/>
          <w:sz w:val="24"/>
          <w:szCs w:val="24"/>
          <w:highlight w:val="none"/>
        </w:rPr>
      </w:pPr>
      <w:r>
        <w:rPr>
          <w:rFonts w:ascii="宋体" w:hAnsi="宋体" w:eastAsia="宋体" w:cs="宋体"/>
          <w:color w:val="auto"/>
          <w:sz w:val="24"/>
          <w:szCs w:val="24"/>
          <w:highlight w:val="none"/>
        </w:rPr>
        <w:t>1、请供应商根据实际情况填写，在相应的（）中打“√”，并按照本格式的要求提供相应证明材料的复印件。</w:t>
      </w:r>
    </w:p>
    <w:p w14:paraId="21D9CD63">
      <w:pPr>
        <w:pStyle w:val="94"/>
        <w:spacing w:line="400" w:lineRule="exact"/>
        <w:ind w:firstLine="480"/>
        <w:rPr>
          <w:rFonts w:hint="default" w:ascii="宋体" w:hAnsi="宋体" w:eastAsia="宋体" w:cs="宋体"/>
          <w:color w:val="auto"/>
          <w:sz w:val="24"/>
          <w:szCs w:val="24"/>
          <w:highlight w:val="none"/>
        </w:rPr>
      </w:pPr>
      <w:r>
        <w:rPr>
          <w:rFonts w:ascii="宋体" w:hAnsi="宋体" w:eastAsia="宋体" w:cs="宋体"/>
          <w:color w:val="auto"/>
          <w:sz w:val="24"/>
          <w:szCs w:val="24"/>
          <w:highlight w:val="none"/>
        </w:rPr>
        <w:t>2、供应商提供的税收凭据复印件应符合下列规定：</w:t>
      </w:r>
    </w:p>
    <w:p w14:paraId="6425DDC0">
      <w:pPr>
        <w:pStyle w:val="94"/>
        <w:spacing w:line="400" w:lineRule="exact"/>
        <w:ind w:firstLine="480"/>
        <w:rPr>
          <w:rFonts w:hint="default" w:ascii="宋体" w:hAnsi="宋体" w:eastAsia="宋体" w:cs="宋体"/>
          <w:color w:val="auto"/>
          <w:sz w:val="24"/>
          <w:szCs w:val="24"/>
          <w:highlight w:val="none"/>
        </w:rPr>
      </w:pPr>
      <w:r>
        <w:rPr>
          <w:rFonts w:ascii="宋体" w:hAnsi="宋体" w:eastAsia="宋体" w:cs="宋体"/>
          <w:color w:val="auto"/>
          <w:sz w:val="24"/>
          <w:szCs w:val="24"/>
          <w:highlight w:val="none"/>
        </w:rPr>
        <w:t>2.1首次响应文件递交截止时间前（不含截止时间的当月）已依法缴纳税收的供应商，提供首次响应文件递交截止时间前六个月（不含截止时间的当月）中任一月份的税收凭据复印件。</w:t>
      </w:r>
    </w:p>
    <w:p w14:paraId="2E3F4531">
      <w:pPr>
        <w:pStyle w:val="94"/>
        <w:spacing w:line="400" w:lineRule="exact"/>
        <w:ind w:firstLine="480"/>
        <w:rPr>
          <w:rFonts w:hint="default" w:ascii="宋体" w:hAnsi="宋体" w:eastAsia="宋体" w:cs="宋体"/>
          <w:color w:val="auto"/>
          <w:sz w:val="24"/>
          <w:szCs w:val="24"/>
          <w:highlight w:val="none"/>
        </w:rPr>
      </w:pPr>
      <w:r>
        <w:rPr>
          <w:rFonts w:ascii="宋体" w:hAnsi="宋体" w:eastAsia="宋体" w:cs="宋体"/>
          <w:color w:val="auto"/>
          <w:sz w:val="24"/>
          <w:szCs w:val="24"/>
          <w:highlight w:val="none"/>
        </w:rPr>
        <w:t>2.2首次响应文件递交截止时间的当月成立的供应商，视同满足本项资格条件要求。</w:t>
      </w:r>
    </w:p>
    <w:p w14:paraId="242486D9">
      <w:pPr>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2.3若为依法免税范围的供应商，提供依法免税证明材料的，视同满足本项资格条件要求。</w:t>
      </w:r>
    </w:p>
    <w:p w14:paraId="153DEB27">
      <w:pPr>
        <w:spacing w:line="420" w:lineRule="exact"/>
        <w:rPr>
          <w:rFonts w:ascii="宋体" w:hAnsi="宋体" w:cs="宋体"/>
          <w:color w:val="auto"/>
          <w:sz w:val="24"/>
          <w:highlight w:val="none"/>
        </w:rPr>
      </w:pPr>
    </w:p>
    <w:p w14:paraId="756DF759">
      <w:pPr>
        <w:spacing w:line="420" w:lineRule="exact"/>
        <w:rPr>
          <w:rFonts w:ascii="宋体" w:hAnsi="宋体" w:cs="宋体"/>
          <w:color w:val="auto"/>
          <w:sz w:val="24"/>
          <w:highlight w:val="none"/>
          <w:u w:val="single"/>
        </w:rPr>
      </w:pPr>
      <w:r>
        <w:rPr>
          <w:rFonts w:hint="eastAsia" w:ascii="宋体" w:hAnsi="宋体" w:cs="宋体"/>
          <w:color w:val="auto"/>
          <w:sz w:val="24"/>
          <w:highlight w:val="none"/>
        </w:rPr>
        <w:t>供应商代表：</w:t>
      </w:r>
      <w:r>
        <w:rPr>
          <w:rFonts w:hint="eastAsia" w:ascii="宋体" w:hAnsi="宋体" w:cs="宋体"/>
          <w:color w:val="auto"/>
          <w:sz w:val="24"/>
          <w:highlight w:val="none"/>
          <w:u w:val="single"/>
        </w:rPr>
        <w:t xml:space="preserve"> （签字）</w:t>
      </w:r>
    </w:p>
    <w:p w14:paraId="4D78BD1F">
      <w:pPr>
        <w:spacing w:line="420" w:lineRule="exact"/>
        <w:rPr>
          <w:rFonts w:ascii="宋体" w:hAnsi="宋体" w:cs="宋体"/>
          <w:color w:val="auto"/>
          <w:sz w:val="24"/>
          <w:highlight w:val="none"/>
          <w:u w:val="single"/>
        </w:rPr>
      </w:pPr>
      <w:r>
        <w:rPr>
          <w:rFonts w:hint="eastAsia" w:ascii="宋体" w:hAnsi="宋体" w:cs="宋体"/>
          <w:color w:val="auto"/>
          <w:sz w:val="24"/>
          <w:highlight w:val="none"/>
        </w:rPr>
        <w:t>供应商名称：</w:t>
      </w:r>
      <w:r>
        <w:rPr>
          <w:rFonts w:hint="eastAsia" w:ascii="宋体" w:hAnsi="宋体" w:cs="宋体"/>
          <w:color w:val="auto"/>
          <w:sz w:val="24"/>
          <w:highlight w:val="none"/>
          <w:u w:val="single"/>
        </w:rPr>
        <w:t xml:space="preserve">         （全称并加盖公章）              </w:t>
      </w:r>
    </w:p>
    <w:p w14:paraId="2AE301EB">
      <w:pPr>
        <w:spacing w:line="420" w:lineRule="exact"/>
        <w:rPr>
          <w:rFonts w:ascii="宋体" w:hAnsi="宋体" w:cs="宋体"/>
          <w:color w:val="auto"/>
          <w:sz w:val="24"/>
          <w:highlight w:val="none"/>
        </w:rPr>
      </w:pPr>
      <w:r>
        <w:rPr>
          <w:rFonts w:hint="eastAsia" w:ascii="宋体" w:hAnsi="宋体" w:cs="宋体"/>
          <w:color w:val="auto"/>
          <w:sz w:val="24"/>
          <w:highlight w:val="none"/>
        </w:rPr>
        <w:t>日  期： 年 月 日</w:t>
      </w:r>
    </w:p>
    <w:p w14:paraId="018347FC">
      <w:pPr>
        <w:spacing w:line="440" w:lineRule="exact"/>
        <w:rPr>
          <w:rFonts w:ascii="宋体" w:hAnsi="宋体" w:cs="宋体"/>
          <w:color w:val="auto"/>
          <w:sz w:val="24"/>
          <w:highlight w:val="none"/>
        </w:rPr>
      </w:pPr>
    </w:p>
    <w:p w14:paraId="68631DC1">
      <w:pPr>
        <w:pStyle w:val="23"/>
        <w:ind w:firstLine="0" w:firstLineChars="0"/>
        <w:rPr>
          <w:rFonts w:ascii="宋体" w:hAnsi="宋体" w:cs="宋体"/>
          <w:color w:val="auto"/>
          <w:highlight w:val="none"/>
        </w:rPr>
      </w:pPr>
    </w:p>
    <w:p w14:paraId="53310929">
      <w:pPr>
        <w:pStyle w:val="23"/>
        <w:ind w:firstLine="0" w:firstLineChars="0"/>
        <w:rPr>
          <w:rFonts w:ascii="宋体" w:hAnsi="宋体" w:cs="宋体"/>
          <w:color w:val="auto"/>
          <w:highlight w:val="none"/>
        </w:rPr>
      </w:pPr>
    </w:p>
    <w:p w14:paraId="62466C95">
      <w:pPr>
        <w:pStyle w:val="23"/>
        <w:ind w:firstLine="0" w:firstLineChars="0"/>
        <w:rPr>
          <w:rFonts w:ascii="宋体" w:hAnsi="宋体" w:cs="宋体"/>
          <w:color w:val="auto"/>
          <w:highlight w:val="none"/>
        </w:rPr>
      </w:pPr>
    </w:p>
    <w:p w14:paraId="5E28C97E">
      <w:pPr>
        <w:spacing w:line="400" w:lineRule="exact"/>
        <w:jc w:val="left"/>
        <w:rPr>
          <w:rFonts w:ascii="宋体" w:hAnsi="宋体" w:cs="宋体"/>
          <w:color w:val="auto"/>
          <w:sz w:val="24"/>
          <w:highlight w:val="none"/>
        </w:rPr>
      </w:pPr>
    </w:p>
    <w:p w14:paraId="10B31CF1">
      <w:pPr>
        <w:spacing w:line="400" w:lineRule="exact"/>
        <w:jc w:val="left"/>
        <w:rPr>
          <w:rFonts w:ascii="宋体" w:hAnsi="宋体" w:cs="宋体"/>
          <w:color w:val="auto"/>
          <w:sz w:val="24"/>
          <w:highlight w:val="none"/>
        </w:rPr>
      </w:pPr>
    </w:p>
    <w:p w14:paraId="48E3A15D">
      <w:pPr>
        <w:spacing w:line="400" w:lineRule="exact"/>
        <w:jc w:val="left"/>
        <w:rPr>
          <w:rFonts w:ascii="宋体" w:hAnsi="宋体" w:cs="宋体"/>
          <w:color w:val="auto"/>
          <w:sz w:val="24"/>
          <w:highlight w:val="none"/>
        </w:rPr>
      </w:pPr>
    </w:p>
    <w:p w14:paraId="51EECB20">
      <w:pPr>
        <w:spacing w:line="400" w:lineRule="exact"/>
        <w:jc w:val="left"/>
        <w:rPr>
          <w:rFonts w:ascii="宋体" w:hAnsi="宋体" w:cs="宋体"/>
          <w:color w:val="auto"/>
          <w:sz w:val="24"/>
          <w:highlight w:val="none"/>
        </w:rPr>
      </w:pPr>
    </w:p>
    <w:p w14:paraId="5AB5CAC0">
      <w:pPr>
        <w:spacing w:line="400" w:lineRule="exact"/>
        <w:jc w:val="left"/>
        <w:rPr>
          <w:rFonts w:ascii="宋体" w:hAnsi="宋体" w:cs="宋体"/>
          <w:color w:val="auto"/>
          <w:sz w:val="24"/>
          <w:highlight w:val="none"/>
        </w:rPr>
      </w:pPr>
      <w:r>
        <w:rPr>
          <w:rFonts w:hint="eastAsia" w:ascii="宋体" w:hAnsi="宋体" w:cs="宋体"/>
          <w:color w:val="auto"/>
          <w:sz w:val="24"/>
          <w:highlight w:val="none"/>
        </w:rPr>
        <w:t>附件</w:t>
      </w:r>
      <w:r>
        <w:rPr>
          <w:rFonts w:hint="eastAsia" w:ascii="宋体" w:hAnsi="宋体" w:cs="宋体"/>
          <w:color w:val="auto"/>
          <w:sz w:val="24"/>
          <w:highlight w:val="none"/>
          <w:lang w:val="en-US" w:eastAsia="zh-CN"/>
        </w:rPr>
        <w:t>4</w:t>
      </w:r>
      <w:r>
        <w:rPr>
          <w:rFonts w:hint="eastAsia" w:ascii="宋体" w:hAnsi="宋体" w:cs="宋体"/>
          <w:color w:val="auto"/>
          <w:sz w:val="24"/>
          <w:highlight w:val="none"/>
        </w:rPr>
        <w:t>-</w:t>
      </w:r>
      <w:r>
        <w:rPr>
          <w:rFonts w:hint="eastAsia" w:ascii="宋体" w:hAnsi="宋体" w:cs="宋体"/>
          <w:color w:val="auto"/>
          <w:sz w:val="24"/>
          <w:highlight w:val="none"/>
          <w:lang w:val="en-US" w:eastAsia="zh-CN"/>
        </w:rPr>
        <w:t>8</w:t>
      </w:r>
      <w:r>
        <w:rPr>
          <w:rFonts w:hint="eastAsia" w:ascii="宋体" w:hAnsi="宋体" w:cs="宋体"/>
          <w:color w:val="auto"/>
          <w:sz w:val="24"/>
          <w:highlight w:val="none"/>
        </w:rPr>
        <w:t xml:space="preserve">           </w:t>
      </w:r>
      <w:r>
        <w:rPr>
          <w:rFonts w:hint="eastAsia" w:ascii="宋体" w:hAnsi="宋体" w:cs="宋体"/>
          <w:b/>
          <w:color w:val="auto"/>
          <w:sz w:val="32"/>
          <w:highlight w:val="none"/>
        </w:rPr>
        <w:t>依法缴纳社会保障资金证明材料</w:t>
      </w:r>
    </w:p>
    <w:p w14:paraId="40447A39">
      <w:pPr>
        <w:spacing w:line="400" w:lineRule="exact"/>
        <w:rPr>
          <w:rFonts w:ascii="宋体" w:hAnsi="宋体" w:cs="宋体"/>
          <w:color w:val="auto"/>
          <w:sz w:val="24"/>
          <w:highlight w:val="none"/>
        </w:rPr>
      </w:pPr>
      <w:r>
        <w:rPr>
          <w:rFonts w:hint="eastAsia" w:ascii="宋体" w:hAnsi="宋体" w:cs="宋体"/>
          <w:color w:val="auto"/>
          <w:sz w:val="24"/>
          <w:highlight w:val="none"/>
        </w:rPr>
        <w:t>致：</w:t>
      </w:r>
      <w:r>
        <w:rPr>
          <w:rFonts w:hint="eastAsia" w:ascii="宋体" w:hAnsi="宋体" w:cs="宋体"/>
          <w:color w:val="auto"/>
          <w:szCs w:val="21"/>
          <w:highlight w:val="none"/>
        </w:rPr>
        <w:t>厦门湖里国投物业服务有限公司</w:t>
      </w:r>
    </w:p>
    <w:p w14:paraId="2B5A2637">
      <w:pPr>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1、依法缴纳社会保障资金的供应商</w:t>
      </w:r>
    </w:p>
    <w:p w14:paraId="225CB97F">
      <w:pPr>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（）法人（包括企业、事业单位和社会团体）的</w:t>
      </w:r>
    </w:p>
    <w:p w14:paraId="296DC85E">
      <w:pPr>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现附上自</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年</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月</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日至</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年</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月</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日我方缴纳的社会保险凭据（限：税务机关/社会保障资金管理机关的专用收据或社会保险缴纳清单，或社会保险的银行缴款收讫凭证）复印件，上述证明材料真实有效，否则我方负全部责任。</w:t>
      </w:r>
    </w:p>
    <w:p w14:paraId="6B04DAB2">
      <w:pPr>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（）非法人（包括其他组织、自然人）的</w:t>
      </w:r>
    </w:p>
    <w:p w14:paraId="08664D22">
      <w:pPr>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自</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年</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月</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日至</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年</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月</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日我方缴纳的社会保险凭据（限：税务机关/社会保障资金管理机关的专用收据或社会保险缴纳清单，或社会保险的银行缴款收讫凭证）复印件，上述证明材料真实有效，否则我方负全部责任。</w:t>
      </w:r>
    </w:p>
    <w:p w14:paraId="65DB03DB">
      <w:pPr>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2、依法不需要缴纳或暂缓缴纳社会保障资金的供应商</w:t>
      </w:r>
    </w:p>
    <w:p w14:paraId="74F9E7DB">
      <w:pPr>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（）现附上我方依法不需要缴纳社会保障资金证明材料复印件，上述证明材料真实有效，否则我方负全部责任。</w:t>
      </w:r>
    </w:p>
    <w:p w14:paraId="7812CDB0">
      <w:pPr>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※注意</w:t>
      </w:r>
    </w:p>
    <w:p w14:paraId="3DF13BAE">
      <w:pPr>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1、请供应商根据实际情况填写，在相应的（）中打“√”，并按照本格式的要求提供相应证明材料的复印件。</w:t>
      </w:r>
    </w:p>
    <w:p w14:paraId="7EFB4B41">
      <w:pPr>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2、供应商提供的社会保险凭据复印件应符合下列规定：</w:t>
      </w:r>
    </w:p>
    <w:p w14:paraId="272157D5">
      <w:pPr>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2.1首次响应文件递交截止时间前（不含截止时间的当月）已依法缴纳社会保障资金的投供应商，提供首次响应文件递交截止时间前六个月（不含截止时间的当月）中任一月份的社会保险凭据复印件。</w:t>
      </w:r>
    </w:p>
    <w:p w14:paraId="0D363CE9">
      <w:pPr>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2.2首次响应文件递交截止时间的当月成立的供应商，视同满足本项资格条件要求。</w:t>
      </w:r>
    </w:p>
    <w:p w14:paraId="3F166E02">
      <w:pPr>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2.3若为依法不需要缴纳或暂缓缴纳社会保障资金的供应商，提供依法不需要缴纳或暂缓缴纳社会保障资金证明材料的，视同满足本项资格条件要求。</w:t>
      </w:r>
    </w:p>
    <w:p w14:paraId="398A666B">
      <w:pPr>
        <w:spacing w:line="400" w:lineRule="exact"/>
        <w:rPr>
          <w:rFonts w:ascii="宋体" w:hAnsi="宋体" w:cs="宋体"/>
          <w:color w:val="auto"/>
          <w:sz w:val="24"/>
          <w:highlight w:val="none"/>
        </w:rPr>
      </w:pPr>
    </w:p>
    <w:p w14:paraId="69A3F2A3">
      <w:pPr>
        <w:spacing w:line="400" w:lineRule="exact"/>
        <w:rPr>
          <w:rFonts w:ascii="宋体" w:hAnsi="宋体" w:cs="宋体"/>
          <w:color w:val="auto"/>
          <w:sz w:val="24"/>
          <w:highlight w:val="none"/>
          <w:u w:val="single"/>
        </w:rPr>
      </w:pPr>
      <w:r>
        <w:rPr>
          <w:rFonts w:hint="eastAsia" w:ascii="宋体" w:hAnsi="宋体" w:cs="宋体"/>
          <w:color w:val="auto"/>
          <w:sz w:val="24"/>
          <w:highlight w:val="none"/>
        </w:rPr>
        <w:t>供应商代表：</w:t>
      </w:r>
      <w:r>
        <w:rPr>
          <w:rFonts w:hint="eastAsia" w:ascii="宋体" w:hAnsi="宋体" w:cs="宋体"/>
          <w:color w:val="auto"/>
          <w:sz w:val="24"/>
          <w:highlight w:val="none"/>
          <w:u w:val="single"/>
        </w:rPr>
        <w:t xml:space="preserve"> （签字）</w:t>
      </w:r>
    </w:p>
    <w:p w14:paraId="4DC3324B">
      <w:pPr>
        <w:spacing w:line="400" w:lineRule="exact"/>
        <w:rPr>
          <w:rFonts w:ascii="宋体" w:hAnsi="宋体" w:cs="宋体"/>
          <w:color w:val="auto"/>
          <w:sz w:val="24"/>
          <w:highlight w:val="none"/>
          <w:u w:val="single"/>
        </w:rPr>
      </w:pPr>
      <w:r>
        <w:rPr>
          <w:rFonts w:hint="eastAsia" w:ascii="宋体" w:hAnsi="宋体" w:cs="宋体"/>
          <w:color w:val="auto"/>
          <w:sz w:val="24"/>
          <w:highlight w:val="none"/>
        </w:rPr>
        <w:t>供应商名称：</w:t>
      </w:r>
      <w:r>
        <w:rPr>
          <w:rFonts w:hint="eastAsia" w:ascii="宋体" w:hAnsi="宋体" w:cs="宋体"/>
          <w:color w:val="auto"/>
          <w:sz w:val="24"/>
          <w:highlight w:val="none"/>
          <w:u w:val="single"/>
        </w:rPr>
        <w:t xml:space="preserve">         （全称并加盖公章）              </w:t>
      </w:r>
    </w:p>
    <w:p w14:paraId="20E44CEB">
      <w:pPr>
        <w:spacing w:line="400" w:lineRule="exact"/>
        <w:rPr>
          <w:rFonts w:ascii="宋体" w:hAnsi="宋体" w:cs="宋体"/>
          <w:b/>
          <w:color w:val="auto"/>
          <w:sz w:val="32"/>
          <w:szCs w:val="32"/>
          <w:highlight w:val="none"/>
        </w:rPr>
      </w:pPr>
      <w:r>
        <w:rPr>
          <w:rFonts w:hint="eastAsia" w:ascii="宋体" w:hAnsi="宋体" w:cs="宋体"/>
          <w:color w:val="auto"/>
          <w:sz w:val="24"/>
          <w:highlight w:val="none"/>
        </w:rPr>
        <w:t>日  期： 年 月 日</w:t>
      </w:r>
      <w:r>
        <w:rPr>
          <w:rFonts w:hint="eastAsia" w:ascii="宋体" w:hAnsi="宋体" w:cs="宋体"/>
          <w:color w:val="auto"/>
          <w:highlight w:val="none"/>
        </w:rPr>
        <w:br w:type="page"/>
      </w:r>
      <w:r>
        <w:rPr>
          <w:rFonts w:hint="eastAsia" w:ascii="宋体" w:hAnsi="宋体" w:cs="宋体"/>
          <w:color w:val="auto"/>
          <w:sz w:val="24"/>
          <w:highlight w:val="none"/>
        </w:rPr>
        <w:t>附件</w:t>
      </w:r>
      <w:r>
        <w:rPr>
          <w:rFonts w:hint="eastAsia" w:ascii="宋体" w:hAnsi="宋体" w:cs="宋体"/>
          <w:color w:val="auto"/>
          <w:sz w:val="24"/>
          <w:highlight w:val="none"/>
          <w:lang w:val="en-US" w:eastAsia="zh-CN"/>
        </w:rPr>
        <w:t>4</w:t>
      </w:r>
      <w:r>
        <w:rPr>
          <w:rFonts w:hint="eastAsia" w:ascii="宋体" w:hAnsi="宋体" w:cs="宋体"/>
          <w:color w:val="auto"/>
          <w:sz w:val="24"/>
          <w:highlight w:val="none"/>
        </w:rPr>
        <w:t>-</w:t>
      </w:r>
      <w:r>
        <w:rPr>
          <w:rFonts w:hint="eastAsia" w:ascii="宋体" w:hAnsi="宋体" w:cs="宋体"/>
          <w:color w:val="auto"/>
          <w:sz w:val="24"/>
          <w:highlight w:val="none"/>
          <w:lang w:val="en-US" w:eastAsia="zh-CN"/>
        </w:rPr>
        <w:t>9</w:t>
      </w:r>
      <w:r>
        <w:rPr>
          <w:rFonts w:hint="eastAsia" w:ascii="宋体" w:hAnsi="宋体" w:cs="宋体"/>
          <w:b/>
          <w:color w:val="auto"/>
          <w:sz w:val="32"/>
          <w:highlight w:val="none"/>
        </w:rPr>
        <w:t>具备履行合同所必需设备和专业技术能力证明材料</w:t>
      </w:r>
      <w:r>
        <w:rPr>
          <w:rFonts w:hint="eastAsia" w:ascii="宋体" w:hAnsi="宋体" w:cs="宋体"/>
          <w:b/>
          <w:color w:val="auto"/>
          <w:sz w:val="32"/>
          <w:szCs w:val="32"/>
          <w:highlight w:val="none"/>
        </w:rPr>
        <w:t>声明函</w:t>
      </w:r>
    </w:p>
    <w:p w14:paraId="409DEDD2">
      <w:pPr>
        <w:spacing w:line="440" w:lineRule="exact"/>
        <w:rPr>
          <w:rFonts w:ascii="宋体" w:hAnsi="宋体" w:cs="宋体"/>
          <w:bCs/>
          <w:color w:val="auto"/>
          <w:sz w:val="24"/>
          <w:highlight w:val="none"/>
          <w:u w:val="single"/>
        </w:rPr>
      </w:pPr>
      <w:r>
        <w:rPr>
          <w:rFonts w:hint="eastAsia" w:ascii="宋体" w:hAnsi="宋体" w:cs="宋体"/>
          <w:bCs/>
          <w:color w:val="auto"/>
          <w:sz w:val="24"/>
          <w:highlight w:val="none"/>
        </w:rPr>
        <w:t>致：</w:t>
      </w:r>
      <w:r>
        <w:rPr>
          <w:rFonts w:hint="eastAsia" w:ascii="宋体" w:hAnsi="宋体" w:cs="宋体"/>
          <w:color w:val="auto"/>
          <w:szCs w:val="21"/>
          <w:highlight w:val="none"/>
        </w:rPr>
        <w:t>厦门湖里国投物业服务有限公司</w:t>
      </w:r>
    </w:p>
    <w:p w14:paraId="72F709B2">
      <w:pPr>
        <w:spacing w:line="440" w:lineRule="exact"/>
        <w:ind w:firstLine="480" w:firstLineChars="200"/>
        <w:rPr>
          <w:rFonts w:ascii="宋体" w:hAnsi="宋体" w:cs="宋体"/>
          <w:bCs/>
          <w:color w:val="auto"/>
          <w:sz w:val="24"/>
          <w:highlight w:val="none"/>
        </w:rPr>
      </w:pPr>
      <w:r>
        <w:rPr>
          <w:rFonts w:hint="eastAsia" w:ascii="宋体" w:hAnsi="宋体" w:cs="宋体"/>
          <w:bCs/>
          <w:color w:val="auto"/>
          <w:sz w:val="24"/>
          <w:highlight w:val="none"/>
        </w:rPr>
        <w:t>我方具备履行合同所必需的设备和专业技术能力，并对本声明承诺的真实性负责，否则产生不利后果由我方承担责任。</w:t>
      </w:r>
    </w:p>
    <w:p w14:paraId="201E6915">
      <w:pPr>
        <w:spacing w:line="440" w:lineRule="exact"/>
        <w:rPr>
          <w:rFonts w:ascii="宋体" w:hAnsi="宋体" w:cs="宋体"/>
          <w:bCs/>
          <w:color w:val="auto"/>
          <w:sz w:val="24"/>
          <w:highlight w:val="none"/>
        </w:rPr>
      </w:pPr>
      <w:r>
        <w:rPr>
          <w:rFonts w:hint="eastAsia" w:ascii="宋体" w:hAnsi="宋体" w:cs="宋体"/>
          <w:bCs/>
          <w:color w:val="auto"/>
          <w:sz w:val="24"/>
          <w:highlight w:val="none"/>
        </w:rPr>
        <w:t>特此声明。</w:t>
      </w:r>
    </w:p>
    <w:p w14:paraId="348CA72F">
      <w:pPr>
        <w:spacing w:line="440" w:lineRule="exact"/>
        <w:ind w:firstLine="480" w:firstLineChars="200"/>
        <w:rPr>
          <w:rFonts w:ascii="宋体" w:hAnsi="宋体" w:cs="宋体"/>
          <w:bCs/>
          <w:color w:val="auto"/>
          <w:sz w:val="24"/>
          <w:highlight w:val="none"/>
        </w:rPr>
      </w:pPr>
      <w:r>
        <w:rPr>
          <w:rFonts w:hint="eastAsia" w:ascii="宋体" w:hAnsi="宋体" w:cs="宋体"/>
          <w:bCs/>
          <w:color w:val="auto"/>
          <w:sz w:val="24"/>
          <w:highlight w:val="none"/>
        </w:rPr>
        <w:t>1.询价文件“供应商的资格”中特定资格条件如果没有特别规定，则由供应商在响应文件中按上述格式提供其具备履行合同所必需的设备和专业技术能力的声明即可，声明函应加盖供应商单位公章。</w:t>
      </w:r>
    </w:p>
    <w:p w14:paraId="6C4E0A77">
      <w:pPr>
        <w:spacing w:line="440" w:lineRule="exact"/>
        <w:ind w:firstLine="480" w:firstLineChars="200"/>
        <w:rPr>
          <w:rFonts w:ascii="宋体" w:hAnsi="宋体" w:cs="宋体"/>
          <w:bCs/>
          <w:color w:val="auto"/>
          <w:sz w:val="24"/>
          <w:highlight w:val="none"/>
        </w:rPr>
      </w:pPr>
      <w:r>
        <w:rPr>
          <w:rFonts w:hint="eastAsia" w:ascii="宋体" w:hAnsi="宋体" w:cs="宋体"/>
          <w:bCs/>
          <w:color w:val="auto"/>
          <w:sz w:val="24"/>
          <w:highlight w:val="none"/>
        </w:rPr>
        <w:t>2.如果根据项目的特点和需要，对履行合同所必需的设备和专业技术能力的证明材料有特别专项要求的，则采购人或采购代理机构应当在询价文件“供应商的资格”中特定资格条件进行明确约定，供应商可以不用提供上述格式要求的声明函，但必须按特定资格条件的规定提供相应专项证明材料，并对相应证明材料的真实性负责。</w:t>
      </w:r>
    </w:p>
    <w:p w14:paraId="43F0B9E0">
      <w:pPr>
        <w:spacing w:line="440" w:lineRule="exact"/>
        <w:ind w:firstLine="480" w:firstLineChars="200"/>
        <w:rPr>
          <w:rFonts w:ascii="宋体" w:hAnsi="宋体" w:cs="宋体"/>
          <w:bCs/>
          <w:color w:val="auto"/>
          <w:sz w:val="24"/>
          <w:highlight w:val="none"/>
        </w:rPr>
      </w:pPr>
      <w:r>
        <w:rPr>
          <w:rFonts w:hint="eastAsia" w:ascii="宋体" w:hAnsi="宋体" w:cs="宋体"/>
          <w:bCs/>
          <w:color w:val="auto"/>
          <w:sz w:val="24"/>
          <w:highlight w:val="none"/>
        </w:rPr>
        <w:t>3.对于接受联合体形式的询价且供应商是联合体的，则联合体各成员都应当提交本资格证明文件。</w:t>
      </w:r>
    </w:p>
    <w:p w14:paraId="6D144DC2">
      <w:pPr>
        <w:spacing w:line="440" w:lineRule="exact"/>
        <w:rPr>
          <w:rFonts w:ascii="宋体" w:hAnsi="宋体" w:cs="宋体"/>
          <w:color w:val="auto"/>
          <w:sz w:val="24"/>
          <w:highlight w:val="none"/>
        </w:rPr>
      </w:pPr>
    </w:p>
    <w:p w14:paraId="0B9DA45A">
      <w:pPr>
        <w:spacing w:line="440" w:lineRule="exact"/>
        <w:rPr>
          <w:rFonts w:ascii="宋体" w:hAnsi="宋体" w:cs="宋体"/>
          <w:color w:val="auto"/>
          <w:sz w:val="24"/>
          <w:highlight w:val="none"/>
          <w:u w:val="single"/>
        </w:rPr>
      </w:pPr>
      <w:r>
        <w:rPr>
          <w:rFonts w:hint="eastAsia" w:ascii="宋体" w:hAnsi="宋体" w:cs="宋体"/>
          <w:color w:val="auto"/>
          <w:sz w:val="24"/>
          <w:highlight w:val="none"/>
        </w:rPr>
        <w:t>供应商代表：</w:t>
      </w:r>
      <w:r>
        <w:rPr>
          <w:rFonts w:hint="eastAsia" w:ascii="宋体" w:hAnsi="宋体" w:cs="宋体"/>
          <w:color w:val="auto"/>
          <w:sz w:val="24"/>
          <w:highlight w:val="none"/>
          <w:u w:val="single"/>
        </w:rPr>
        <w:t xml:space="preserve"> （签字）</w:t>
      </w:r>
    </w:p>
    <w:p w14:paraId="6182D2C2">
      <w:pPr>
        <w:spacing w:line="440" w:lineRule="exact"/>
        <w:rPr>
          <w:rFonts w:ascii="宋体" w:hAnsi="宋体" w:cs="宋体"/>
          <w:color w:val="auto"/>
          <w:sz w:val="24"/>
          <w:highlight w:val="none"/>
          <w:u w:val="single"/>
        </w:rPr>
      </w:pPr>
      <w:r>
        <w:rPr>
          <w:rFonts w:hint="eastAsia" w:ascii="宋体" w:hAnsi="宋体" w:cs="宋体"/>
          <w:color w:val="auto"/>
          <w:sz w:val="24"/>
          <w:highlight w:val="none"/>
        </w:rPr>
        <w:t>供应商名称：</w:t>
      </w:r>
      <w:r>
        <w:rPr>
          <w:rFonts w:hint="eastAsia" w:ascii="宋体" w:hAnsi="宋体" w:cs="宋体"/>
          <w:color w:val="auto"/>
          <w:sz w:val="24"/>
          <w:highlight w:val="none"/>
          <w:u w:val="single"/>
        </w:rPr>
        <w:t xml:space="preserve">         （全称并加盖公章）              </w:t>
      </w:r>
    </w:p>
    <w:p w14:paraId="689ADDF3">
      <w:pPr>
        <w:spacing w:line="440" w:lineRule="exact"/>
        <w:rPr>
          <w:rFonts w:ascii="宋体" w:hAnsi="宋体" w:cs="宋体"/>
          <w:color w:val="auto"/>
          <w:sz w:val="24"/>
          <w:highlight w:val="none"/>
        </w:rPr>
      </w:pPr>
      <w:r>
        <w:rPr>
          <w:rFonts w:hint="eastAsia" w:ascii="宋体" w:hAnsi="宋体" w:cs="宋体"/>
          <w:color w:val="auto"/>
          <w:sz w:val="24"/>
          <w:highlight w:val="none"/>
        </w:rPr>
        <w:t>日  期： 年 月 日</w:t>
      </w:r>
    </w:p>
    <w:p w14:paraId="12E547AA">
      <w:pPr>
        <w:spacing w:line="440" w:lineRule="exact"/>
        <w:rPr>
          <w:rFonts w:ascii="宋体" w:hAnsi="宋体" w:cs="宋体"/>
          <w:color w:val="auto"/>
          <w:sz w:val="24"/>
          <w:highlight w:val="none"/>
        </w:rPr>
      </w:pPr>
    </w:p>
    <w:p w14:paraId="0482A0EB">
      <w:pPr>
        <w:spacing w:line="440" w:lineRule="exact"/>
        <w:rPr>
          <w:rFonts w:ascii="宋体" w:hAnsi="宋体" w:cs="宋体"/>
          <w:color w:val="auto"/>
          <w:sz w:val="24"/>
          <w:highlight w:val="none"/>
        </w:rPr>
      </w:pPr>
    </w:p>
    <w:p w14:paraId="13429DA6">
      <w:pPr>
        <w:spacing w:line="440" w:lineRule="exact"/>
        <w:rPr>
          <w:rFonts w:ascii="宋体" w:hAnsi="宋体" w:cs="宋体"/>
          <w:color w:val="auto"/>
          <w:sz w:val="24"/>
          <w:highlight w:val="none"/>
        </w:rPr>
      </w:pPr>
    </w:p>
    <w:p w14:paraId="27A6FD45">
      <w:pPr>
        <w:spacing w:line="440" w:lineRule="exact"/>
        <w:rPr>
          <w:rFonts w:ascii="宋体" w:hAnsi="宋体" w:cs="宋体"/>
          <w:color w:val="auto"/>
          <w:sz w:val="24"/>
          <w:highlight w:val="none"/>
        </w:rPr>
      </w:pPr>
    </w:p>
    <w:p w14:paraId="1B49FA71">
      <w:pPr>
        <w:spacing w:line="440" w:lineRule="exact"/>
        <w:rPr>
          <w:rFonts w:ascii="宋体" w:hAnsi="宋体" w:cs="宋体"/>
          <w:color w:val="auto"/>
          <w:sz w:val="24"/>
          <w:highlight w:val="none"/>
        </w:rPr>
      </w:pPr>
    </w:p>
    <w:p w14:paraId="45CD8B4B">
      <w:pPr>
        <w:spacing w:line="440" w:lineRule="exact"/>
        <w:rPr>
          <w:rFonts w:ascii="宋体" w:hAnsi="宋体" w:cs="宋体"/>
          <w:color w:val="auto"/>
          <w:sz w:val="24"/>
          <w:highlight w:val="none"/>
        </w:rPr>
      </w:pPr>
    </w:p>
    <w:p w14:paraId="7E25BA79">
      <w:pPr>
        <w:spacing w:line="400" w:lineRule="exact"/>
        <w:jc w:val="left"/>
        <w:rPr>
          <w:rFonts w:ascii="宋体" w:hAnsi="宋体" w:cs="宋体"/>
          <w:b/>
          <w:color w:val="auto"/>
          <w:kern w:val="0"/>
          <w:sz w:val="28"/>
          <w:highlight w:val="none"/>
        </w:rPr>
      </w:pPr>
      <w:r>
        <w:rPr>
          <w:rFonts w:hint="eastAsia" w:ascii="宋体" w:hAnsi="宋体" w:cs="宋体"/>
          <w:color w:val="auto"/>
          <w:highlight w:val="none"/>
        </w:rPr>
        <w:br w:type="page"/>
      </w:r>
      <w:r>
        <w:rPr>
          <w:rFonts w:hint="eastAsia" w:ascii="宋体" w:hAnsi="宋体" w:cs="宋体"/>
          <w:color w:val="auto"/>
          <w:sz w:val="24"/>
          <w:highlight w:val="none"/>
        </w:rPr>
        <w:t>附件</w:t>
      </w:r>
      <w:r>
        <w:rPr>
          <w:rFonts w:hint="eastAsia" w:ascii="宋体" w:hAnsi="宋体" w:cs="宋体"/>
          <w:color w:val="auto"/>
          <w:sz w:val="24"/>
          <w:highlight w:val="none"/>
          <w:lang w:val="en-US" w:eastAsia="zh-CN"/>
        </w:rPr>
        <w:t>4</w:t>
      </w:r>
      <w:r>
        <w:rPr>
          <w:rFonts w:hint="eastAsia" w:ascii="宋体" w:hAnsi="宋体" w:cs="宋体"/>
          <w:color w:val="auto"/>
          <w:sz w:val="24"/>
          <w:highlight w:val="none"/>
        </w:rPr>
        <w:t>-</w:t>
      </w:r>
      <w:r>
        <w:rPr>
          <w:rFonts w:hint="eastAsia" w:ascii="宋体" w:hAnsi="宋体" w:cs="宋体"/>
          <w:color w:val="auto"/>
          <w:sz w:val="24"/>
          <w:highlight w:val="none"/>
          <w:lang w:val="en-US" w:eastAsia="zh-CN"/>
        </w:rPr>
        <w:t>10</w:t>
      </w:r>
      <w:r>
        <w:rPr>
          <w:rFonts w:hint="eastAsia" w:ascii="宋体" w:hAnsi="宋体" w:cs="宋体"/>
          <w:color w:val="auto"/>
          <w:sz w:val="24"/>
          <w:highlight w:val="none"/>
        </w:rPr>
        <w:t xml:space="preserve">           </w:t>
      </w:r>
      <w:r>
        <w:rPr>
          <w:rFonts w:hint="eastAsia" w:ascii="宋体" w:hAnsi="宋体" w:cs="宋体"/>
          <w:b/>
          <w:color w:val="auto"/>
          <w:kern w:val="0"/>
          <w:sz w:val="28"/>
          <w:highlight w:val="none"/>
        </w:rPr>
        <w:t>参加采购活动前三年内在经营活动中</w:t>
      </w:r>
    </w:p>
    <w:p w14:paraId="7B8EAD78">
      <w:pPr>
        <w:spacing w:line="440" w:lineRule="exact"/>
        <w:jc w:val="center"/>
        <w:rPr>
          <w:rFonts w:ascii="宋体" w:hAnsi="宋体" w:cs="宋体"/>
          <w:b/>
          <w:color w:val="auto"/>
          <w:kern w:val="0"/>
          <w:sz w:val="28"/>
          <w:highlight w:val="none"/>
        </w:rPr>
      </w:pPr>
      <w:r>
        <w:rPr>
          <w:rFonts w:hint="eastAsia" w:ascii="宋体" w:hAnsi="宋体" w:cs="宋体"/>
          <w:b/>
          <w:color w:val="auto"/>
          <w:kern w:val="0"/>
          <w:sz w:val="28"/>
          <w:highlight w:val="none"/>
        </w:rPr>
        <w:t>没有重大违法记录书面声明</w:t>
      </w:r>
    </w:p>
    <w:p w14:paraId="19F52C99">
      <w:pPr>
        <w:spacing w:line="440" w:lineRule="exact"/>
        <w:rPr>
          <w:rFonts w:ascii="宋体" w:hAnsi="宋体" w:cs="宋体"/>
          <w:b/>
          <w:color w:val="auto"/>
          <w:kern w:val="0"/>
          <w:sz w:val="28"/>
          <w:highlight w:val="none"/>
        </w:rPr>
      </w:pPr>
    </w:p>
    <w:p w14:paraId="0C18193F">
      <w:pPr>
        <w:spacing w:line="440" w:lineRule="exact"/>
        <w:rPr>
          <w:rFonts w:ascii="宋体" w:hAnsi="宋体" w:cs="宋体"/>
          <w:color w:val="auto"/>
          <w:sz w:val="24"/>
          <w:highlight w:val="none"/>
          <w:u w:val="single"/>
        </w:rPr>
      </w:pPr>
      <w:r>
        <w:rPr>
          <w:rFonts w:hint="eastAsia" w:ascii="宋体" w:hAnsi="宋体" w:cs="宋体"/>
          <w:color w:val="auto"/>
          <w:sz w:val="24"/>
          <w:highlight w:val="none"/>
        </w:rPr>
        <w:t>致：</w:t>
      </w:r>
      <w:r>
        <w:rPr>
          <w:rFonts w:hint="eastAsia" w:ascii="宋体" w:hAnsi="宋体" w:cs="宋体"/>
          <w:color w:val="auto"/>
          <w:szCs w:val="21"/>
          <w:highlight w:val="none"/>
        </w:rPr>
        <w:t>厦门湖里国投物业服务有限公司</w:t>
      </w:r>
    </w:p>
    <w:p w14:paraId="7D183EF7">
      <w:pPr>
        <w:spacing w:line="44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参加采购活动前三年内，我方在经营活动中没有重大违法记录，即没有因违法经营受到刑事处罚或责令停产停业、吊销许可证或执照、较大数额罚款等行政处罚。否则产生不利后果由我方承担责任。</w:t>
      </w:r>
    </w:p>
    <w:p w14:paraId="54BD0110">
      <w:pPr>
        <w:spacing w:line="440" w:lineRule="exact"/>
        <w:rPr>
          <w:rFonts w:ascii="宋体" w:hAnsi="宋体" w:cs="宋体"/>
          <w:color w:val="auto"/>
          <w:sz w:val="24"/>
          <w:highlight w:val="none"/>
        </w:rPr>
      </w:pPr>
      <w:r>
        <w:rPr>
          <w:rFonts w:hint="eastAsia" w:ascii="宋体" w:hAnsi="宋体" w:cs="宋体"/>
          <w:color w:val="auto"/>
          <w:sz w:val="24"/>
          <w:highlight w:val="none"/>
        </w:rPr>
        <w:t>特此声明。</w:t>
      </w:r>
    </w:p>
    <w:p w14:paraId="394F767A">
      <w:pPr>
        <w:spacing w:line="440" w:lineRule="exact"/>
        <w:rPr>
          <w:rFonts w:ascii="宋体" w:hAnsi="宋体" w:cs="宋体"/>
          <w:color w:val="auto"/>
          <w:sz w:val="24"/>
          <w:highlight w:val="none"/>
        </w:rPr>
      </w:pPr>
    </w:p>
    <w:p w14:paraId="656C1DFB">
      <w:pPr>
        <w:spacing w:line="440" w:lineRule="exact"/>
        <w:rPr>
          <w:rFonts w:ascii="宋体" w:hAnsi="宋体" w:cs="宋体"/>
          <w:color w:val="auto"/>
          <w:sz w:val="24"/>
          <w:highlight w:val="none"/>
        </w:rPr>
      </w:pPr>
      <w:r>
        <w:rPr>
          <w:rFonts w:hint="eastAsia" w:ascii="宋体" w:hAnsi="宋体" w:cs="宋体"/>
          <w:color w:val="auto"/>
          <w:sz w:val="24"/>
          <w:highlight w:val="none"/>
        </w:rPr>
        <w:t>★注意：</w:t>
      </w:r>
    </w:p>
    <w:p w14:paraId="06938250">
      <w:pPr>
        <w:spacing w:line="440" w:lineRule="exact"/>
        <w:ind w:firstLine="240" w:firstLineChars="100"/>
        <w:rPr>
          <w:rFonts w:ascii="宋体" w:hAnsi="宋体" w:cs="宋体"/>
          <w:color w:val="auto"/>
          <w:sz w:val="24"/>
          <w:highlight w:val="none"/>
        </w:rPr>
      </w:pPr>
      <w:r>
        <w:rPr>
          <w:rFonts w:hint="eastAsia" w:ascii="宋体" w:hAnsi="宋体" w:cs="宋体"/>
          <w:color w:val="auto"/>
          <w:sz w:val="24"/>
          <w:highlight w:val="none"/>
        </w:rPr>
        <w:t>1、“重大违法记录”指供应商因违法经营受到刑事处罚或责令停产停业、吊销许可证或执照、较大数额罚款等行政处罚。</w:t>
      </w:r>
    </w:p>
    <w:p w14:paraId="5F08BD3A">
      <w:pPr>
        <w:spacing w:line="440" w:lineRule="exact"/>
        <w:ind w:firstLine="240" w:firstLineChars="100"/>
        <w:rPr>
          <w:rFonts w:ascii="宋体" w:hAnsi="宋体" w:cs="宋体"/>
          <w:color w:val="auto"/>
          <w:sz w:val="24"/>
          <w:highlight w:val="none"/>
        </w:rPr>
      </w:pPr>
      <w:r>
        <w:rPr>
          <w:rFonts w:hint="eastAsia" w:ascii="宋体" w:hAnsi="宋体" w:cs="宋体"/>
          <w:color w:val="auto"/>
          <w:sz w:val="24"/>
          <w:highlight w:val="none"/>
        </w:rPr>
        <w:t>2、请供应商根据实际情况如实声明，否则视为提供虚假材料。</w:t>
      </w:r>
    </w:p>
    <w:p w14:paraId="1232D104">
      <w:pPr>
        <w:spacing w:line="440" w:lineRule="exact"/>
        <w:rPr>
          <w:rFonts w:ascii="宋体" w:hAnsi="宋体" w:cs="宋体"/>
          <w:color w:val="auto"/>
          <w:sz w:val="24"/>
          <w:highlight w:val="none"/>
        </w:rPr>
      </w:pPr>
    </w:p>
    <w:p w14:paraId="1836F248">
      <w:pPr>
        <w:spacing w:line="440" w:lineRule="exact"/>
        <w:rPr>
          <w:rFonts w:ascii="宋体" w:hAnsi="宋体" w:cs="宋体"/>
          <w:color w:val="auto"/>
          <w:sz w:val="24"/>
          <w:highlight w:val="none"/>
          <w:u w:val="single"/>
        </w:rPr>
      </w:pPr>
      <w:r>
        <w:rPr>
          <w:rFonts w:hint="eastAsia" w:ascii="宋体" w:hAnsi="宋体" w:cs="宋体"/>
          <w:color w:val="auto"/>
          <w:sz w:val="24"/>
          <w:highlight w:val="none"/>
        </w:rPr>
        <w:t>供应商代表：</w:t>
      </w:r>
      <w:r>
        <w:rPr>
          <w:rFonts w:hint="eastAsia" w:ascii="宋体" w:hAnsi="宋体" w:cs="宋体"/>
          <w:color w:val="auto"/>
          <w:sz w:val="24"/>
          <w:highlight w:val="none"/>
          <w:u w:val="single"/>
        </w:rPr>
        <w:t xml:space="preserve"> （签字）</w:t>
      </w:r>
    </w:p>
    <w:p w14:paraId="1A738726">
      <w:pPr>
        <w:spacing w:line="440" w:lineRule="exact"/>
        <w:rPr>
          <w:rFonts w:ascii="宋体" w:hAnsi="宋体" w:cs="宋体"/>
          <w:color w:val="auto"/>
          <w:sz w:val="24"/>
          <w:highlight w:val="none"/>
          <w:u w:val="single"/>
        </w:rPr>
      </w:pPr>
      <w:r>
        <w:rPr>
          <w:rFonts w:hint="eastAsia" w:ascii="宋体" w:hAnsi="宋体" w:cs="宋体"/>
          <w:color w:val="auto"/>
          <w:sz w:val="24"/>
          <w:highlight w:val="none"/>
        </w:rPr>
        <w:t>供应商名称：</w:t>
      </w:r>
      <w:r>
        <w:rPr>
          <w:rFonts w:hint="eastAsia" w:ascii="宋体" w:hAnsi="宋体" w:cs="宋体"/>
          <w:color w:val="auto"/>
          <w:sz w:val="24"/>
          <w:highlight w:val="none"/>
          <w:u w:val="single"/>
        </w:rPr>
        <w:t xml:space="preserve">         （全称并加盖公章）              </w:t>
      </w:r>
    </w:p>
    <w:p w14:paraId="4B1A8B5B">
      <w:pPr>
        <w:spacing w:line="440" w:lineRule="exact"/>
        <w:rPr>
          <w:rFonts w:ascii="宋体" w:hAnsi="宋体" w:cs="宋体"/>
          <w:color w:val="auto"/>
          <w:sz w:val="24"/>
          <w:highlight w:val="none"/>
        </w:rPr>
      </w:pPr>
      <w:r>
        <w:rPr>
          <w:rFonts w:hint="eastAsia" w:ascii="宋体" w:hAnsi="宋体" w:cs="宋体"/>
          <w:color w:val="auto"/>
          <w:sz w:val="24"/>
          <w:highlight w:val="none"/>
        </w:rPr>
        <w:t>日  期： 年 月 日</w:t>
      </w:r>
    </w:p>
    <w:p w14:paraId="79F61DE7">
      <w:pPr>
        <w:pStyle w:val="94"/>
        <w:jc w:val="center"/>
        <w:outlineLvl w:val="2"/>
        <w:rPr>
          <w:rFonts w:hint="default" w:ascii="宋体" w:hAnsi="宋体" w:eastAsia="宋体" w:cs="宋体"/>
          <w:b/>
          <w:color w:val="auto"/>
          <w:sz w:val="28"/>
          <w:highlight w:val="none"/>
        </w:rPr>
      </w:pPr>
    </w:p>
    <w:p w14:paraId="4910345E">
      <w:pPr>
        <w:pStyle w:val="94"/>
        <w:jc w:val="center"/>
        <w:outlineLvl w:val="2"/>
        <w:rPr>
          <w:rFonts w:hint="default" w:ascii="宋体" w:hAnsi="宋体" w:eastAsia="宋体" w:cs="宋体"/>
          <w:b/>
          <w:color w:val="auto"/>
          <w:sz w:val="28"/>
          <w:highlight w:val="none"/>
        </w:rPr>
      </w:pPr>
    </w:p>
    <w:p w14:paraId="62D8FCD5">
      <w:pPr>
        <w:pStyle w:val="94"/>
        <w:jc w:val="center"/>
        <w:outlineLvl w:val="2"/>
        <w:rPr>
          <w:rFonts w:hint="default" w:ascii="宋体" w:hAnsi="宋体" w:eastAsia="宋体" w:cs="宋体"/>
          <w:b/>
          <w:color w:val="auto"/>
          <w:sz w:val="28"/>
          <w:highlight w:val="none"/>
        </w:rPr>
      </w:pPr>
    </w:p>
    <w:p w14:paraId="26787B74">
      <w:pPr>
        <w:pStyle w:val="94"/>
        <w:jc w:val="center"/>
        <w:outlineLvl w:val="2"/>
        <w:rPr>
          <w:rFonts w:hint="default" w:ascii="宋体" w:hAnsi="宋体" w:eastAsia="宋体" w:cs="宋体"/>
          <w:b/>
          <w:color w:val="auto"/>
          <w:sz w:val="28"/>
          <w:highlight w:val="none"/>
        </w:rPr>
      </w:pPr>
    </w:p>
    <w:p w14:paraId="7C037CE3">
      <w:pPr>
        <w:pStyle w:val="94"/>
        <w:jc w:val="center"/>
        <w:outlineLvl w:val="2"/>
        <w:rPr>
          <w:rFonts w:hint="default" w:ascii="宋体" w:hAnsi="宋体" w:eastAsia="宋体" w:cs="宋体"/>
          <w:b/>
          <w:color w:val="auto"/>
          <w:sz w:val="28"/>
          <w:highlight w:val="none"/>
        </w:rPr>
      </w:pPr>
    </w:p>
    <w:p w14:paraId="2D528AA8">
      <w:pPr>
        <w:pStyle w:val="94"/>
        <w:jc w:val="center"/>
        <w:outlineLvl w:val="2"/>
        <w:rPr>
          <w:rFonts w:hint="default" w:ascii="宋体" w:hAnsi="宋体" w:eastAsia="宋体" w:cs="宋体"/>
          <w:b/>
          <w:color w:val="auto"/>
          <w:sz w:val="28"/>
          <w:highlight w:val="none"/>
        </w:rPr>
      </w:pPr>
    </w:p>
    <w:p w14:paraId="0D2E0738">
      <w:pPr>
        <w:pStyle w:val="94"/>
        <w:jc w:val="center"/>
        <w:outlineLvl w:val="2"/>
        <w:rPr>
          <w:rFonts w:hint="default" w:ascii="宋体" w:hAnsi="宋体" w:eastAsia="宋体" w:cs="宋体"/>
          <w:b/>
          <w:color w:val="auto"/>
          <w:sz w:val="28"/>
          <w:highlight w:val="none"/>
        </w:rPr>
      </w:pPr>
    </w:p>
    <w:p w14:paraId="72DDC965">
      <w:pPr>
        <w:pStyle w:val="94"/>
        <w:jc w:val="center"/>
        <w:outlineLvl w:val="2"/>
        <w:rPr>
          <w:rFonts w:hint="default" w:ascii="宋体" w:hAnsi="宋体" w:eastAsia="宋体" w:cs="宋体"/>
          <w:b/>
          <w:color w:val="auto"/>
          <w:sz w:val="28"/>
          <w:highlight w:val="none"/>
        </w:rPr>
      </w:pPr>
    </w:p>
    <w:p w14:paraId="520402BA">
      <w:pPr>
        <w:pStyle w:val="94"/>
        <w:jc w:val="center"/>
        <w:outlineLvl w:val="2"/>
        <w:rPr>
          <w:rFonts w:hint="default" w:ascii="宋体" w:hAnsi="宋体" w:eastAsia="宋体" w:cs="宋体"/>
          <w:b/>
          <w:color w:val="auto"/>
          <w:sz w:val="28"/>
          <w:highlight w:val="none"/>
        </w:rPr>
      </w:pPr>
    </w:p>
    <w:p w14:paraId="1953B236">
      <w:pPr>
        <w:pStyle w:val="94"/>
        <w:jc w:val="center"/>
        <w:outlineLvl w:val="2"/>
        <w:rPr>
          <w:rFonts w:hint="default" w:ascii="宋体" w:hAnsi="宋体" w:eastAsia="宋体" w:cs="宋体"/>
          <w:b/>
          <w:color w:val="auto"/>
          <w:sz w:val="28"/>
          <w:highlight w:val="none"/>
        </w:rPr>
      </w:pPr>
    </w:p>
    <w:p w14:paraId="60162588">
      <w:pPr>
        <w:pStyle w:val="94"/>
        <w:jc w:val="center"/>
        <w:outlineLvl w:val="2"/>
        <w:rPr>
          <w:rFonts w:hint="default" w:ascii="宋体" w:hAnsi="宋体" w:eastAsia="宋体" w:cs="宋体"/>
          <w:b/>
          <w:color w:val="auto"/>
          <w:sz w:val="28"/>
          <w:highlight w:val="none"/>
        </w:rPr>
      </w:pPr>
    </w:p>
    <w:p w14:paraId="77060A2D">
      <w:pPr>
        <w:pStyle w:val="94"/>
        <w:jc w:val="center"/>
        <w:outlineLvl w:val="2"/>
        <w:rPr>
          <w:rFonts w:hint="default" w:ascii="宋体" w:hAnsi="宋体" w:eastAsia="宋体" w:cs="宋体"/>
          <w:b/>
          <w:color w:val="auto"/>
          <w:sz w:val="28"/>
          <w:highlight w:val="none"/>
        </w:rPr>
      </w:pPr>
    </w:p>
    <w:p w14:paraId="686A4B6F">
      <w:pPr>
        <w:pStyle w:val="94"/>
        <w:jc w:val="center"/>
        <w:outlineLvl w:val="2"/>
        <w:rPr>
          <w:rFonts w:hint="default" w:ascii="宋体" w:hAnsi="宋体" w:eastAsia="宋体" w:cs="宋体"/>
          <w:b/>
          <w:color w:val="auto"/>
          <w:sz w:val="28"/>
          <w:highlight w:val="none"/>
        </w:rPr>
      </w:pPr>
    </w:p>
    <w:p w14:paraId="3BB69B94">
      <w:pPr>
        <w:pStyle w:val="94"/>
        <w:jc w:val="center"/>
        <w:outlineLvl w:val="2"/>
        <w:rPr>
          <w:rFonts w:hint="default" w:ascii="宋体" w:hAnsi="宋体" w:eastAsia="宋体" w:cs="宋体"/>
          <w:b/>
          <w:color w:val="auto"/>
          <w:sz w:val="28"/>
          <w:highlight w:val="none"/>
        </w:rPr>
      </w:pPr>
    </w:p>
    <w:p w14:paraId="37EE4344">
      <w:pPr>
        <w:pStyle w:val="94"/>
        <w:jc w:val="center"/>
        <w:outlineLvl w:val="2"/>
        <w:rPr>
          <w:rFonts w:hint="default" w:ascii="宋体" w:hAnsi="宋体" w:eastAsia="宋体" w:cs="宋体"/>
          <w:b/>
          <w:color w:val="auto"/>
          <w:sz w:val="28"/>
          <w:highlight w:val="none"/>
        </w:rPr>
      </w:pPr>
    </w:p>
    <w:p w14:paraId="0A88ABC2">
      <w:pPr>
        <w:pStyle w:val="94"/>
        <w:jc w:val="center"/>
        <w:outlineLvl w:val="2"/>
        <w:rPr>
          <w:rFonts w:hint="default" w:ascii="宋体" w:hAnsi="宋体" w:eastAsia="宋体" w:cs="宋体"/>
          <w:b/>
          <w:color w:val="auto"/>
          <w:sz w:val="28"/>
          <w:highlight w:val="none"/>
        </w:rPr>
      </w:pPr>
    </w:p>
    <w:p w14:paraId="716AF24C">
      <w:pPr>
        <w:pStyle w:val="94"/>
        <w:outlineLvl w:val="2"/>
        <w:rPr>
          <w:rFonts w:hint="default" w:ascii="宋体" w:hAnsi="宋体" w:eastAsia="宋体" w:cs="宋体"/>
          <w:color w:val="auto"/>
          <w:highlight w:val="none"/>
        </w:rPr>
      </w:pPr>
      <w:r>
        <w:rPr>
          <w:rFonts w:ascii="宋体" w:hAnsi="宋体" w:eastAsia="宋体" w:cs="宋体"/>
          <w:color w:val="auto"/>
          <w:sz w:val="24"/>
          <w:highlight w:val="none"/>
        </w:rPr>
        <w:t>附件</w:t>
      </w:r>
      <w:r>
        <w:rPr>
          <w:rFonts w:hint="eastAsia" w:ascii="宋体" w:hAnsi="宋体" w:cs="宋体"/>
          <w:color w:val="auto"/>
          <w:sz w:val="24"/>
          <w:highlight w:val="none"/>
          <w:lang w:val="en-US" w:eastAsia="zh-CN"/>
        </w:rPr>
        <w:t>4</w:t>
      </w:r>
      <w:r>
        <w:rPr>
          <w:rFonts w:ascii="宋体" w:hAnsi="宋体" w:eastAsia="宋体" w:cs="宋体"/>
          <w:color w:val="auto"/>
          <w:sz w:val="24"/>
          <w:highlight w:val="none"/>
        </w:rPr>
        <w:t>-1</w:t>
      </w:r>
      <w:r>
        <w:rPr>
          <w:rFonts w:hint="eastAsia" w:ascii="宋体" w:hAnsi="宋体" w:cs="宋体"/>
          <w:color w:val="auto"/>
          <w:sz w:val="24"/>
          <w:highlight w:val="none"/>
          <w:lang w:val="en-US" w:eastAsia="zh-CN"/>
        </w:rPr>
        <w:t>1</w:t>
      </w:r>
      <w:r>
        <w:rPr>
          <w:rFonts w:ascii="宋体" w:hAnsi="宋体" w:eastAsia="宋体" w:cs="宋体"/>
          <w:color w:val="auto"/>
          <w:sz w:val="24"/>
          <w:highlight w:val="none"/>
        </w:rPr>
        <w:t xml:space="preserve">                  </w:t>
      </w:r>
      <w:r>
        <w:rPr>
          <w:rFonts w:ascii="宋体" w:hAnsi="宋体" w:eastAsia="宋体" w:cs="宋体"/>
          <w:b/>
          <w:color w:val="auto"/>
          <w:sz w:val="28"/>
          <w:highlight w:val="none"/>
        </w:rPr>
        <w:t>信用记录查询结果</w:t>
      </w:r>
    </w:p>
    <w:p w14:paraId="26766C92">
      <w:pPr>
        <w:pStyle w:val="94"/>
        <w:spacing w:line="400" w:lineRule="exact"/>
        <w:ind w:firstLine="480"/>
        <w:rPr>
          <w:rFonts w:hint="default" w:ascii="宋体" w:hAnsi="宋体" w:eastAsia="宋体" w:cs="宋体"/>
          <w:color w:val="auto"/>
          <w:sz w:val="24"/>
          <w:szCs w:val="24"/>
          <w:highlight w:val="none"/>
        </w:rPr>
      </w:pPr>
      <w:r>
        <w:rPr>
          <w:rFonts w:ascii="宋体" w:hAnsi="宋体" w:eastAsia="宋体" w:cs="宋体"/>
          <w:color w:val="auto"/>
          <w:sz w:val="24"/>
          <w:szCs w:val="24"/>
          <w:highlight w:val="none"/>
        </w:rPr>
        <w:t>1、由询价小组通过网站查询并打印供应商的信用记录。</w:t>
      </w:r>
    </w:p>
    <w:p w14:paraId="35967BA5">
      <w:pPr>
        <w:pStyle w:val="94"/>
        <w:spacing w:line="400" w:lineRule="exact"/>
        <w:ind w:firstLine="480"/>
        <w:rPr>
          <w:rFonts w:hint="default" w:ascii="宋体" w:hAnsi="宋体" w:eastAsia="宋体" w:cs="宋体"/>
          <w:color w:val="auto"/>
          <w:sz w:val="24"/>
          <w:szCs w:val="24"/>
          <w:highlight w:val="none"/>
        </w:rPr>
      </w:pPr>
      <w:r>
        <w:rPr>
          <w:rFonts w:ascii="宋体" w:hAnsi="宋体" w:eastAsia="宋体" w:cs="宋体"/>
          <w:color w:val="auto"/>
          <w:sz w:val="24"/>
          <w:szCs w:val="24"/>
          <w:highlight w:val="none"/>
        </w:rPr>
        <w:t>2、经查询，供应商参加本项目采购活动(响应文件递交截止时间)前三年内被列入失信被执行人名单、重大税收违法案件当事人名单、政府采购严重违法失信行为记录名单及其他重大违法记录且相关信用惩戒期限未满的，其资格审查不合格。</w:t>
      </w:r>
    </w:p>
    <w:p w14:paraId="501B7A68">
      <w:pPr>
        <w:spacing w:line="400" w:lineRule="exact"/>
        <w:ind w:firstLine="480"/>
        <w:jc w:val="left"/>
        <w:rPr>
          <w:rFonts w:ascii="宋体" w:hAnsi="宋体" w:cs="宋体"/>
          <w:color w:val="auto"/>
          <w:sz w:val="24"/>
          <w:highlight w:val="none"/>
        </w:rPr>
      </w:pPr>
      <w:r>
        <w:rPr>
          <w:rFonts w:hint="eastAsia" w:ascii="宋体" w:hAnsi="宋体" w:cs="宋体"/>
          <w:color w:val="auto"/>
          <w:sz w:val="24"/>
          <w:highlight w:val="none"/>
        </w:rPr>
        <w:t>3、供应商应了解自身的信用记录情况。当供应商受到200万以上罚款的行政处罚且该罚款不属较大数额罚款时，供应商应在电子响应文件中提供此项罚款不属于较大数额罚款的依据（如提供：相关法律制度的规定、行政执法机构对该罚款不属于较大数额罚款的认定或者其他有效依据）。</w:t>
      </w:r>
    </w:p>
    <w:p w14:paraId="61120E6E">
      <w:pPr>
        <w:spacing w:line="400" w:lineRule="exact"/>
        <w:ind w:firstLine="480"/>
        <w:jc w:val="left"/>
        <w:rPr>
          <w:rFonts w:ascii="宋体" w:hAnsi="宋体" w:cs="宋体"/>
          <w:color w:val="auto"/>
          <w:sz w:val="24"/>
          <w:highlight w:val="none"/>
        </w:rPr>
      </w:pPr>
    </w:p>
    <w:p w14:paraId="02DB92F6">
      <w:pPr>
        <w:spacing w:line="400" w:lineRule="exact"/>
        <w:ind w:firstLine="480"/>
        <w:jc w:val="left"/>
        <w:rPr>
          <w:rFonts w:ascii="宋体" w:hAnsi="宋体" w:cs="宋体"/>
          <w:color w:val="auto"/>
          <w:sz w:val="24"/>
          <w:highlight w:val="none"/>
        </w:rPr>
      </w:pPr>
    </w:p>
    <w:p w14:paraId="6CB4373A">
      <w:pPr>
        <w:spacing w:line="400" w:lineRule="exact"/>
        <w:ind w:firstLine="480"/>
        <w:jc w:val="left"/>
        <w:rPr>
          <w:rFonts w:ascii="宋体" w:hAnsi="宋体" w:cs="宋体"/>
          <w:color w:val="auto"/>
          <w:sz w:val="24"/>
          <w:highlight w:val="none"/>
        </w:rPr>
      </w:pPr>
    </w:p>
    <w:p w14:paraId="1B4FAC08">
      <w:pPr>
        <w:spacing w:line="400" w:lineRule="exact"/>
        <w:ind w:firstLine="480"/>
        <w:jc w:val="left"/>
        <w:rPr>
          <w:rFonts w:ascii="宋体" w:hAnsi="宋体" w:cs="宋体"/>
          <w:color w:val="auto"/>
          <w:sz w:val="24"/>
          <w:highlight w:val="none"/>
        </w:rPr>
      </w:pPr>
    </w:p>
    <w:p w14:paraId="1DF5716F">
      <w:pPr>
        <w:spacing w:line="400" w:lineRule="exact"/>
        <w:ind w:firstLine="480"/>
        <w:jc w:val="left"/>
        <w:rPr>
          <w:rFonts w:ascii="宋体" w:hAnsi="宋体" w:cs="宋体"/>
          <w:color w:val="auto"/>
          <w:sz w:val="24"/>
          <w:highlight w:val="none"/>
        </w:rPr>
      </w:pPr>
    </w:p>
    <w:p w14:paraId="48180048">
      <w:pPr>
        <w:spacing w:line="400" w:lineRule="exact"/>
        <w:ind w:firstLine="480"/>
        <w:jc w:val="left"/>
        <w:rPr>
          <w:rFonts w:ascii="宋体" w:hAnsi="宋体" w:cs="宋体"/>
          <w:color w:val="auto"/>
          <w:sz w:val="24"/>
          <w:highlight w:val="none"/>
        </w:rPr>
      </w:pPr>
    </w:p>
    <w:p w14:paraId="580C10DA">
      <w:pPr>
        <w:spacing w:line="400" w:lineRule="exact"/>
        <w:ind w:firstLine="480"/>
        <w:jc w:val="left"/>
        <w:rPr>
          <w:rFonts w:ascii="宋体" w:hAnsi="宋体" w:cs="宋体"/>
          <w:color w:val="auto"/>
          <w:sz w:val="24"/>
          <w:highlight w:val="none"/>
        </w:rPr>
      </w:pPr>
    </w:p>
    <w:p w14:paraId="39C8BD32">
      <w:pPr>
        <w:spacing w:line="400" w:lineRule="exact"/>
        <w:ind w:firstLine="480"/>
        <w:jc w:val="left"/>
        <w:rPr>
          <w:rFonts w:ascii="宋体" w:hAnsi="宋体" w:cs="宋体"/>
          <w:color w:val="auto"/>
          <w:sz w:val="24"/>
          <w:highlight w:val="none"/>
        </w:rPr>
      </w:pPr>
    </w:p>
    <w:p w14:paraId="4C485865">
      <w:pPr>
        <w:spacing w:line="400" w:lineRule="exact"/>
        <w:ind w:firstLine="480"/>
        <w:jc w:val="left"/>
        <w:rPr>
          <w:rFonts w:ascii="宋体" w:hAnsi="宋体" w:cs="宋体"/>
          <w:color w:val="auto"/>
          <w:sz w:val="24"/>
          <w:highlight w:val="none"/>
        </w:rPr>
      </w:pPr>
    </w:p>
    <w:p w14:paraId="07220881">
      <w:pPr>
        <w:spacing w:line="400" w:lineRule="exact"/>
        <w:ind w:firstLine="480"/>
        <w:jc w:val="left"/>
        <w:rPr>
          <w:rFonts w:ascii="宋体" w:hAnsi="宋体" w:cs="宋体"/>
          <w:color w:val="auto"/>
          <w:sz w:val="24"/>
          <w:highlight w:val="none"/>
        </w:rPr>
      </w:pPr>
    </w:p>
    <w:p w14:paraId="6EA5B7B3">
      <w:pPr>
        <w:spacing w:line="400" w:lineRule="exact"/>
        <w:ind w:firstLine="480"/>
        <w:jc w:val="left"/>
        <w:rPr>
          <w:rFonts w:ascii="宋体" w:hAnsi="宋体" w:cs="宋体"/>
          <w:color w:val="auto"/>
          <w:sz w:val="24"/>
          <w:highlight w:val="none"/>
        </w:rPr>
      </w:pPr>
    </w:p>
    <w:p w14:paraId="13A4493A">
      <w:pPr>
        <w:spacing w:line="400" w:lineRule="exact"/>
        <w:ind w:firstLine="480"/>
        <w:jc w:val="left"/>
        <w:rPr>
          <w:rFonts w:ascii="宋体" w:hAnsi="宋体" w:cs="宋体"/>
          <w:color w:val="auto"/>
          <w:sz w:val="24"/>
          <w:highlight w:val="none"/>
        </w:rPr>
      </w:pPr>
    </w:p>
    <w:p w14:paraId="1A984F25">
      <w:pPr>
        <w:spacing w:line="400" w:lineRule="exact"/>
        <w:ind w:firstLine="480"/>
        <w:jc w:val="left"/>
        <w:rPr>
          <w:rFonts w:ascii="宋体" w:hAnsi="宋体" w:cs="宋体"/>
          <w:color w:val="auto"/>
          <w:sz w:val="24"/>
          <w:highlight w:val="none"/>
        </w:rPr>
      </w:pPr>
    </w:p>
    <w:p w14:paraId="5C4B4FBB">
      <w:pPr>
        <w:spacing w:line="400" w:lineRule="exact"/>
        <w:ind w:firstLine="480"/>
        <w:jc w:val="left"/>
        <w:rPr>
          <w:rFonts w:ascii="宋体" w:hAnsi="宋体" w:cs="宋体"/>
          <w:color w:val="auto"/>
          <w:sz w:val="24"/>
          <w:highlight w:val="none"/>
        </w:rPr>
      </w:pPr>
    </w:p>
    <w:p w14:paraId="2351831E">
      <w:pPr>
        <w:spacing w:line="400" w:lineRule="exact"/>
        <w:ind w:firstLine="480"/>
        <w:jc w:val="left"/>
        <w:rPr>
          <w:rFonts w:ascii="宋体" w:hAnsi="宋体" w:cs="宋体"/>
          <w:color w:val="auto"/>
          <w:sz w:val="24"/>
          <w:highlight w:val="none"/>
        </w:rPr>
      </w:pPr>
    </w:p>
    <w:p w14:paraId="4B8F4E70">
      <w:pPr>
        <w:spacing w:line="400" w:lineRule="exact"/>
        <w:ind w:firstLine="480"/>
        <w:jc w:val="left"/>
        <w:rPr>
          <w:rFonts w:ascii="宋体" w:hAnsi="宋体" w:cs="宋体"/>
          <w:color w:val="auto"/>
          <w:sz w:val="24"/>
          <w:highlight w:val="none"/>
        </w:rPr>
      </w:pPr>
    </w:p>
    <w:p w14:paraId="751949BC">
      <w:pPr>
        <w:spacing w:line="400" w:lineRule="exact"/>
        <w:ind w:firstLine="480"/>
        <w:jc w:val="left"/>
        <w:rPr>
          <w:rFonts w:ascii="宋体" w:hAnsi="宋体" w:cs="宋体"/>
          <w:color w:val="auto"/>
          <w:sz w:val="24"/>
          <w:highlight w:val="none"/>
        </w:rPr>
      </w:pPr>
    </w:p>
    <w:p w14:paraId="2F173021">
      <w:pPr>
        <w:spacing w:line="400" w:lineRule="exact"/>
        <w:ind w:firstLine="480"/>
        <w:jc w:val="left"/>
        <w:rPr>
          <w:rFonts w:ascii="宋体" w:hAnsi="宋体" w:cs="宋体"/>
          <w:color w:val="auto"/>
          <w:sz w:val="24"/>
          <w:highlight w:val="none"/>
        </w:rPr>
      </w:pPr>
    </w:p>
    <w:p w14:paraId="08130567">
      <w:pPr>
        <w:spacing w:line="400" w:lineRule="exact"/>
        <w:ind w:firstLine="480"/>
        <w:jc w:val="left"/>
        <w:rPr>
          <w:rFonts w:ascii="宋体" w:hAnsi="宋体" w:cs="宋体"/>
          <w:color w:val="auto"/>
          <w:sz w:val="24"/>
          <w:highlight w:val="none"/>
        </w:rPr>
      </w:pPr>
    </w:p>
    <w:p w14:paraId="08FA2F38">
      <w:pPr>
        <w:spacing w:line="400" w:lineRule="exact"/>
        <w:ind w:firstLine="480"/>
        <w:jc w:val="left"/>
        <w:rPr>
          <w:rFonts w:ascii="宋体" w:hAnsi="宋体" w:cs="宋体"/>
          <w:color w:val="auto"/>
          <w:sz w:val="24"/>
          <w:highlight w:val="none"/>
        </w:rPr>
      </w:pPr>
    </w:p>
    <w:p w14:paraId="59C1DCB2">
      <w:pPr>
        <w:spacing w:line="400" w:lineRule="exact"/>
        <w:ind w:firstLine="480"/>
        <w:jc w:val="left"/>
        <w:rPr>
          <w:rFonts w:ascii="宋体" w:hAnsi="宋体" w:cs="宋体"/>
          <w:color w:val="auto"/>
          <w:sz w:val="24"/>
          <w:highlight w:val="none"/>
        </w:rPr>
      </w:pPr>
    </w:p>
    <w:p w14:paraId="2BC6E067">
      <w:pPr>
        <w:spacing w:line="400" w:lineRule="exact"/>
        <w:ind w:firstLine="480"/>
        <w:jc w:val="left"/>
        <w:rPr>
          <w:rFonts w:ascii="宋体" w:hAnsi="宋体" w:cs="宋体"/>
          <w:color w:val="auto"/>
          <w:sz w:val="24"/>
          <w:highlight w:val="none"/>
        </w:rPr>
      </w:pPr>
    </w:p>
    <w:p w14:paraId="5AE8021D">
      <w:pPr>
        <w:spacing w:line="400" w:lineRule="exact"/>
        <w:ind w:firstLine="480"/>
        <w:jc w:val="left"/>
        <w:rPr>
          <w:rFonts w:ascii="宋体" w:hAnsi="宋体" w:cs="宋体"/>
          <w:color w:val="auto"/>
          <w:sz w:val="24"/>
          <w:highlight w:val="none"/>
        </w:rPr>
      </w:pPr>
    </w:p>
    <w:p w14:paraId="0EA66842">
      <w:pPr>
        <w:spacing w:line="400" w:lineRule="exact"/>
        <w:ind w:firstLine="480"/>
        <w:jc w:val="left"/>
        <w:rPr>
          <w:rFonts w:ascii="宋体" w:hAnsi="宋体" w:cs="宋体"/>
          <w:color w:val="auto"/>
          <w:sz w:val="24"/>
          <w:highlight w:val="none"/>
        </w:rPr>
      </w:pPr>
    </w:p>
    <w:p w14:paraId="526F6CFB">
      <w:pPr>
        <w:spacing w:line="400" w:lineRule="exact"/>
        <w:ind w:firstLine="480"/>
        <w:jc w:val="left"/>
        <w:rPr>
          <w:rFonts w:ascii="宋体" w:hAnsi="宋体" w:cs="宋体"/>
          <w:color w:val="auto"/>
          <w:sz w:val="24"/>
          <w:highlight w:val="none"/>
        </w:rPr>
      </w:pPr>
    </w:p>
    <w:p w14:paraId="77B38636">
      <w:pPr>
        <w:spacing w:line="400" w:lineRule="exact"/>
        <w:jc w:val="center"/>
        <w:rPr>
          <w:rFonts w:ascii="宋体" w:hAnsi="宋体" w:cs="宋体"/>
          <w:color w:val="auto"/>
          <w:sz w:val="24"/>
          <w:highlight w:val="none"/>
        </w:rPr>
      </w:pPr>
    </w:p>
    <w:p w14:paraId="0F5C0283">
      <w:pPr>
        <w:pStyle w:val="94"/>
        <w:outlineLvl w:val="2"/>
        <w:rPr>
          <w:rFonts w:hint="eastAsia" w:ascii="宋体" w:hAnsi="宋体" w:eastAsia="宋体" w:cs="宋体"/>
          <w:b/>
          <w:color w:val="auto"/>
          <w:sz w:val="30"/>
          <w:szCs w:val="30"/>
          <w:highlight w:val="none"/>
          <w:lang w:eastAsia="zh-CN"/>
        </w:rPr>
      </w:pPr>
      <w:r>
        <w:rPr>
          <w:rFonts w:ascii="宋体" w:hAnsi="宋体" w:eastAsia="宋体" w:cs="宋体"/>
          <w:color w:val="auto"/>
          <w:sz w:val="24"/>
          <w:highlight w:val="none"/>
        </w:rPr>
        <w:t>附件</w:t>
      </w:r>
      <w:r>
        <w:rPr>
          <w:rFonts w:hint="eastAsia" w:ascii="宋体" w:hAnsi="宋体" w:cs="宋体"/>
          <w:color w:val="auto"/>
          <w:sz w:val="24"/>
          <w:highlight w:val="none"/>
          <w:lang w:val="en-US" w:eastAsia="zh-CN"/>
        </w:rPr>
        <w:t>4</w:t>
      </w:r>
      <w:r>
        <w:rPr>
          <w:rFonts w:ascii="宋体" w:hAnsi="宋体" w:eastAsia="宋体" w:cs="宋体"/>
          <w:color w:val="auto"/>
          <w:sz w:val="24"/>
          <w:highlight w:val="none"/>
        </w:rPr>
        <w:t>-1</w:t>
      </w:r>
      <w:r>
        <w:rPr>
          <w:rFonts w:hint="eastAsia" w:ascii="宋体" w:hAnsi="宋体" w:cs="宋体"/>
          <w:color w:val="auto"/>
          <w:sz w:val="24"/>
          <w:highlight w:val="none"/>
          <w:lang w:val="en-US" w:eastAsia="zh-CN"/>
        </w:rPr>
        <w:t>2</w:t>
      </w:r>
    </w:p>
    <w:p w14:paraId="12C7A89A">
      <w:pPr>
        <w:pStyle w:val="94"/>
        <w:jc w:val="center"/>
        <w:outlineLvl w:val="2"/>
        <w:rPr>
          <w:rFonts w:hint="default" w:ascii="宋体" w:hAnsi="宋体" w:eastAsia="宋体" w:cs="宋体"/>
          <w:color w:val="auto"/>
          <w:sz w:val="30"/>
          <w:szCs w:val="30"/>
          <w:highlight w:val="none"/>
        </w:rPr>
      </w:pPr>
      <w:r>
        <w:rPr>
          <w:rFonts w:ascii="宋体" w:hAnsi="宋体" w:eastAsia="宋体" w:cs="宋体"/>
          <w:b/>
          <w:color w:val="auto"/>
          <w:sz w:val="30"/>
          <w:szCs w:val="30"/>
          <w:highlight w:val="none"/>
        </w:rPr>
        <w:t xml:space="preserve"> 其它资格证明文件</w:t>
      </w:r>
    </w:p>
    <w:p w14:paraId="49ED7A95">
      <w:pPr>
        <w:pStyle w:val="94"/>
        <w:jc w:val="center"/>
        <w:outlineLvl w:val="1"/>
        <w:rPr>
          <w:rFonts w:hint="default" w:ascii="宋体" w:hAnsi="宋体" w:eastAsia="宋体" w:cs="宋体"/>
          <w:color w:val="auto"/>
          <w:sz w:val="30"/>
          <w:szCs w:val="30"/>
          <w:highlight w:val="none"/>
        </w:rPr>
      </w:pPr>
      <w:r>
        <w:rPr>
          <w:rFonts w:ascii="宋体" w:hAnsi="宋体" w:eastAsia="宋体" w:cs="宋体"/>
          <w:b/>
          <w:color w:val="auto"/>
          <w:sz w:val="30"/>
          <w:szCs w:val="30"/>
          <w:highlight w:val="none"/>
        </w:rPr>
        <w:t>（</w:t>
      </w:r>
      <w:r>
        <w:rPr>
          <w:rFonts w:hint="eastAsia" w:ascii="宋体" w:hAnsi="宋体" w:cs="宋体"/>
          <w:b/>
          <w:color w:val="auto"/>
          <w:sz w:val="30"/>
          <w:szCs w:val="30"/>
          <w:highlight w:val="none"/>
          <w:lang w:eastAsia="zh-CN"/>
        </w:rPr>
        <w:t>若有</w:t>
      </w:r>
      <w:r>
        <w:rPr>
          <w:rFonts w:ascii="宋体" w:hAnsi="宋体" w:eastAsia="宋体" w:cs="宋体"/>
          <w:b/>
          <w:color w:val="auto"/>
          <w:sz w:val="30"/>
          <w:szCs w:val="30"/>
          <w:highlight w:val="none"/>
        </w:rPr>
        <w:t>）</w:t>
      </w:r>
    </w:p>
    <w:p w14:paraId="5582D7FD">
      <w:pPr>
        <w:pStyle w:val="94"/>
        <w:ind w:firstLine="480"/>
        <w:rPr>
          <w:rFonts w:hint="default" w:ascii="宋体" w:hAnsi="宋体" w:eastAsia="宋体" w:cs="宋体"/>
          <w:color w:val="auto"/>
          <w:sz w:val="24"/>
          <w:szCs w:val="24"/>
          <w:highlight w:val="none"/>
        </w:rPr>
      </w:pPr>
      <w:r>
        <w:rPr>
          <w:rFonts w:ascii="宋体" w:hAnsi="宋体" w:eastAsia="宋体" w:cs="宋体"/>
          <w:color w:val="auto"/>
          <w:sz w:val="24"/>
          <w:szCs w:val="24"/>
          <w:highlight w:val="none"/>
        </w:rPr>
        <w:t>说明：1、采购人或采购代理机构可以根据项目的特点和需要，在询价文件“供应商的资格”中特定资格条件，对其它资格证明文件进行具体规定，供应商应按照询价文件要求，在此项下提供相关证明材料，并加盖供应商单位公章。</w:t>
      </w:r>
    </w:p>
    <w:p w14:paraId="60B11AFD">
      <w:pPr>
        <w:pStyle w:val="94"/>
        <w:ind w:firstLine="480"/>
        <w:rPr>
          <w:rFonts w:hint="default" w:ascii="宋体" w:hAnsi="宋体" w:eastAsia="宋体" w:cs="宋体"/>
          <w:color w:val="auto"/>
          <w:sz w:val="24"/>
          <w:szCs w:val="24"/>
          <w:highlight w:val="none"/>
        </w:rPr>
      </w:pPr>
      <w:r>
        <w:rPr>
          <w:rFonts w:ascii="宋体" w:hAnsi="宋体" w:eastAsia="宋体" w:cs="宋体"/>
          <w:color w:val="auto"/>
          <w:sz w:val="24"/>
          <w:szCs w:val="24"/>
          <w:highlight w:val="none"/>
        </w:rPr>
        <w:t>2、若询价文件规定接受联合体形式且供应商为联合体的，涉及联合体成员的其它资格证明文件在此处提供相关证明材料，并加盖供应商单位公章。</w:t>
      </w:r>
    </w:p>
    <w:p w14:paraId="2FEF739A">
      <w:pPr>
        <w:pStyle w:val="94"/>
        <w:ind w:firstLine="480"/>
        <w:rPr>
          <w:rFonts w:hint="default" w:ascii="宋体" w:hAnsi="宋体" w:eastAsia="宋体" w:cs="宋体"/>
          <w:color w:val="auto"/>
          <w:sz w:val="24"/>
          <w:szCs w:val="24"/>
          <w:highlight w:val="none"/>
        </w:rPr>
      </w:pPr>
    </w:p>
    <w:p w14:paraId="71AB43BD">
      <w:pPr>
        <w:pStyle w:val="94"/>
        <w:ind w:firstLine="480"/>
        <w:rPr>
          <w:rFonts w:hint="default" w:ascii="宋体" w:hAnsi="宋体" w:eastAsia="宋体" w:cs="宋体"/>
          <w:color w:val="auto"/>
          <w:sz w:val="24"/>
          <w:szCs w:val="24"/>
          <w:highlight w:val="none"/>
        </w:rPr>
      </w:pPr>
    </w:p>
    <w:p w14:paraId="16BD84E5">
      <w:pPr>
        <w:pStyle w:val="94"/>
        <w:ind w:firstLine="480"/>
        <w:rPr>
          <w:rFonts w:hint="default" w:ascii="宋体" w:hAnsi="宋体" w:eastAsia="宋体" w:cs="宋体"/>
          <w:color w:val="auto"/>
          <w:sz w:val="24"/>
          <w:szCs w:val="24"/>
          <w:highlight w:val="none"/>
        </w:rPr>
      </w:pPr>
      <w:r>
        <w:rPr>
          <w:rFonts w:ascii="宋体" w:hAnsi="宋体" w:eastAsia="宋体" w:cs="宋体"/>
          <w:color w:val="auto"/>
          <w:sz w:val="24"/>
          <w:szCs w:val="24"/>
          <w:highlight w:val="none"/>
        </w:rPr>
        <w:t>供应商代表</w:t>
      </w:r>
      <w:r>
        <w:rPr>
          <w:rFonts w:ascii="宋体" w:hAnsi="宋体" w:eastAsia="宋体" w:cs="宋体"/>
          <w:color w:val="auto"/>
          <w:sz w:val="24"/>
          <w:szCs w:val="24"/>
          <w:highlight w:val="none"/>
          <w:u w:val="single"/>
        </w:rPr>
        <w:t>（签字）</w:t>
      </w:r>
    </w:p>
    <w:p w14:paraId="3CA55786">
      <w:pPr>
        <w:pStyle w:val="94"/>
        <w:ind w:firstLine="480"/>
        <w:rPr>
          <w:rFonts w:hint="default" w:ascii="宋体" w:hAnsi="宋体" w:eastAsia="宋体" w:cs="宋体"/>
          <w:color w:val="auto"/>
          <w:sz w:val="24"/>
          <w:szCs w:val="24"/>
          <w:highlight w:val="none"/>
        </w:rPr>
      </w:pPr>
      <w:r>
        <w:rPr>
          <w:rFonts w:ascii="宋体" w:hAnsi="宋体" w:eastAsia="宋体" w:cs="宋体"/>
          <w:color w:val="auto"/>
          <w:sz w:val="24"/>
          <w:szCs w:val="24"/>
          <w:highlight w:val="none"/>
        </w:rPr>
        <w:t>供应商名称</w:t>
      </w:r>
      <w:r>
        <w:rPr>
          <w:rFonts w:ascii="宋体" w:hAnsi="宋体" w:eastAsia="宋体" w:cs="宋体"/>
          <w:color w:val="auto"/>
          <w:sz w:val="24"/>
          <w:szCs w:val="24"/>
          <w:highlight w:val="none"/>
          <w:u w:val="single"/>
        </w:rPr>
        <w:t>（全称并加盖公章）</w:t>
      </w:r>
    </w:p>
    <w:p w14:paraId="66DD3071">
      <w:pPr>
        <w:pStyle w:val="94"/>
        <w:ind w:firstLine="480"/>
        <w:rPr>
          <w:rFonts w:hint="default" w:ascii="宋体" w:hAnsi="宋体" w:eastAsia="宋体" w:cs="宋体"/>
          <w:color w:val="auto"/>
          <w:sz w:val="24"/>
          <w:szCs w:val="24"/>
          <w:highlight w:val="none"/>
        </w:rPr>
      </w:pPr>
      <w:r>
        <w:rPr>
          <w:rFonts w:ascii="宋体" w:hAnsi="宋体" w:eastAsia="宋体" w:cs="宋体"/>
          <w:color w:val="auto"/>
          <w:sz w:val="24"/>
          <w:szCs w:val="24"/>
          <w:highlight w:val="none"/>
        </w:rPr>
        <w:t>日期：</w:t>
      </w:r>
      <w:r>
        <w:rPr>
          <w:rFonts w:ascii="宋体" w:hAnsi="宋体" w:eastAsia="宋体" w:cs="宋体"/>
          <w:color w:val="auto"/>
          <w:sz w:val="24"/>
          <w:szCs w:val="24"/>
          <w:highlight w:val="none"/>
          <w:u w:val="single"/>
        </w:rPr>
        <w:t xml:space="preserve">  </w:t>
      </w:r>
      <w:r>
        <w:rPr>
          <w:rFonts w:ascii="宋体" w:hAnsi="宋体" w:eastAsia="宋体" w:cs="宋体"/>
          <w:color w:val="auto"/>
          <w:sz w:val="24"/>
          <w:szCs w:val="24"/>
          <w:highlight w:val="none"/>
        </w:rPr>
        <w:t>年</w:t>
      </w:r>
      <w:r>
        <w:rPr>
          <w:rFonts w:ascii="宋体" w:hAnsi="宋体" w:eastAsia="宋体" w:cs="宋体"/>
          <w:color w:val="auto"/>
          <w:sz w:val="24"/>
          <w:szCs w:val="24"/>
          <w:highlight w:val="none"/>
          <w:u w:val="single"/>
        </w:rPr>
        <w:t xml:space="preserve">  </w:t>
      </w:r>
      <w:r>
        <w:rPr>
          <w:rFonts w:ascii="宋体" w:hAnsi="宋体" w:eastAsia="宋体" w:cs="宋体"/>
          <w:color w:val="auto"/>
          <w:sz w:val="24"/>
          <w:szCs w:val="24"/>
          <w:highlight w:val="none"/>
        </w:rPr>
        <w:t>月</w:t>
      </w:r>
      <w:r>
        <w:rPr>
          <w:rFonts w:ascii="宋体" w:hAnsi="宋体" w:eastAsia="宋体" w:cs="宋体"/>
          <w:color w:val="auto"/>
          <w:sz w:val="24"/>
          <w:szCs w:val="24"/>
          <w:highlight w:val="none"/>
          <w:u w:val="single"/>
        </w:rPr>
        <w:t xml:space="preserve">  </w:t>
      </w:r>
      <w:r>
        <w:rPr>
          <w:rFonts w:ascii="宋体" w:hAnsi="宋体" w:eastAsia="宋体" w:cs="宋体"/>
          <w:color w:val="auto"/>
          <w:sz w:val="24"/>
          <w:szCs w:val="24"/>
          <w:highlight w:val="none"/>
        </w:rPr>
        <w:t>日</w:t>
      </w:r>
    </w:p>
    <w:p w14:paraId="66F5794A">
      <w:pPr>
        <w:spacing w:line="420" w:lineRule="exact"/>
        <w:rPr>
          <w:rFonts w:ascii="宋体" w:hAnsi="宋体" w:cs="宋体"/>
          <w:color w:val="auto"/>
          <w:sz w:val="24"/>
          <w:highlight w:val="none"/>
        </w:rPr>
      </w:pPr>
    </w:p>
    <w:p w14:paraId="0BA10AA5">
      <w:pPr>
        <w:spacing w:line="420" w:lineRule="exact"/>
        <w:rPr>
          <w:rFonts w:ascii="宋体" w:hAnsi="宋体" w:cs="宋体"/>
          <w:color w:val="auto"/>
          <w:sz w:val="24"/>
          <w:highlight w:val="none"/>
        </w:rPr>
      </w:pPr>
    </w:p>
    <w:p w14:paraId="08DE7339">
      <w:pPr>
        <w:spacing w:line="420" w:lineRule="exact"/>
        <w:rPr>
          <w:rFonts w:ascii="宋体" w:hAnsi="宋体" w:cs="宋体"/>
          <w:color w:val="auto"/>
          <w:sz w:val="24"/>
          <w:highlight w:val="none"/>
        </w:rPr>
      </w:pPr>
    </w:p>
    <w:p w14:paraId="55FB5639">
      <w:pPr>
        <w:spacing w:line="420" w:lineRule="exact"/>
        <w:rPr>
          <w:rFonts w:ascii="宋体" w:hAnsi="宋体" w:cs="宋体"/>
          <w:color w:val="auto"/>
          <w:sz w:val="24"/>
          <w:highlight w:val="none"/>
        </w:rPr>
      </w:pPr>
    </w:p>
    <w:p w14:paraId="4C9A36F7">
      <w:pPr>
        <w:spacing w:line="420" w:lineRule="exact"/>
        <w:rPr>
          <w:rFonts w:ascii="宋体" w:hAnsi="宋体" w:cs="宋体"/>
          <w:color w:val="auto"/>
          <w:sz w:val="24"/>
          <w:highlight w:val="none"/>
        </w:rPr>
      </w:pPr>
    </w:p>
    <w:p w14:paraId="23ACE8FA">
      <w:pPr>
        <w:spacing w:line="420" w:lineRule="exact"/>
        <w:rPr>
          <w:rFonts w:ascii="宋体" w:hAnsi="宋体" w:cs="宋体"/>
          <w:color w:val="auto"/>
          <w:sz w:val="24"/>
          <w:highlight w:val="none"/>
        </w:rPr>
      </w:pPr>
    </w:p>
    <w:p w14:paraId="381AFE78">
      <w:pPr>
        <w:spacing w:line="420" w:lineRule="exact"/>
        <w:rPr>
          <w:rFonts w:ascii="宋体" w:hAnsi="宋体" w:cs="宋体"/>
          <w:color w:val="auto"/>
          <w:sz w:val="24"/>
          <w:highlight w:val="none"/>
        </w:rPr>
      </w:pPr>
    </w:p>
    <w:p w14:paraId="0422681F">
      <w:pPr>
        <w:spacing w:line="420" w:lineRule="exact"/>
        <w:rPr>
          <w:rFonts w:ascii="宋体" w:hAnsi="宋体" w:cs="宋体"/>
          <w:color w:val="auto"/>
          <w:sz w:val="24"/>
          <w:highlight w:val="none"/>
        </w:rPr>
      </w:pPr>
    </w:p>
    <w:p w14:paraId="324D9EF2">
      <w:pPr>
        <w:spacing w:line="420" w:lineRule="exact"/>
        <w:rPr>
          <w:rFonts w:ascii="宋体" w:hAnsi="宋体" w:cs="宋体"/>
          <w:color w:val="auto"/>
          <w:sz w:val="24"/>
          <w:highlight w:val="none"/>
        </w:rPr>
      </w:pPr>
    </w:p>
    <w:p w14:paraId="537593A6">
      <w:pPr>
        <w:spacing w:line="420" w:lineRule="exact"/>
        <w:rPr>
          <w:rFonts w:ascii="宋体" w:hAnsi="宋体" w:cs="宋体"/>
          <w:color w:val="auto"/>
          <w:sz w:val="24"/>
          <w:highlight w:val="none"/>
        </w:rPr>
      </w:pPr>
    </w:p>
    <w:p w14:paraId="32380942">
      <w:pPr>
        <w:spacing w:line="420" w:lineRule="exact"/>
        <w:rPr>
          <w:rFonts w:ascii="宋体" w:hAnsi="宋体" w:cs="宋体"/>
          <w:color w:val="auto"/>
          <w:sz w:val="24"/>
          <w:highlight w:val="none"/>
        </w:rPr>
      </w:pPr>
    </w:p>
    <w:p w14:paraId="6526C869">
      <w:pPr>
        <w:spacing w:line="420" w:lineRule="exact"/>
        <w:rPr>
          <w:rFonts w:ascii="宋体" w:hAnsi="宋体" w:cs="宋体"/>
          <w:color w:val="auto"/>
          <w:sz w:val="24"/>
          <w:highlight w:val="none"/>
        </w:rPr>
      </w:pPr>
    </w:p>
    <w:p w14:paraId="7E5EB9F3">
      <w:pPr>
        <w:spacing w:line="420" w:lineRule="exact"/>
        <w:rPr>
          <w:rFonts w:ascii="宋体" w:hAnsi="宋体" w:cs="宋体"/>
          <w:color w:val="auto"/>
          <w:sz w:val="24"/>
          <w:highlight w:val="none"/>
        </w:rPr>
      </w:pPr>
    </w:p>
    <w:p w14:paraId="1912CBA7">
      <w:pPr>
        <w:spacing w:line="420" w:lineRule="exact"/>
        <w:rPr>
          <w:rFonts w:ascii="宋体" w:hAnsi="宋体" w:cs="宋体"/>
          <w:color w:val="auto"/>
          <w:sz w:val="24"/>
          <w:highlight w:val="none"/>
        </w:rPr>
      </w:pPr>
    </w:p>
    <w:p w14:paraId="31794C1D">
      <w:pPr>
        <w:spacing w:line="420" w:lineRule="exact"/>
        <w:rPr>
          <w:rFonts w:ascii="宋体" w:hAnsi="宋体" w:cs="宋体"/>
          <w:color w:val="auto"/>
          <w:sz w:val="24"/>
          <w:highlight w:val="none"/>
        </w:rPr>
      </w:pPr>
    </w:p>
    <w:p w14:paraId="7DC202AF">
      <w:pPr>
        <w:spacing w:line="420" w:lineRule="exact"/>
        <w:rPr>
          <w:rFonts w:ascii="宋体" w:hAnsi="宋体" w:cs="宋体"/>
          <w:color w:val="auto"/>
          <w:sz w:val="24"/>
          <w:highlight w:val="none"/>
        </w:rPr>
      </w:pPr>
    </w:p>
    <w:p w14:paraId="1364BF2B">
      <w:pPr>
        <w:spacing w:line="420" w:lineRule="exact"/>
        <w:rPr>
          <w:rFonts w:ascii="宋体" w:hAnsi="宋体" w:cs="宋体"/>
          <w:color w:val="auto"/>
          <w:sz w:val="24"/>
          <w:highlight w:val="none"/>
        </w:rPr>
      </w:pPr>
    </w:p>
    <w:p w14:paraId="6B8050DF">
      <w:pPr>
        <w:spacing w:line="420" w:lineRule="exact"/>
        <w:rPr>
          <w:rFonts w:ascii="宋体" w:hAnsi="宋体" w:cs="宋体"/>
          <w:color w:val="auto"/>
          <w:sz w:val="24"/>
          <w:highlight w:val="none"/>
        </w:rPr>
      </w:pPr>
    </w:p>
    <w:p w14:paraId="1671C8BB">
      <w:pPr>
        <w:spacing w:line="420" w:lineRule="exact"/>
        <w:rPr>
          <w:rFonts w:ascii="宋体" w:hAnsi="宋体" w:cs="宋体"/>
          <w:color w:val="auto"/>
          <w:sz w:val="24"/>
          <w:highlight w:val="none"/>
        </w:rPr>
      </w:pPr>
    </w:p>
    <w:p w14:paraId="4BC507CF">
      <w:pPr>
        <w:pStyle w:val="94"/>
        <w:jc w:val="both"/>
        <w:outlineLvl w:val="2"/>
        <w:rPr>
          <w:rFonts w:ascii="宋体" w:hAnsi="宋体" w:eastAsia="宋体" w:cs="宋体"/>
          <w:bCs/>
          <w:color w:val="auto"/>
          <w:sz w:val="28"/>
          <w:szCs w:val="28"/>
          <w:highlight w:val="none"/>
        </w:rPr>
      </w:pPr>
    </w:p>
    <w:p w14:paraId="1CAF0CE4">
      <w:pPr>
        <w:spacing w:line="440" w:lineRule="exact"/>
        <w:rPr>
          <w:rFonts w:ascii="宋体" w:hAnsi="宋体" w:cs="宋体"/>
          <w:color w:val="auto"/>
          <w:sz w:val="24"/>
          <w:szCs w:val="22"/>
          <w:highlight w:val="none"/>
        </w:rPr>
      </w:pPr>
    </w:p>
    <w:p w14:paraId="5F76BAF0">
      <w:pPr>
        <w:pStyle w:val="25"/>
        <w:rPr>
          <w:rFonts w:ascii="宋体" w:hAnsi="宋体" w:cs="宋体"/>
          <w:color w:val="auto"/>
          <w:sz w:val="24"/>
          <w:szCs w:val="22"/>
          <w:highlight w:val="none"/>
        </w:rPr>
      </w:pPr>
    </w:p>
    <w:p w14:paraId="6DEC202E">
      <w:pPr>
        <w:pStyle w:val="25"/>
        <w:rPr>
          <w:rFonts w:ascii="宋体" w:hAnsi="宋体" w:cs="宋体"/>
          <w:color w:val="auto"/>
          <w:sz w:val="24"/>
          <w:szCs w:val="22"/>
          <w:highlight w:val="none"/>
        </w:rPr>
      </w:pPr>
    </w:p>
    <w:p w14:paraId="2E460C4F">
      <w:pPr>
        <w:spacing w:line="440" w:lineRule="exact"/>
        <w:rPr>
          <w:rFonts w:hint="default" w:ascii="宋体" w:hAnsi="宋体" w:eastAsia="宋体" w:cs="宋体"/>
          <w:color w:val="auto"/>
          <w:sz w:val="24"/>
          <w:szCs w:val="22"/>
          <w:highlight w:val="none"/>
          <w:lang w:val="en-US" w:eastAsia="zh-CN"/>
        </w:rPr>
      </w:pPr>
      <w:r>
        <w:rPr>
          <w:rFonts w:hint="eastAsia" w:ascii="宋体" w:hAnsi="宋体" w:cs="宋体"/>
          <w:color w:val="auto"/>
          <w:sz w:val="24"/>
          <w:szCs w:val="22"/>
          <w:highlight w:val="none"/>
        </w:rPr>
        <w:t>附件</w:t>
      </w:r>
      <w:r>
        <w:rPr>
          <w:rFonts w:hint="eastAsia" w:ascii="宋体" w:hAnsi="宋体" w:cs="宋体"/>
          <w:color w:val="auto"/>
          <w:sz w:val="24"/>
          <w:szCs w:val="22"/>
          <w:highlight w:val="none"/>
          <w:lang w:val="en-US" w:eastAsia="zh-CN"/>
        </w:rPr>
        <w:t>5</w:t>
      </w:r>
    </w:p>
    <w:p w14:paraId="6E3AFE57">
      <w:pPr>
        <w:spacing w:line="440" w:lineRule="exact"/>
        <w:jc w:val="center"/>
        <w:rPr>
          <w:rFonts w:ascii="宋体" w:hAnsi="宋体" w:cs="宋体"/>
          <w:color w:val="auto"/>
          <w:sz w:val="24"/>
          <w:highlight w:val="none"/>
        </w:rPr>
      </w:pPr>
      <w:r>
        <w:rPr>
          <w:rFonts w:hint="eastAsia" w:ascii="宋体" w:hAnsi="宋体" w:cs="宋体"/>
          <w:b/>
          <w:bCs/>
          <w:color w:val="auto"/>
          <w:sz w:val="32"/>
          <w:szCs w:val="32"/>
          <w:highlight w:val="none"/>
        </w:rPr>
        <w:t>供应商提交的其它资料（若有）</w:t>
      </w:r>
    </w:p>
    <w:p w14:paraId="06B65711">
      <w:pPr>
        <w:spacing w:line="440" w:lineRule="exact"/>
        <w:rPr>
          <w:rFonts w:ascii="宋体" w:hAnsi="宋体" w:cs="宋体"/>
          <w:color w:val="auto"/>
          <w:sz w:val="24"/>
          <w:highlight w:val="none"/>
        </w:rPr>
      </w:pPr>
      <w:r>
        <w:rPr>
          <w:rFonts w:hint="eastAsia" w:ascii="宋体" w:hAnsi="宋体" w:cs="宋体"/>
          <w:color w:val="auto"/>
          <w:sz w:val="24"/>
          <w:highlight w:val="none"/>
        </w:rPr>
        <w:t>说明：</w:t>
      </w:r>
    </w:p>
    <w:p w14:paraId="0946EAC9">
      <w:pPr>
        <w:spacing w:line="440" w:lineRule="exact"/>
        <w:rPr>
          <w:rFonts w:ascii="宋体" w:hAnsi="宋体" w:cs="宋体"/>
          <w:color w:val="auto"/>
          <w:highlight w:val="none"/>
        </w:rPr>
      </w:pPr>
      <w:r>
        <w:rPr>
          <w:rFonts w:hint="eastAsia" w:ascii="宋体" w:hAnsi="宋体" w:cs="宋体"/>
          <w:color w:val="auto"/>
          <w:sz w:val="24"/>
          <w:highlight w:val="none"/>
        </w:rPr>
        <w:t xml:space="preserve">    1、采购人或采购代理机构可以根据项目的特点和需要，在文件中对要求作为响应文件组成部分的其他内容进行具体规定或附表格式，供应商应按照文件要求提供相关承诺及材料，并加盖供应商单位公章。</w:t>
      </w:r>
    </w:p>
    <w:p w14:paraId="34CB095B">
      <w:pPr>
        <w:spacing w:line="440" w:lineRule="exact"/>
        <w:rPr>
          <w:rFonts w:ascii="宋体" w:hAnsi="宋体" w:cs="宋体"/>
          <w:color w:val="auto"/>
          <w:sz w:val="24"/>
          <w:highlight w:val="none"/>
        </w:rPr>
      </w:pPr>
      <w:r>
        <w:rPr>
          <w:rFonts w:hint="eastAsia" w:ascii="宋体" w:hAnsi="宋体" w:cs="宋体"/>
          <w:color w:val="auto"/>
          <w:sz w:val="24"/>
          <w:highlight w:val="none"/>
        </w:rPr>
        <w:t>2、供应商根据自身实际情况编写有关资料包括如供应商单位简介、询价文件要求或供应商自己认为体现自身优势，需要补充说明的其它资料，格式自拟。</w:t>
      </w:r>
    </w:p>
    <w:p w14:paraId="2A17B95B">
      <w:pPr>
        <w:rPr>
          <w:rFonts w:ascii="宋体" w:hAnsi="宋体" w:cs="宋体"/>
          <w:color w:val="auto"/>
          <w:highlight w:val="none"/>
        </w:rPr>
      </w:pPr>
    </w:p>
    <w:p w14:paraId="5C23C16D">
      <w:pPr>
        <w:spacing w:line="440" w:lineRule="exact"/>
        <w:rPr>
          <w:rFonts w:ascii="宋体" w:hAnsi="宋体" w:cs="宋体"/>
          <w:color w:val="auto"/>
          <w:sz w:val="24"/>
          <w:highlight w:val="none"/>
          <w:u w:val="single"/>
        </w:rPr>
      </w:pPr>
      <w:r>
        <w:rPr>
          <w:rFonts w:hint="eastAsia" w:ascii="宋体" w:hAnsi="宋体" w:cs="宋体"/>
          <w:color w:val="auto"/>
          <w:sz w:val="24"/>
          <w:highlight w:val="none"/>
        </w:rPr>
        <w:t>供应商代表：</w:t>
      </w:r>
      <w:r>
        <w:rPr>
          <w:rFonts w:hint="eastAsia" w:ascii="宋体" w:hAnsi="宋体" w:cs="宋体"/>
          <w:color w:val="auto"/>
          <w:sz w:val="24"/>
          <w:highlight w:val="none"/>
          <w:u w:val="single"/>
        </w:rPr>
        <w:t xml:space="preserve"> （签字）</w:t>
      </w:r>
    </w:p>
    <w:p w14:paraId="47A2A644">
      <w:pPr>
        <w:spacing w:line="440" w:lineRule="exact"/>
        <w:rPr>
          <w:rFonts w:ascii="宋体" w:hAnsi="宋体" w:cs="宋体"/>
          <w:color w:val="auto"/>
          <w:sz w:val="24"/>
          <w:highlight w:val="none"/>
          <w:u w:val="single"/>
        </w:rPr>
      </w:pPr>
      <w:r>
        <w:rPr>
          <w:rFonts w:hint="eastAsia" w:ascii="宋体" w:hAnsi="宋体" w:cs="宋体"/>
          <w:color w:val="auto"/>
          <w:sz w:val="24"/>
          <w:highlight w:val="none"/>
        </w:rPr>
        <w:t>供应商名称：</w:t>
      </w:r>
      <w:r>
        <w:rPr>
          <w:rFonts w:hint="eastAsia" w:ascii="宋体" w:hAnsi="宋体" w:cs="宋体"/>
          <w:color w:val="auto"/>
          <w:sz w:val="24"/>
          <w:highlight w:val="none"/>
          <w:u w:val="single"/>
        </w:rPr>
        <w:t xml:space="preserve">         （全称并加盖公章）              </w:t>
      </w:r>
    </w:p>
    <w:p w14:paraId="176FE217">
      <w:pPr>
        <w:spacing w:line="440" w:lineRule="exact"/>
        <w:rPr>
          <w:rFonts w:ascii="宋体" w:hAnsi="宋体" w:cs="宋体"/>
          <w:color w:val="auto"/>
          <w:sz w:val="24"/>
          <w:highlight w:val="none"/>
        </w:rPr>
      </w:pPr>
      <w:r>
        <w:rPr>
          <w:rFonts w:hint="eastAsia" w:ascii="宋体" w:hAnsi="宋体" w:cs="宋体"/>
          <w:color w:val="auto"/>
          <w:sz w:val="24"/>
          <w:highlight w:val="none"/>
        </w:rPr>
        <w:t>日  期： 年 月 日</w:t>
      </w:r>
    </w:p>
    <w:p w14:paraId="293D41CD">
      <w:pPr>
        <w:spacing w:line="0" w:lineRule="atLeast"/>
        <w:rPr>
          <w:rFonts w:ascii="宋体" w:hAnsi="宋体" w:cs="宋体"/>
          <w:color w:val="auto"/>
          <w:sz w:val="24"/>
          <w:highlight w:val="none"/>
        </w:rPr>
      </w:pPr>
    </w:p>
    <w:p w14:paraId="7961656E">
      <w:pPr>
        <w:rPr>
          <w:rFonts w:ascii="宋体" w:hAnsi="宋体" w:cs="宋体"/>
          <w:color w:val="auto"/>
          <w:highlight w:val="none"/>
        </w:rPr>
      </w:pPr>
    </w:p>
    <w:p w14:paraId="2BE3BBDE">
      <w:pPr>
        <w:rPr>
          <w:rFonts w:ascii="宋体" w:hAnsi="宋体" w:cs="宋体"/>
          <w:b/>
          <w:color w:val="auto"/>
          <w:sz w:val="24"/>
          <w:highlight w:val="none"/>
        </w:rPr>
      </w:pPr>
      <w:r>
        <w:rPr>
          <w:rFonts w:hint="eastAsia" w:ascii="宋体" w:hAnsi="宋体" w:cs="宋体"/>
          <w:b/>
          <w:color w:val="auto"/>
          <w:sz w:val="24"/>
          <w:highlight w:val="none"/>
        </w:rPr>
        <w:t>询价文件相关附件</w:t>
      </w:r>
    </w:p>
    <w:p w14:paraId="0BC25AC3">
      <w:pPr>
        <w:spacing w:line="720" w:lineRule="auto"/>
        <w:rPr>
          <w:rFonts w:ascii="宋体" w:hAnsi="宋体" w:cs="宋体"/>
          <w:color w:val="auto"/>
          <w:sz w:val="24"/>
          <w:highlight w:val="none"/>
        </w:rPr>
      </w:pPr>
    </w:p>
    <w:p w14:paraId="4007B317">
      <w:pPr>
        <w:spacing w:line="720" w:lineRule="auto"/>
        <w:rPr>
          <w:rFonts w:ascii="宋体" w:hAnsi="宋体" w:cs="宋体"/>
          <w:color w:val="auto"/>
          <w:sz w:val="24"/>
          <w:highlight w:val="none"/>
        </w:rPr>
      </w:pPr>
    </w:p>
    <w:p w14:paraId="3D585494">
      <w:pPr>
        <w:spacing w:line="720" w:lineRule="auto"/>
        <w:rPr>
          <w:rFonts w:ascii="宋体" w:hAnsi="宋体" w:cs="宋体"/>
          <w:color w:val="auto"/>
          <w:sz w:val="24"/>
          <w:highlight w:val="none"/>
        </w:rPr>
      </w:pPr>
    </w:p>
    <w:p w14:paraId="1945A48E">
      <w:pPr>
        <w:spacing w:line="720" w:lineRule="auto"/>
        <w:rPr>
          <w:rFonts w:ascii="宋体" w:hAnsi="宋体" w:cs="宋体"/>
          <w:color w:val="auto"/>
          <w:sz w:val="24"/>
          <w:highlight w:val="none"/>
        </w:rPr>
      </w:pPr>
    </w:p>
    <w:p w14:paraId="5EB01E59">
      <w:pPr>
        <w:spacing w:line="720" w:lineRule="auto"/>
        <w:rPr>
          <w:rFonts w:ascii="宋体" w:hAnsi="宋体" w:cs="宋体"/>
          <w:color w:val="auto"/>
          <w:sz w:val="24"/>
          <w:highlight w:val="none"/>
        </w:rPr>
      </w:pPr>
    </w:p>
    <w:p w14:paraId="078429B8">
      <w:pPr>
        <w:spacing w:line="720" w:lineRule="auto"/>
        <w:rPr>
          <w:rFonts w:ascii="宋体" w:hAnsi="宋体" w:cs="宋体"/>
          <w:color w:val="auto"/>
          <w:sz w:val="24"/>
          <w:highlight w:val="none"/>
        </w:rPr>
      </w:pPr>
    </w:p>
    <w:p w14:paraId="56552867">
      <w:pPr>
        <w:spacing w:line="440" w:lineRule="exact"/>
        <w:rPr>
          <w:rFonts w:ascii="宋体" w:hAnsi="宋体" w:cs="宋体"/>
          <w:color w:val="auto"/>
          <w:sz w:val="24"/>
          <w:highlight w:val="none"/>
        </w:rPr>
      </w:pPr>
    </w:p>
    <w:sectPr>
      <w:footerReference r:id="rId63" w:type="default"/>
      <w:pgSz w:w="11906" w:h="16838"/>
      <w:pgMar w:top="1440" w:right="1083" w:bottom="1440" w:left="1083" w:header="851" w:footer="992" w:gutter="0"/>
      <w:pgNumType w:fmt="decimal"/>
      <w:cols w:space="0" w:num="1"/>
      <w:docGrid w:type="lines" w:linePitch="398"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1ED8CD8E-63C7-497A-A6D0-002BD639E4A5}"/>
  </w:font>
  <w:font w:name="黑体">
    <w:panose1 w:val="02010609060101010101"/>
    <w:charset w:val="86"/>
    <w:family w:val="auto"/>
    <w:pitch w:val="default"/>
    <w:sig w:usb0="800002BF" w:usb1="38CF7CFA" w:usb2="00000016" w:usb3="00000000" w:csb0="00040001" w:csb1="00000000"/>
    <w:embedRegular r:id="rId2" w:fontKey="{A70CA01F-DA83-446E-BB34-37695FC9A347}"/>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auto"/>
    <w:pitch w:val="default"/>
    <w:sig w:usb0="E00006FF" w:usb1="420024FF" w:usb2="02000000" w:usb3="00000000" w:csb0="2000019F" w:csb1="00000000"/>
  </w:font>
  <w:font w:name="_GB2312">
    <w:altName w:val="Times New Roman"/>
    <w:panose1 w:val="00000000000000000000"/>
    <w:charset w:val="00"/>
    <w:family w:val="auto"/>
    <w:pitch w:val="default"/>
    <w:sig w:usb0="00000000" w:usb1="00000000" w:usb2="00000000" w:usb3="00000000" w:csb0="00040001" w:csb1="00000000"/>
  </w:font>
  <w:font w:name="Calibri Light">
    <w:panose1 w:val="020F0302020204030204"/>
    <w:charset w:val="00"/>
    <w:family w:val="swiss"/>
    <w:pitch w:val="default"/>
    <w:sig w:usb0="E4002EFF" w:usb1="C200247B" w:usb2="00000009" w:usb3="00000000" w:csb0="200001FF" w:csb1="00000000"/>
  </w:font>
  <w:font w:name="Verdana">
    <w:panose1 w:val="020B0604030504040204"/>
    <w:charset w:val="00"/>
    <w:family w:val="auto"/>
    <w:pitch w:val="default"/>
    <w:sig w:usb0="A00006FF" w:usb1="4000205B" w:usb2="00000010" w:usb3="00000000" w:csb0="2000019F" w:csb1="00000000"/>
  </w:font>
  <w:font w:name="仿宋_GB2312">
    <w:panose1 w:val="02010609030101010101"/>
    <w:charset w:val="86"/>
    <w:family w:val="auto"/>
    <w:pitch w:val="default"/>
    <w:sig w:usb0="00000001" w:usb1="080E0000" w:usb2="00000000" w:usb3="00000000" w:csb0="00040000" w:csb1="00000000"/>
    <w:embedRegular r:id="rId3" w:fontKey="{C3BD5DFC-92A0-40A9-8836-1943DDD4FD9C}"/>
  </w:font>
  <w:font w:name="Arial Narrow">
    <w:panose1 w:val="020B0606020202030204"/>
    <w:charset w:val="00"/>
    <w:family w:val="auto"/>
    <w:pitch w:val="default"/>
    <w:sig w:usb0="00000287" w:usb1="00000800" w:usb2="00000000" w:usb3="00000000" w:csb0="2000009F" w:csb1="DFD70000"/>
  </w:font>
  <w:font w:name="方正大黑简体">
    <w:altName w:val="黑体"/>
    <w:panose1 w:val="00000000000000000000"/>
    <w:charset w:val="86"/>
    <w:family w:val="auto"/>
    <w:pitch w:val="default"/>
    <w:sig w:usb0="00000000" w:usb1="00000000" w:usb2="00000010" w:usb3="00000000" w:csb0="00040000" w:csb1="00000000"/>
  </w:font>
  <w:font w:name="楷体_GB2312">
    <w:altName w:val="楷体"/>
    <w:panose1 w:val="00000000000000000000"/>
    <w:charset w:val="86"/>
    <w:family w:val="auto"/>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Tahoma">
    <w:panose1 w:val="020B0604030504040204"/>
    <w:charset w:val="00"/>
    <w:family w:val="auto"/>
    <w:pitch w:val="default"/>
    <w:sig w:usb0="E1002EFF" w:usb1="C000605B" w:usb2="00000029" w:usb3="00000000" w:csb0="200101FF" w:csb1="20280000"/>
  </w:font>
  <w:font w:name="Franklin Gothic Book">
    <w:panose1 w:val="020B0503020102020204"/>
    <w:charset w:val="00"/>
    <w:family w:val="auto"/>
    <w:pitch w:val="default"/>
    <w:sig w:usb0="00000287" w:usb1="00000000" w:usb2="00000000" w:usb3="00000000" w:csb0="2000009F" w:csb1="DFD70000"/>
  </w:font>
  <w:font w:name="Book Antiqua">
    <w:panose1 w:val="02040602050305030304"/>
    <w:charset w:val="00"/>
    <w:family w:val="auto"/>
    <w:pitch w:val="default"/>
    <w:sig w:usb0="00000287" w:usb1="00000000" w:usb2="00000000" w:usb3="00000000" w:csb0="2000009F" w:csb1="DFD7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modern"/>
    <w:pitch w:val="default"/>
    <w:sig w:usb0="800002BF" w:usb1="38CF7CFA" w:usb2="00000016" w:usb3="00000000" w:csb0="00040001" w:csb1="00000000"/>
    <w:embedRegular r:id="rId4" w:fontKey="{0BE3F844-70D4-450E-A613-12D05EE168BB}"/>
  </w:font>
  <w:font w:name="Times New Roman Bold">
    <w:altName w:val="Times New Roman"/>
    <w:panose1 w:val="02020803070505020304"/>
    <w:charset w:val="00"/>
    <w:family w:val="auto"/>
    <w:pitch w:val="default"/>
    <w:sig w:usb0="00000000" w:usb1="00000000" w:usb2="00000009" w:usb3="00000000" w:csb0="000001FF" w:csb1="00000000"/>
  </w:font>
  <w:font w:name="方正小标宋简体">
    <w:panose1 w:val="02000000000000000000"/>
    <w:charset w:val="86"/>
    <w:family w:val="auto"/>
    <w:pitch w:val="default"/>
    <w:sig w:usb0="00000001" w:usb1="080E0000" w:usb2="00000000" w:usb3="00000000" w:csb0="00040000" w:csb1="00000000"/>
    <w:embedRegular r:id="rId5" w:fontKey="{39F76C2B-7B0C-49DD-87E5-C13C278EB025}"/>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2F3076">
    <w:pPr>
      <w:ind w:right="-2"/>
      <w:jc w:val="center"/>
      <w:rPr>
        <w:rFonts w:ascii="宋体" w:hAnsi="宋体"/>
        <w:bCs/>
      </w:rPr>
    </w:pPr>
    <w:r>
      <w:rPr>
        <w:rFonts w:ascii="Times New Roman" w:hAnsi="Times New Roman" w:eastAsia="宋体" w:cs="Times New Roman"/>
        <w:kern w:val="2"/>
        <w:sz w:val="21"/>
        <w:lang w:val="en-US" w:eastAsia="zh-CN" w:bidi="ar-SA"/>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5080</wp:posOffset>
              </wp:positionV>
              <wp:extent cx="1828800" cy="1828800"/>
              <wp:effectExtent l="0" t="0" r="0" b="0"/>
              <wp:wrapNone/>
              <wp:docPr id="1" name="文本框 102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3F1F7E9D">
                          <w:pPr>
                            <w:pStyle w:val="25"/>
                          </w:pPr>
                          <w:r>
                            <w:t xml:space="preserve">第 </w:t>
                          </w:r>
                          <w:r>
                            <w:fldChar w:fldCharType="begin"/>
                          </w:r>
                          <w:r>
                            <w:instrText xml:space="preserve"> PAGE  \* MERGEFORMAT </w:instrText>
                          </w:r>
                          <w:r>
                            <w:fldChar w:fldCharType="separate"/>
                          </w:r>
                          <w:r>
                            <w:t>20</w:t>
                          </w:r>
                          <w:r>
                            <w:fldChar w:fldCharType="end"/>
                          </w:r>
                          <w:r>
                            <w:t xml:space="preserve"> 页 共 </w:t>
                          </w:r>
                          <w:r>
                            <w:fldChar w:fldCharType="begin"/>
                          </w:r>
                          <w:r>
                            <w:instrText xml:space="preserve"> NUMPAGES  \* MERGEFORMAT </w:instrText>
                          </w:r>
                          <w:r>
                            <w:fldChar w:fldCharType="separate"/>
                          </w:r>
                          <w:r>
                            <w:t>65</w:t>
                          </w:r>
                          <w:r>
                            <w:fldChar w:fldCharType="end"/>
                          </w:r>
                          <w:r>
                            <w:t xml:space="preserve"> 页</w:t>
                          </w:r>
                        </w:p>
                      </w:txbxContent>
                    </wps:txbx>
                    <wps:bodyPr wrap="none" lIns="0" tIns="0" rIns="0" bIns="0" upright="1">
                      <a:spAutoFit/>
                    </wps:bodyPr>
                  </wps:wsp>
                </a:graphicData>
              </a:graphic>
            </wp:anchor>
          </w:drawing>
        </mc:Choice>
        <mc:Fallback>
          <w:pict>
            <v:shape id="文本框 1026" o:spid="_x0000_s1026" o:spt="202" type="#_x0000_t202" style="position:absolute;left:0pt;margin-top:0.4pt;height:144pt;width:144pt;mso-position-horizontal:center;mso-position-horizontal-relative:margin;mso-wrap-style:none;z-index:251659264;mso-width-relative:page;mso-height-relative:page;" filled="f" stroked="f" coordsize="21600,21600" o:gfxdata="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DUZfmzQAAAABQEAAA8AAAAAAAAAAQAgAAAAIgAAAGRycy9kb3ducmV2&#10;LnhtbFBLAQIUABQAAAAIAIdO4kC3jKjYywEAAJwDAAAOAAAAAAAAAAEAIAAAAB8BAABkcnMvZTJv&#10;RG9jLnhtbFBLBQYAAAAABgAGAFkBAABcBQAAAAA=&#10;">
              <v:fill on="f" focussize="0,0"/>
              <v:stroke on="f"/>
              <v:imagedata o:title=""/>
              <o:lock v:ext="edit" aspectratio="f"/>
              <v:textbox inset="0mm,0mm,0mm,0mm" style="mso-fit-shape-to-text:t;">
                <w:txbxContent>
                  <w:p w14:paraId="3F1F7E9D">
                    <w:pPr>
                      <w:pStyle w:val="25"/>
                    </w:pPr>
                    <w:r>
                      <w:t xml:space="preserve">第 </w:t>
                    </w:r>
                    <w:r>
                      <w:fldChar w:fldCharType="begin"/>
                    </w:r>
                    <w:r>
                      <w:instrText xml:space="preserve"> PAGE  \* MERGEFORMAT </w:instrText>
                    </w:r>
                    <w:r>
                      <w:fldChar w:fldCharType="separate"/>
                    </w:r>
                    <w:r>
                      <w:t>20</w:t>
                    </w:r>
                    <w:r>
                      <w:fldChar w:fldCharType="end"/>
                    </w:r>
                    <w:r>
                      <w:t xml:space="preserve"> 页 共 </w:t>
                    </w:r>
                    <w:r>
                      <w:fldChar w:fldCharType="begin"/>
                    </w:r>
                    <w:r>
                      <w:instrText xml:space="preserve"> NUMPAGES  \* MERGEFORMAT </w:instrText>
                    </w:r>
                    <w:r>
                      <w:fldChar w:fldCharType="separate"/>
                    </w:r>
                    <w:r>
                      <w:t>65</w:t>
                    </w:r>
                    <w:r>
                      <w:fldChar w:fldCharType="end"/>
                    </w:r>
                    <w:r>
                      <w:t xml:space="preserve"> 页</w:t>
                    </w:r>
                  </w:p>
                </w:txbxContent>
              </v:textbox>
            </v:shape>
          </w:pict>
        </mc:Fallback>
      </mc:AlternateConten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CF220C"/>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66C97F"/>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DA739C">
    <w:pPr>
      <w:spacing w:line="208" w:lineRule="auto"/>
      <w:ind w:left="7104"/>
      <w:rPr>
        <w:rFonts w:ascii="宋体" w:hAnsi="宋体" w:cs="宋体"/>
        <w:szCs w:val="21"/>
      </w:rPr>
    </w:pPr>
    <w:r>
      <mc:AlternateContent>
        <mc:Choice Requires="wps">
          <w:drawing>
            <wp:anchor distT="0" distB="0" distL="114935" distR="0" simplePos="0" relativeHeight="251662336" behindDoc="0" locked="0" layoutInCell="0" allowOverlap="1">
              <wp:simplePos x="0" y="0"/>
              <wp:positionH relativeFrom="margin">
                <wp:align>center</wp:align>
              </wp:positionH>
              <wp:positionV relativeFrom="paragraph">
                <wp:posOffset>5080</wp:posOffset>
              </wp:positionV>
              <wp:extent cx="829945" cy="134620"/>
              <wp:effectExtent l="0" t="0" r="0" b="0"/>
              <wp:wrapNone/>
              <wp:docPr id="10" name="文本框 5"/>
              <wp:cNvGraphicFramePr/>
              <a:graphic xmlns:a="http://schemas.openxmlformats.org/drawingml/2006/main">
                <a:graphicData uri="http://schemas.microsoft.com/office/word/2010/wordprocessingShape">
                  <wps:wsp>
                    <wps:cNvSpPr txBox="1"/>
                    <wps:spPr>
                      <a:xfrm>
                        <a:off x="0" y="0"/>
                        <a:ext cx="829945" cy="134620"/>
                      </a:xfrm>
                      <a:prstGeom prst="rect">
                        <a:avLst/>
                      </a:prstGeom>
                      <a:solidFill>
                        <a:srgbClr val="FFFFFF">
                          <a:alpha val="0"/>
                        </a:srgbClr>
                      </a:solidFill>
                      <a:ln>
                        <a:noFill/>
                      </a:ln>
                    </wps:spPr>
                    <wps:txbx>
                      <w:txbxContent>
                        <w:p w14:paraId="63659CF4">
                          <w:pPr>
                            <w:pStyle w:val="25"/>
                          </w:pPr>
                          <w:r>
                            <w:t>第</w:t>
                          </w:r>
                          <w:r>
                            <w:rPr>
                              <w:rFonts w:eastAsia="Times New Roman"/>
                            </w:rPr>
                            <w:t xml:space="preserve"> </w:t>
                          </w:r>
                          <w:r>
                            <w:fldChar w:fldCharType="begin"/>
                          </w:r>
                          <w:r>
                            <w:instrText xml:space="preserve"> PAGE </w:instrText>
                          </w:r>
                          <w:r>
                            <w:fldChar w:fldCharType="separate"/>
                          </w:r>
                          <w:r>
                            <w:t>16</w:t>
                          </w:r>
                          <w:r>
                            <w:fldChar w:fldCharType="end"/>
                          </w:r>
                          <w:r>
                            <w:rPr>
                              <w:rFonts w:eastAsia="Times New Roman"/>
                            </w:rPr>
                            <w:t xml:space="preserve"> </w:t>
                          </w:r>
                          <w:r>
                            <w:t>页</w:t>
                          </w:r>
                          <w:r>
                            <w:rPr>
                              <w:rFonts w:eastAsia="Times New Roman"/>
                            </w:rPr>
                            <w:t xml:space="preserve"> </w:t>
                          </w:r>
                          <w:r>
                            <w:t>共</w:t>
                          </w:r>
                          <w:r>
                            <w:rPr>
                              <w:rFonts w:eastAsia="Times New Roman"/>
                            </w:rPr>
                            <w:t xml:space="preserve"> </w:t>
                          </w:r>
                          <w:r>
                            <w:fldChar w:fldCharType="begin"/>
                          </w:r>
                          <w:r>
                            <w:instrText xml:space="preserve"> NUMPAGES \* ARABIC </w:instrText>
                          </w:r>
                          <w:r>
                            <w:fldChar w:fldCharType="separate"/>
                          </w:r>
                          <w:r>
                            <w:t>25</w:t>
                          </w:r>
                          <w:r>
                            <w:fldChar w:fldCharType="end"/>
                          </w:r>
                          <w:r>
                            <w:rPr>
                              <w:rFonts w:eastAsia="Times New Roman"/>
                            </w:rPr>
                            <w:t xml:space="preserve"> </w:t>
                          </w:r>
                          <w:r>
                            <w:t>页</w:t>
                          </w:r>
                        </w:p>
                      </w:txbxContent>
                    </wps:txbx>
                    <wps:bodyPr wrap="square" lIns="0" tIns="0" rIns="0" bIns="0" upright="1"/>
                  </wps:wsp>
                </a:graphicData>
              </a:graphic>
            </wp:anchor>
          </w:drawing>
        </mc:Choice>
        <mc:Fallback>
          <w:pict>
            <v:shape id="文本框 5" o:spid="_x0000_s1026" o:spt="202" type="#_x0000_t202" style="position:absolute;left:0pt;margin-top:0.4pt;height:10.6pt;width:65.35pt;mso-position-horizontal:center;mso-position-horizontal-relative:margin;z-index:251662336;mso-width-relative:page;mso-height-relative:page;" fillcolor="#FFFFFF" filled="t" stroked="f" coordsize="21600,21600" o:allowincell="f" o:gfxdata="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">
              <v:fill on="t" opacity="0f" focussize="0,0"/>
              <v:stroke on="f"/>
              <v:imagedata o:title=""/>
              <o:lock v:ext="edit" aspectratio="f"/>
              <v:textbox inset="0mm,0mm,0mm,0mm">
                <w:txbxContent>
                  <w:p w14:paraId="63659CF4">
                    <w:pPr>
                      <w:pStyle w:val="25"/>
                    </w:pPr>
                    <w:r>
                      <w:t>第</w:t>
                    </w:r>
                    <w:r>
                      <w:rPr>
                        <w:rFonts w:eastAsia="Times New Roman"/>
                      </w:rPr>
                      <w:t xml:space="preserve"> </w:t>
                    </w:r>
                    <w:r>
                      <w:fldChar w:fldCharType="begin"/>
                    </w:r>
                    <w:r>
                      <w:instrText xml:space="preserve"> PAGE </w:instrText>
                    </w:r>
                    <w:r>
                      <w:fldChar w:fldCharType="separate"/>
                    </w:r>
                    <w:r>
                      <w:t>16</w:t>
                    </w:r>
                    <w:r>
                      <w:fldChar w:fldCharType="end"/>
                    </w:r>
                    <w:r>
                      <w:rPr>
                        <w:rFonts w:eastAsia="Times New Roman"/>
                      </w:rPr>
                      <w:t xml:space="preserve"> </w:t>
                    </w:r>
                    <w:r>
                      <w:t>页</w:t>
                    </w:r>
                    <w:r>
                      <w:rPr>
                        <w:rFonts w:eastAsia="Times New Roman"/>
                      </w:rPr>
                      <w:t xml:space="preserve"> </w:t>
                    </w:r>
                    <w:r>
                      <w:t>共</w:t>
                    </w:r>
                    <w:r>
                      <w:rPr>
                        <w:rFonts w:eastAsia="Times New Roman"/>
                      </w:rPr>
                      <w:t xml:space="preserve"> </w:t>
                    </w:r>
                    <w:r>
                      <w:fldChar w:fldCharType="begin"/>
                    </w:r>
                    <w:r>
                      <w:instrText xml:space="preserve"> NUMPAGES \* ARABIC </w:instrText>
                    </w:r>
                    <w:r>
                      <w:fldChar w:fldCharType="separate"/>
                    </w:r>
                    <w:r>
                      <w:t>25</w:t>
                    </w:r>
                    <w:r>
                      <w:fldChar w:fldCharType="end"/>
                    </w:r>
                    <w:r>
                      <w:rPr>
                        <w:rFonts w:eastAsia="Times New Roman"/>
                      </w:rPr>
                      <w:t xml:space="preserve"> </w:t>
                    </w:r>
                    <w:r>
                      <w:t>页</w:t>
                    </w:r>
                  </w:p>
                </w:txbxContent>
              </v:textbox>
            </v:shape>
          </w:pict>
        </mc:Fallback>
      </mc:AlternateConten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D50FAA"/>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BE37CA"/>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140B32">
    <w:pPr>
      <w:spacing w:line="184" w:lineRule="auto"/>
      <w:ind w:left="6745"/>
      <w:rPr>
        <w:rFonts w:ascii="宋体" w:hAnsi="宋体" w:cs="宋体"/>
        <w:sz w:val="18"/>
        <w:szCs w:val="18"/>
      </w:rPr>
    </w:pPr>
    <w:r>
      <mc:AlternateContent>
        <mc:Choice Requires="wps">
          <w:drawing>
            <wp:anchor distT="0" distB="0" distL="114935" distR="0" simplePos="0" relativeHeight="251663360" behindDoc="0" locked="0" layoutInCell="0" allowOverlap="1">
              <wp:simplePos x="0" y="0"/>
              <wp:positionH relativeFrom="margin">
                <wp:align>center</wp:align>
              </wp:positionH>
              <wp:positionV relativeFrom="paragraph">
                <wp:posOffset>5080</wp:posOffset>
              </wp:positionV>
              <wp:extent cx="829945" cy="134620"/>
              <wp:effectExtent l="0" t="0" r="0" b="0"/>
              <wp:wrapNone/>
              <wp:docPr id="14" name="文本框 6"/>
              <wp:cNvGraphicFramePr/>
              <a:graphic xmlns:a="http://schemas.openxmlformats.org/drawingml/2006/main">
                <a:graphicData uri="http://schemas.microsoft.com/office/word/2010/wordprocessingShape">
                  <wps:wsp>
                    <wps:cNvSpPr txBox="1"/>
                    <wps:spPr>
                      <a:xfrm>
                        <a:off x="0" y="0"/>
                        <a:ext cx="829945" cy="134620"/>
                      </a:xfrm>
                      <a:prstGeom prst="rect">
                        <a:avLst/>
                      </a:prstGeom>
                      <a:solidFill>
                        <a:srgbClr val="FFFFFF">
                          <a:alpha val="0"/>
                        </a:srgbClr>
                      </a:solidFill>
                      <a:ln>
                        <a:noFill/>
                      </a:ln>
                    </wps:spPr>
                    <wps:txbx>
                      <w:txbxContent>
                        <w:p w14:paraId="69A39F40">
                          <w:pPr>
                            <w:pStyle w:val="25"/>
                          </w:pPr>
                          <w:r>
                            <w:t>第</w:t>
                          </w:r>
                          <w:r>
                            <w:rPr>
                              <w:rFonts w:eastAsia="Times New Roman"/>
                            </w:rPr>
                            <w:t xml:space="preserve"> </w:t>
                          </w:r>
                          <w:r>
                            <w:fldChar w:fldCharType="begin"/>
                          </w:r>
                          <w:r>
                            <w:instrText xml:space="preserve"> PAGE </w:instrText>
                          </w:r>
                          <w:r>
                            <w:fldChar w:fldCharType="separate"/>
                          </w:r>
                          <w:r>
                            <w:t>17</w:t>
                          </w:r>
                          <w:r>
                            <w:fldChar w:fldCharType="end"/>
                          </w:r>
                          <w:r>
                            <w:rPr>
                              <w:rFonts w:eastAsia="Times New Roman"/>
                            </w:rPr>
                            <w:t xml:space="preserve"> </w:t>
                          </w:r>
                          <w:r>
                            <w:t>页</w:t>
                          </w:r>
                          <w:r>
                            <w:rPr>
                              <w:rFonts w:eastAsia="Times New Roman"/>
                            </w:rPr>
                            <w:t xml:space="preserve"> </w:t>
                          </w:r>
                          <w:r>
                            <w:t>共</w:t>
                          </w:r>
                          <w:r>
                            <w:rPr>
                              <w:rFonts w:eastAsia="Times New Roman"/>
                            </w:rPr>
                            <w:t xml:space="preserve"> </w:t>
                          </w:r>
                          <w:r>
                            <w:fldChar w:fldCharType="begin"/>
                          </w:r>
                          <w:r>
                            <w:instrText xml:space="preserve"> NUMPAGES \* ARABIC </w:instrText>
                          </w:r>
                          <w:r>
                            <w:fldChar w:fldCharType="separate"/>
                          </w:r>
                          <w:r>
                            <w:t>25</w:t>
                          </w:r>
                          <w:r>
                            <w:fldChar w:fldCharType="end"/>
                          </w:r>
                          <w:r>
                            <w:rPr>
                              <w:rFonts w:eastAsia="Times New Roman"/>
                            </w:rPr>
                            <w:t xml:space="preserve"> </w:t>
                          </w:r>
                          <w:r>
                            <w:t>页</w:t>
                          </w:r>
                        </w:p>
                      </w:txbxContent>
                    </wps:txbx>
                    <wps:bodyPr wrap="square" lIns="0" tIns="0" rIns="0" bIns="0" upright="1"/>
                  </wps:wsp>
                </a:graphicData>
              </a:graphic>
            </wp:anchor>
          </w:drawing>
        </mc:Choice>
        <mc:Fallback>
          <w:pict>
            <v:shape id="文本框 6" o:spid="_x0000_s1026" o:spt="202" type="#_x0000_t202" style="position:absolute;left:0pt;margin-top:0.4pt;height:10.6pt;width:65.35pt;mso-position-horizontal:center;mso-position-horizontal-relative:margin;z-index:251663360;mso-width-relative:page;mso-height-relative:page;" fillcolor="#FFFFFF" filled="t" stroked="f" coordsize="21600,21600" o:allowincell="f" o:gfxdata="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">
              <v:fill on="t" opacity="0f" focussize="0,0"/>
              <v:stroke on="f"/>
              <v:imagedata o:title=""/>
              <o:lock v:ext="edit" aspectratio="f"/>
              <v:textbox inset="0mm,0mm,0mm,0mm">
                <w:txbxContent>
                  <w:p w14:paraId="69A39F40">
                    <w:pPr>
                      <w:pStyle w:val="25"/>
                    </w:pPr>
                    <w:r>
                      <w:t>第</w:t>
                    </w:r>
                    <w:r>
                      <w:rPr>
                        <w:rFonts w:eastAsia="Times New Roman"/>
                      </w:rPr>
                      <w:t xml:space="preserve"> </w:t>
                    </w:r>
                    <w:r>
                      <w:fldChar w:fldCharType="begin"/>
                    </w:r>
                    <w:r>
                      <w:instrText xml:space="preserve"> PAGE </w:instrText>
                    </w:r>
                    <w:r>
                      <w:fldChar w:fldCharType="separate"/>
                    </w:r>
                    <w:r>
                      <w:t>17</w:t>
                    </w:r>
                    <w:r>
                      <w:fldChar w:fldCharType="end"/>
                    </w:r>
                    <w:r>
                      <w:rPr>
                        <w:rFonts w:eastAsia="Times New Roman"/>
                      </w:rPr>
                      <w:t xml:space="preserve"> </w:t>
                    </w:r>
                    <w:r>
                      <w:t>页</w:t>
                    </w:r>
                    <w:r>
                      <w:rPr>
                        <w:rFonts w:eastAsia="Times New Roman"/>
                      </w:rPr>
                      <w:t xml:space="preserve"> </w:t>
                    </w:r>
                    <w:r>
                      <w:t>共</w:t>
                    </w:r>
                    <w:r>
                      <w:rPr>
                        <w:rFonts w:eastAsia="Times New Roman"/>
                      </w:rPr>
                      <w:t xml:space="preserve"> </w:t>
                    </w:r>
                    <w:r>
                      <w:fldChar w:fldCharType="begin"/>
                    </w:r>
                    <w:r>
                      <w:instrText xml:space="preserve"> NUMPAGES \* ARABIC </w:instrText>
                    </w:r>
                    <w:r>
                      <w:fldChar w:fldCharType="separate"/>
                    </w:r>
                    <w:r>
                      <w:t>25</w:t>
                    </w:r>
                    <w:r>
                      <w:fldChar w:fldCharType="end"/>
                    </w:r>
                    <w:r>
                      <w:rPr>
                        <w:rFonts w:eastAsia="Times New Roman"/>
                      </w:rPr>
                      <w:t xml:space="preserve"> </w:t>
                    </w:r>
                    <w:r>
                      <w:t>页</w:t>
                    </w:r>
                  </w:p>
                </w:txbxContent>
              </v:textbox>
            </v:shape>
          </w:pict>
        </mc:Fallback>
      </mc:AlternateContent>
    </w: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F1D428"/>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14DE66"/>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E5C801">
    <w:pPr>
      <w:spacing w:line="208" w:lineRule="auto"/>
      <w:ind w:left="4080"/>
      <w:rPr>
        <w:rFonts w:ascii="宋体" w:hAnsi="宋体" w:cs="宋体"/>
        <w:sz w:val="20"/>
        <w:szCs w:val="20"/>
      </w:rPr>
    </w:pPr>
    <w:r>
      <mc:AlternateContent>
        <mc:Choice Requires="wps">
          <w:drawing>
            <wp:anchor distT="0" distB="0" distL="114935" distR="0" simplePos="0" relativeHeight="251664384" behindDoc="0" locked="0" layoutInCell="0" allowOverlap="1">
              <wp:simplePos x="0" y="0"/>
              <wp:positionH relativeFrom="margin">
                <wp:align>center</wp:align>
              </wp:positionH>
              <wp:positionV relativeFrom="paragraph">
                <wp:posOffset>5080</wp:posOffset>
              </wp:positionV>
              <wp:extent cx="829945" cy="134620"/>
              <wp:effectExtent l="0" t="0" r="0" b="0"/>
              <wp:wrapNone/>
              <wp:docPr id="15" name="文本框 7"/>
              <wp:cNvGraphicFramePr/>
              <a:graphic xmlns:a="http://schemas.openxmlformats.org/drawingml/2006/main">
                <a:graphicData uri="http://schemas.microsoft.com/office/word/2010/wordprocessingShape">
                  <wps:wsp>
                    <wps:cNvSpPr txBox="1"/>
                    <wps:spPr>
                      <a:xfrm>
                        <a:off x="0" y="0"/>
                        <a:ext cx="829945" cy="134620"/>
                      </a:xfrm>
                      <a:prstGeom prst="rect">
                        <a:avLst/>
                      </a:prstGeom>
                      <a:solidFill>
                        <a:srgbClr val="FFFFFF">
                          <a:alpha val="0"/>
                        </a:srgbClr>
                      </a:solidFill>
                      <a:ln>
                        <a:noFill/>
                      </a:ln>
                    </wps:spPr>
                    <wps:txbx>
                      <w:txbxContent>
                        <w:p w14:paraId="63E4D1C7">
                          <w:pPr>
                            <w:pStyle w:val="25"/>
                          </w:pPr>
                          <w:r>
                            <w:t>第</w:t>
                          </w:r>
                          <w:r>
                            <w:rPr>
                              <w:rFonts w:eastAsia="Times New Roman"/>
                            </w:rPr>
                            <w:t xml:space="preserve"> </w:t>
                          </w:r>
                          <w:r>
                            <w:fldChar w:fldCharType="begin"/>
                          </w:r>
                          <w:r>
                            <w:instrText xml:space="preserve"> PAGE </w:instrText>
                          </w:r>
                          <w:r>
                            <w:fldChar w:fldCharType="separate"/>
                          </w:r>
                          <w:r>
                            <w:t>18</w:t>
                          </w:r>
                          <w:r>
                            <w:fldChar w:fldCharType="end"/>
                          </w:r>
                          <w:r>
                            <w:rPr>
                              <w:rFonts w:eastAsia="Times New Roman"/>
                            </w:rPr>
                            <w:t xml:space="preserve"> </w:t>
                          </w:r>
                          <w:r>
                            <w:t>页</w:t>
                          </w:r>
                          <w:r>
                            <w:rPr>
                              <w:rFonts w:eastAsia="Times New Roman"/>
                            </w:rPr>
                            <w:t xml:space="preserve"> </w:t>
                          </w:r>
                          <w:r>
                            <w:t>共</w:t>
                          </w:r>
                          <w:r>
                            <w:rPr>
                              <w:rFonts w:eastAsia="Times New Roman"/>
                            </w:rPr>
                            <w:t xml:space="preserve"> </w:t>
                          </w:r>
                          <w:r>
                            <w:fldChar w:fldCharType="begin"/>
                          </w:r>
                          <w:r>
                            <w:instrText xml:space="preserve"> NUMPAGES \* ARABIC </w:instrText>
                          </w:r>
                          <w:r>
                            <w:fldChar w:fldCharType="separate"/>
                          </w:r>
                          <w:r>
                            <w:t>25</w:t>
                          </w:r>
                          <w:r>
                            <w:fldChar w:fldCharType="end"/>
                          </w:r>
                          <w:r>
                            <w:rPr>
                              <w:rFonts w:eastAsia="Times New Roman"/>
                            </w:rPr>
                            <w:t xml:space="preserve"> </w:t>
                          </w:r>
                          <w:r>
                            <w:t>页</w:t>
                          </w:r>
                        </w:p>
                      </w:txbxContent>
                    </wps:txbx>
                    <wps:bodyPr wrap="square" lIns="0" tIns="0" rIns="0" bIns="0" upright="1"/>
                  </wps:wsp>
                </a:graphicData>
              </a:graphic>
            </wp:anchor>
          </w:drawing>
        </mc:Choice>
        <mc:Fallback>
          <w:pict>
            <v:shape id="文本框 7" o:spid="_x0000_s1026" o:spt="202" type="#_x0000_t202" style="position:absolute;left:0pt;margin-top:0.4pt;height:10.6pt;width:65.35pt;mso-position-horizontal:center;mso-position-horizontal-relative:margin;z-index:251664384;mso-width-relative:page;mso-height-relative:page;" fillcolor="#FFFFFF" filled="t" stroked="f" coordsize="21600,21600" o:allowincell="f" o:gfxdata="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">
              <v:fill on="t" opacity="0f" focussize="0,0"/>
              <v:stroke on="f"/>
              <v:imagedata o:title=""/>
              <o:lock v:ext="edit" aspectratio="f"/>
              <v:textbox inset="0mm,0mm,0mm,0mm">
                <w:txbxContent>
                  <w:p w14:paraId="63E4D1C7">
                    <w:pPr>
                      <w:pStyle w:val="25"/>
                    </w:pPr>
                    <w:r>
                      <w:t>第</w:t>
                    </w:r>
                    <w:r>
                      <w:rPr>
                        <w:rFonts w:eastAsia="Times New Roman"/>
                      </w:rPr>
                      <w:t xml:space="preserve"> </w:t>
                    </w:r>
                    <w:r>
                      <w:fldChar w:fldCharType="begin"/>
                    </w:r>
                    <w:r>
                      <w:instrText xml:space="preserve"> PAGE </w:instrText>
                    </w:r>
                    <w:r>
                      <w:fldChar w:fldCharType="separate"/>
                    </w:r>
                    <w:r>
                      <w:t>18</w:t>
                    </w:r>
                    <w:r>
                      <w:fldChar w:fldCharType="end"/>
                    </w:r>
                    <w:r>
                      <w:rPr>
                        <w:rFonts w:eastAsia="Times New Roman"/>
                      </w:rPr>
                      <w:t xml:space="preserve"> </w:t>
                    </w:r>
                    <w:r>
                      <w:t>页</w:t>
                    </w:r>
                    <w:r>
                      <w:rPr>
                        <w:rFonts w:eastAsia="Times New Roman"/>
                      </w:rPr>
                      <w:t xml:space="preserve"> </w:t>
                    </w:r>
                    <w:r>
                      <w:t>共</w:t>
                    </w:r>
                    <w:r>
                      <w:rPr>
                        <w:rFonts w:eastAsia="Times New Roman"/>
                      </w:rPr>
                      <w:t xml:space="preserve"> </w:t>
                    </w:r>
                    <w:r>
                      <w:fldChar w:fldCharType="begin"/>
                    </w:r>
                    <w:r>
                      <w:instrText xml:space="preserve"> NUMPAGES \* ARABIC </w:instrText>
                    </w:r>
                    <w:r>
                      <w:fldChar w:fldCharType="separate"/>
                    </w:r>
                    <w:r>
                      <w:t>25</w:t>
                    </w:r>
                    <w:r>
                      <w:fldChar w:fldCharType="end"/>
                    </w:r>
                    <w:r>
                      <w:rPr>
                        <w:rFonts w:eastAsia="Times New Roman"/>
                      </w:rPr>
                      <w:t xml:space="preserve"> </w:t>
                    </w:r>
                    <w:r>
                      <w:t>页</w:t>
                    </w:r>
                  </w:p>
                </w:txbxContent>
              </v:textbox>
            </v:shape>
          </w:pict>
        </mc:Fallback>
      </mc:AlternateContent>
    </w:r>
  </w:p>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22D7DC"/>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DFCB3B">
    <w:pPr>
      <w:ind w:right="-2"/>
      <w:jc w:val="center"/>
      <w:rPr>
        <w:rFonts w:ascii="宋体" w:hAnsi="宋体"/>
        <w:bCs/>
      </w:rPr>
    </w:pPr>
    <w:r>
      <w:rPr>
        <w:rFonts w:ascii="Times New Roman" w:hAnsi="Times New Roman" w:eastAsia="宋体" w:cs="Times New Roman"/>
        <w:kern w:val="2"/>
        <w:sz w:val="21"/>
        <w:lang w:val="en-US" w:eastAsia="zh-CN" w:bidi="ar-SA"/>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5080</wp:posOffset>
              </wp:positionV>
              <wp:extent cx="1828800" cy="1828800"/>
              <wp:effectExtent l="0" t="0" r="0" b="0"/>
              <wp:wrapNone/>
              <wp:docPr id="2" name="文本框 10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3F590249">
                          <w:pPr>
                            <w:pStyle w:val="25"/>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65</w:t>
                          </w:r>
                          <w:r>
                            <w:fldChar w:fldCharType="end"/>
                          </w:r>
                          <w:r>
                            <w:t xml:space="preserve"> 页</w:t>
                          </w:r>
                        </w:p>
                      </w:txbxContent>
                    </wps:txbx>
                    <wps:bodyPr wrap="none" lIns="0" tIns="0" rIns="0" bIns="0" upright="1">
                      <a:spAutoFit/>
                    </wps:bodyPr>
                  </wps:wsp>
                </a:graphicData>
              </a:graphic>
            </wp:anchor>
          </w:drawing>
        </mc:Choice>
        <mc:Fallback>
          <w:pict>
            <v:shape id="文本框 1025" o:spid="_x0000_s1026" o:spt="202" type="#_x0000_t202" style="position:absolute;left:0pt;margin-top:0.4pt;height:144pt;width:144pt;mso-position-horizontal:center;mso-position-horizontal-relative:margin;mso-wrap-style:none;z-index:251660288;mso-width-relative:page;mso-height-relative:page;" filled="f" stroked="f" coordsize="21600,21600" o:gfxdata="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">
              <v:fill on="f" focussize="0,0"/>
              <v:stroke on="f"/>
              <v:imagedata o:title=""/>
              <o:lock v:ext="edit" aspectratio="f"/>
              <v:textbox inset="0mm,0mm,0mm,0mm" style="mso-fit-shape-to-text:t;">
                <w:txbxContent>
                  <w:p w14:paraId="3F590249">
                    <w:pPr>
                      <w:pStyle w:val="25"/>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65</w:t>
                    </w:r>
                    <w:r>
                      <w:fldChar w:fldCharType="end"/>
                    </w:r>
                    <w:r>
                      <w:t xml:space="preserve"> 页</w:t>
                    </w:r>
                  </w:p>
                </w:txbxContent>
              </v:textbox>
            </v:shape>
          </w:pict>
        </mc:Fallback>
      </mc:AlternateContent>
    </w:r>
  </w:p>
</w:ftr>
</file>

<file path=word/footer2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68FF15"/>
</w:ftr>
</file>

<file path=word/footer2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AEE86D">
    <w:pPr>
      <w:spacing w:line="208" w:lineRule="auto"/>
      <w:ind w:left="4159"/>
      <w:rPr>
        <w:rFonts w:ascii="宋体" w:hAnsi="宋体" w:cs="宋体"/>
        <w:sz w:val="20"/>
        <w:szCs w:val="20"/>
      </w:rPr>
    </w:pPr>
    <w:r>
      <mc:AlternateContent>
        <mc:Choice Requires="wps">
          <w:drawing>
            <wp:anchor distT="0" distB="0" distL="114935" distR="0" simplePos="0" relativeHeight="251665408" behindDoc="0" locked="0" layoutInCell="0" allowOverlap="1">
              <wp:simplePos x="0" y="0"/>
              <wp:positionH relativeFrom="margin">
                <wp:align>center</wp:align>
              </wp:positionH>
              <wp:positionV relativeFrom="paragraph">
                <wp:posOffset>5080</wp:posOffset>
              </wp:positionV>
              <wp:extent cx="829945" cy="134620"/>
              <wp:effectExtent l="0" t="0" r="0" b="0"/>
              <wp:wrapNone/>
              <wp:docPr id="16" name="文本框 8"/>
              <wp:cNvGraphicFramePr/>
              <a:graphic xmlns:a="http://schemas.openxmlformats.org/drawingml/2006/main">
                <a:graphicData uri="http://schemas.microsoft.com/office/word/2010/wordprocessingShape">
                  <wps:wsp>
                    <wps:cNvSpPr txBox="1"/>
                    <wps:spPr>
                      <a:xfrm>
                        <a:off x="0" y="0"/>
                        <a:ext cx="829945" cy="134620"/>
                      </a:xfrm>
                      <a:prstGeom prst="rect">
                        <a:avLst/>
                      </a:prstGeom>
                      <a:solidFill>
                        <a:srgbClr val="FFFFFF">
                          <a:alpha val="0"/>
                        </a:srgbClr>
                      </a:solidFill>
                      <a:ln>
                        <a:noFill/>
                      </a:ln>
                    </wps:spPr>
                    <wps:txbx>
                      <w:txbxContent>
                        <w:p w14:paraId="66276E8D">
                          <w:pPr>
                            <w:pStyle w:val="25"/>
                          </w:pPr>
                          <w:r>
                            <w:t>第</w:t>
                          </w:r>
                          <w:r>
                            <w:rPr>
                              <w:rFonts w:eastAsia="Times New Roman"/>
                            </w:rPr>
                            <w:t xml:space="preserve"> </w:t>
                          </w:r>
                          <w:r>
                            <w:fldChar w:fldCharType="begin"/>
                          </w:r>
                          <w:r>
                            <w:instrText xml:space="preserve"> PAGE </w:instrText>
                          </w:r>
                          <w:r>
                            <w:fldChar w:fldCharType="separate"/>
                          </w:r>
                          <w:r>
                            <w:t>19</w:t>
                          </w:r>
                          <w:r>
                            <w:fldChar w:fldCharType="end"/>
                          </w:r>
                          <w:r>
                            <w:rPr>
                              <w:rFonts w:eastAsia="Times New Roman"/>
                            </w:rPr>
                            <w:t xml:space="preserve"> </w:t>
                          </w:r>
                          <w:r>
                            <w:t>页</w:t>
                          </w:r>
                          <w:r>
                            <w:rPr>
                              <w:rFonts w:eastAsia="Times New Roman"/>
                            </w:rPr>
                            <w:t xml:space="preserve"> </w:t>
                          </w:r>
                          <w:r>
                            <w:t>共</w:t>
                          </w:r>
                          <w:r>
                            <w:rPr>
                              <w:rFonts w:eastAsia="Times New Roman"/>
                            </w:rPr>
                            <w:t xml:space="preserve"> </w:t>
                          </w:r>
                          <w:r>
                            <w:fldChar w:fldCharType="begin"/>
                          </w:r>
                          <w:r>
                            <w:instrText xml:space="preserve"> NUMPAGES \* ARABIC </w:instrText>
                          </w:r>
                          <w:r>
                            <w:fldChar w:fldCharType="separate"/>
                          </w:r>
                          <w:r>
                            <w:t>25</w:t>
                          </w:r>
                          <w:r>
                            <w:fldChar w:fldCharType="end"/>
                          </w:r>
                          <w:r>
                            <w:rPr>
                              <w:rFonts w:eastAsia="Times New Roman"/>
                            </w:rPr>
                            <w:t xml:space="preserve"> </w:t>
                          </w:r>
                          <w:r>
                            <w:t>页</w:t>
                          </w:r>
                        </w:p>
                      </w:txbxContent>
                    </wps:txbx>
                    <wps:bodyPr wrap="square" lIns="0" tIns="0" rIns="0" bIns="0" upright="1"/>
                  </wps:wsp>
                </a:graphicData>
              </a:graphic>
            </wp:anchor>
          </w:drawing>
        </mc:Choice>
        <mc:Fallback>
          <w:pict>
            <v:shape id="文本框 8" o:spid="_x0000_s1026" o:spt="202" type="#_x0000_t202" style="position:absolute;left:0pt;margin-top:0.4pt;height:10.6pt;width:65.35pt;mso-position-horizontal:center;mso-position-horizontal-relative:margin;z-index:251665408;mso-width-relative:page;mso-height-relative:page;" fillcolor="#FFFFFF" filled="t" stroked="f" coordsize="21600,21600" o:allowincell="f" o:gfxdata="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">
              <v:fill on="t" opacity="0f" focussize="0,0"/>
              <v:stroke on="f"/>
              <v:imagedata o:title=""/>
              <o:lock v:ext="edit" aspectratio="f"/>
              <v:textbox inset="0mm,0mm,0mm,0mm">
                <w:txbxContent>
                  <w:p w14:paraId="66276E8D">
                    <w:pPr>
                      <w:pStyle w:val="25"/>
                    </w:pPr>
                    <w:r>
                      <w:t>第</w:t>
                    </w:r>
                    <w:r>
                      <w:rPr>
                        <w:rFonts w:eastAsia="Times New Roman"/>
                      </w:rPr>
                      <w:t xml:space="preserve"> </w:t>
                    </w:r>
                    <w:r>
                      <w:fldChar w:fldCharType="begin"/>
                    </w:r>
                    <w:r>
                      <w:instrText xml:space="preserve"> PAGE </w:instrText>
                    </w:r>
                    <w:r>
                      <w:fldChar w:fldCharType="separate"/>
                    </w:r>
                    <w:r>
                      <w:t>19</w:t>
                    </w:r>
                    <w:r>
                      <w:fldChar w:fldCharType="end"/>
                    </w:r>
                    <w:r>
                      <w:rPr>
                        <w:rFonts w:eastAsia="Times New Roman"/>
                      </w:rPr>
                      <w:t xml:space="preserve"> </w:t>
                    </w:r>
                    <w:r>
                      <w:t>页</w:t>
                    </w:r>
                    <w:r>
                      <w:rPr>
                        <w:rFonts w:eastAsia="Times New Roman"/>
                      </w:rPr>
                      <w:t xml:space="preserve"> </w:t>
                    </w:r>
                    <w:r>
                      <w:t>共</w:t>
                    </w:r>
                    <w:r>
                      <w:rPr>
                        <w:rFonts w:eastAsia="Times New Roman"/>
                      </w:rPr>
                      <w:t xml:space="preserve"> </w:t>
                    </w:r>
                    <w:r>
                      <w:fldChar w:fldCharType="begin"/>
                    </w:r>
                    <w:r>
                      <w:instrText xml:space="preserve"> NUMPAGES \* ARABIC </w:instrText>
                    </w:r>
                    <w:r>
                      <w:fldChar w:fldCharType="separate"/>
                    </w:r>
                    <w:r>
                      <w:t>25</w:t>
                    </w:r>
                    <w:r>
                      <w:fldChar w:fldCharType="end"/>
                    </w:r>
                    <w:r>
                      <w:rPr>
                        <w:rFonts w:eastAsia="Times New Roman"/>
                      </w:rPr>
                      <w:t xml:space="preserve"> </w:t>
                    </w:r>
                    <w:r>
                      <w:t>页</w:t>
                    </w:r>
                  </w:p>
                </w:txbxContent>
              </v:textbox>
            </v:shape>
          </w:pict>
        </mc:Fallback>
      </mc:AlternateContent>
    </w:r>
  </w:p>
</w:ftr>
</file>

<file path=word/footer2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9FE54F"/>
</w:ftr>
</file>

<file path=word/footer2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ABFBCD"/>
</w:ftr>
</file>

<file path=word/footer2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44E655">
    <w:pPr>
      <w:pStyle w:val="25"/>
    </w:pPr>
    <w:r>
      <mc:AlternateContent>
        <mc:Choice Requires="wps">
          <w:drawing>
            <wp:anchor distT="0" distB="0" distL="114935" distR="0" simplePos="0" relativeHeight="251666432" behindDoc="0" locked="0" layoutInCell="0" allowOverlap="1">
              <wp:simplePos x="0" y="0"/>
              <wp:positionH relativeFrom="margin">
                <wp:align>center</wp:align>
              </wp:positionH>
              <wp:positionV relativeFrom="paragraph">
                <wp:posOffset>5080</wp:posOffset>
              </wp:positionV>
              <wp:extent cx="829945" cy="134620"/>
              <wp:effectExtent l="0" t="0" r="0" b="0"/>
              <wp:wrapNone/>
              <wp:docPr id="17" name="文本框 9"/>
              <wp:cNvGraphicFramePr/>
              <a:graphic xmlns:a="http://schemas.openxmlformats.org/drawingml/2006/main">
                <a:graphicData uri="http://schemas.microsoft.com/office/word/2010/wordprocessingShape">
                  <wps:wsp>
                    <wps:cNvSpPr txBox="1"/>
                    <wps:spPr>
                      <a:xfrm>
                        <a:off x="0" y="0"/>
                        <a:ext cx="829945" cy="134620"/>
                      </a:xfrm>
                      <a:prstGeom prst="rect">
                        <a:avLst/>
                      </a:prstGeom>
                      <a:solidFill>
                        <a:srgbClr val="FFFFFF">
                          <a:alpha val="0"/>
                        </a:srgbClr>
                      </a:solidFill>
                      <a:ln>
                        <a:noFill/>
                      </a:ln>
                    </wps:spPr>
                    <wps:txbx>
                      <w:txbxContent>
                        <w:p w14:paraId="0A25C30D">
                          <w:pPr>
                            <w:pStyle w:val="25"/>
                          </w:pPr>
                          <w:r>
                            <w:t>第</w:t>
                          </w:r>
                          <w:r>
                            <w:rPr>
                              <w:rFonts w:eastAsia="Times New Roman"/>
                            </w:rPr>
                            <w:t xml:space="preserve"> </w:t>
                          </w:r>
                          <w:r>
                            <w:fldChar w:fldCharType="begin"/>
                          </w:r>
                          <w:r>
                            <w:instrText xml:space="preserve"> PAGE </w:instrText>
                          </w:r>
                          <w:r>
                            <w:fldChar w:fldCharType="separate"/>
                          </w:r>
                          <w:r>
                            <w:t>20</w:t>
                          </w:r>
                          <w:r>
                            <w:fldChar w:fldCharType="end"/>
                          </w:r>
                          <w:r>
                            <w:rPr>
                              <w:rFonts w:eastAsia="Times New Roman"/>
                            </w:rPr>
                            <w:t xml:space="preserve"> </w:t>
                          </w:r>
                          <w:r>
                            <w:t>页</w:t>
                          </w:r>
                          <w:r>
                            <w:rPr>
                              <w:rFonts w:eastAsia="Times New Roman"/>
                            </w:rPr>
                            <w:t xml:space="preserve"> </w:t>
                          </w:r>
                          <w:r>
                            <w:t>共</w:t>
                          </w:r>
                          <w:r>
                            <w:rPr>
                              <w:rFonts w:eastAsia="Times New Roman"/>
                            </w:rPr>
                            <w:t xml:space="preserve"> </w:t>
                          </w:r>
                          <w:r>
                            <w:fldChar w:fldCharType="begin"/>
                          </w:r>
                          <w:r>
                            <w:instrText xml:space="preserve"> NUMPAGES \* ARABIC </w:instrText>
                          </w:r>
                          <w:r>
                            <w:fldChar w:fldCharType="separate"/>
                          </w:r>
                          <w:r>
                            <w:t>25</w:t>
                          </w:r>
                          <w:r>
                            <w:fldChar w:fldCharType="end"/>
                          </w:r>
                          <w:r>
                            <w:rPr>
                              <w:rFonts w:eastAsia="Times New Roman"/>
                            </w:rPr>
                            <w:t xml:space="preserve"> </w:t>
                          </w:r>
                          <w:r>
                            <w:t>页</w:t>
                          </w:r>
                        </w:p>
                      </w:txbxContent>
                    </wps:txbx>
                    <wps:bodyPr wrap="square" lIns="0" tIns="0" rIns="0" bIns="0" upright="1"/>
                  </wps:wsp>
                </a:graphicData>
              </a:graphic>
            </wp:anchor>
          </w:drawing>
        </mc:Choice>
        <mc:Fallback>
          <w:pict>
            <v:shape id="文本框 9" o:spid="_x0000_s1026" o:spt="202" type="#_x0000_t202" style="position:absolute;left:0pt;margin-top:0.4pt;height:10.6pt;width:65.35pt;mso-position-horizontal:center;mso-position-horizontal-relative:margin;z-index:251666432;mso-width-relative:page;mso-height-relative:page;" fillcolor="#FFFFFF" filled="t" stroked="f" coordsize="21600,21600" o:allowincell="f" o:gfxdata="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">
              <v:fill on="t" opacity="0f" focussize="0,0"/>
              <v:stroke on="f"/>
              <v:imagedata o:title=""/>
              <o:lock v:ext="edit" aspectratio="f"/>
              <v:textbox inset="0mm,0mm,0mm,0mm">
                <w:txbxContent>
                  <w:p w14:paraId="0A25C30D">
                    <w:pPr>
                      <w:pStyle w:val="25"/>
                    </w:pPr>
                    <w:r>
                      <w:t>第</w:t>
                    </w:r>
                    <w:r>
                      <w:rPr>
                        <w:rFonts w:eastAsia="Times New Roman"/>
                      </w:rPr>
                      <w:t xml:space="preserve"> </w:t>
                    </w:r>
                    <w:r>
                      <w:fldChar w:fldCharType="begin"/>
                    </w:r>
                    <w:r>
                      <w:instrText xml:space="preserve"> PAGE </w:instrText>
                    </w:r>
                    <w:r>
                      <w:fldChar w:fldCharType="separate"/>
                    </w:r>
                    <w:r>
                      <w:t>20</w:t>
                    </w:r>
                    <w:r>
                      <w:fldChar w:fldCharType="end"/>
                    </w:r>
                    <w:r>
                      <w:rPr>
                        <w:rFonts w:eastAsia="Times New Roman"/>
                      </w:rPr>
                      <w:t xml:space="preserve"> </w:t>
                    </w:r>
                    <w:r>
                      <w:t>页</w:t>
                    </w:r>
                    <w:r>
                      <w:rPr>
                        <w:rFonts w:eastAsia="Times New Roman"/>
                      </w:rPr>
                      <w:t xml:space="preserve"> </w:t>
                    </w:r>
                    <w:r>
                      <w:t>共</w:t>
                    </w:r>
                    <w:r>
                      <w:rPr>
                        <w:rFonts w:eastAsia="Times New Roman"/>
                      </w:rPr>
                      <w:t xml:space="preserve"> </w:t>
                    </w:r>
                    <w:r>
                      <w:fldChar w:fldCharType="begin"/>
                    </w:r>
                    <w:r>
                      <w:instrText xml:space="preserve"> NUMPAGES \* ARABIC </w:instrText>
                    </w:r>
                    <w:r>
                      <w:fldChar w:fldCharType="separate"/>
                    </w:r>
                    <w:r>
                      <w:t>25</w:t>
                    </w:r>
                    <w:r>
                      <w:fldChar w:fldCharType="end"/>
                    </w:r>
                    <w:r>
                      <w:rPr>
                        <w:rFonts w:eastAsia="Times New Roman"/>
                      </w:rPr>
                      <w:t xml:space="preserve"> </w:t>
                    </w:r>
                    <w:r>
                      <w:t>页</w:t>
                    </w:r>
                  </w:p>
                </w:txbxContent>
              </v:textbox>
            </v:shape>
          </w:pict>
        </mc:Fallback>
      </mc:AlternateContent>
    </w:r>
  </w:p>
</w:ftr>
</file>

<file path=word/footer2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9C0577"/>
</w:ftr>
</file>

<file path=word/footer2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F43225"/>
</w:ftr>
</file>

<file path=word/footer2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313CE8">
    <w:pPr>
      <w:spacing w:line="211" w:lineRule="auto"/>
      <w:ind w:left="4139"/>
      <w:rPr>
        <w:rFonts w:ascii="黑体" w:hAnsi="黑体" w:eastAsia="黑体" w:cs="黑体"/>
        <w:sz w:val="20"/>
        <w:szCs w:val="20"/>
      </w:rPr>
    </w:pPr>
    <w:r>
      <mc:AlternateContent>
        <mc:Choice Requires="wps">
          <w:drawing>
            <wp:anchor distT="0" distB="0" distL="114935" distR="0" simplePos="0" relativeHeight="251667456" behindDoc="0" locked="0" layoutInCell="0" allowOverlap="1">
              <wp:simplePos x="0" y="0"/>
              <wp:positionH relativeFrom="margin">
                <wp:align>center</wp:align>
              </wp:positionH>
              <wp:positionV relativeFrom="paragraph">
                <wp:posOffset>5080</wp:posOffset>
              </wp:positionV>
              <wp:extent cx="829945" cy="134620"/>
              <wp:effectExtent l="0" t="0" r="0" b="0"/>
              <wp:wrapNone/>
              <wp:docPr id="18" name="文本框 10"/>
              <wp:cNvGraphicFramePr/>
              <a:graphic xmlns:a="http://schemas.openxmlformats.org/drawingml/2006/main">
                <a:graphicData uri="http://schemas.microsoft.com/office/word/2010/wordprocessingShape">
                  <wps:wsp>
                    <wps:cNvSpPr txBox="1"/>
                    <wps:spPr>
                      <a:xfrm>
                        <a:off x="0" y="0"/>
                        <a:ext cx="829945" cy="134620"/>
                      </a:xfrm>
                      <a:prstGeom prst="rect">
                        <a:avLst/>
                      </a:prstGeom>
                      <a:solidFill>
                        <a:srgbClr val="FFFFFF">
                          <a:alpha val="0"/>
                        </a:srgbClr>
                      </a:solidFill>
                      <a:ln>
                        <a:noFill/>
                      </a:ln>
                    </wps:spPr>
                    <wps:txbx>
                      <w:txbxContent>
                        <w:p w14:paraId="63F2AC32">
                          <w:pPr>
                            <w:pStyle w:val="25"/>
                          </w:pPr>
                          <w:r>
                            <w:t>第</w:t>
                          </w:r>
                          <w:r>
                            <w:rPr>
                              <w:rFonts w:eastAsia="Times New Roman"/>
                            </w:rPr>
                            <w:t xml:space="preserve"> </w:t>
                          </w:r>
                          <w:r>
                            <w:fldChar w:fldCharType="begin"/>
                          </w:r>
                          <w:r>
                            <w:instrText xml:space="preserve"> PAGE </w:instrText>
                          </w:r>
                          <w:r>
                            <w:fldChar w:fldCharType="separate"/>
                          </w:r>
                          <w:r>
                            <w:t>21</w:t>
                          </w:r>
                          <w:r>
                            <w:fldChar w:fldCharType="end"/>
                          </w:r>
                          <w:r>
                            <w:rPr>
                              <w:rFonts w:eastAsia="Times New Roman"/>
                            </w:rPr>
                            <w:t xml:space="preserve"> </w:t>
                          </w:r>
                          <w:r>
                            <w:t>页</w:t>
                          </w:r>
                          <w:r>
                            <w:rPr>
                              <w:rFonts w:eastAsia="Times New Roman"/>
                            </w:rPr>
                            <w:t xml:space="preserve"> </w:t>
                          </w:r>
                          <w:r>
                            <w:t>共</w:t>
                          </w:r>
                          <w:r>
                            <w:rPr>
                              <w:rFonts w:eastAsia="Times New Roman"/>
                            </w:rPr>
                            <w:t xml:space="preserve"> </w:t>
                          </w:r>
                          <w:r>
                            <w:fldChar w:fldCharType="begin"/>
                          </w:r>
                          <w:r>
                            <w:instrText xml:space="preserve"> NUMPAGES \* ARABIC </w:instrText>
                          </w:r>
                          <w:r>
                            <w:fldChar w:fldCharType="separate"/>
                          </w:r>
                          <w:r>
                            <w:t>25</w:t>
                          </w:r>
                          <w:r>
                            <w:fldChar w:fldCharType="end"/>
                          </w:r>
                          <w:r>
                            <w:rPr>
                              <w:rFonts w:eastAsia="Times New Roman"/>
                            </w:rPr>
                            <w:t xml:space="preserve"> </w:t>
                          </w:r>
                          <w:r>
                            <w:t>页</w:t>
                          </w:r>
                        </w:p>
                      </w:txbxContent>
                    </wps:txbx>
                    <wps:bodyPr wrap="square" lIns="0" tIns="0" rIns="0" bIns="0" upright="1"/>
                  </wps:wsp>
                </a:graphicData>
              </a:graphic>
            </wp:anchor>
          </w:drawing>
        </mc:Choice>
        <mc:Fallback>
          <w:pict>
            <v:shape id="文本框 10" o:spid="_x0000_s1026" o:spt="202" type="#_x0000_t202" style="position:absolute;left:0pt;margin-top:0.4pt;height:10.6pt;width:65.35pt;mso-position-horizontal:center;mso-position-horizontal-relative:margin;z-index:251667456;mso-width-relative:page;mso-height-relative:page;" fillcolor="#FFFFFF" filled="t" stroked="f" coordsize="21600,21600" o:allowincell="f" o:gfxdata="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">
              <v:fill on="t" opacity="0f" focussize="0,0"/>
              <v:stroke on="f"/>
              <v:imagedata o:title=""/>
              <o:lock v:ext="edit" aspectratio="f"/>
              <v:textbox inset="0mm,0mm,0mm,0mm">
                <w:txbxContent>
                  <w:p w14:paraId="63F2AC32">
                    <w:pPr>
                      <w:pStyle w:val="25"/>
                    </w:pPr>
                    <w:r>
                      <w:t>第</w:t>
                    </w:r>
                    <w:r>
                      <w:rPr>
                        <w:rFonts w:eastAsia="Times New Roman"/>
                      </w:rPr>
                      <w:t xml:space="preserve"> </w:t>
                    </w:r>
                    <w:r>
                      <w:fldChar w:fldCharType="begin"/>
                    </w:r>
                    <w:r>
                      <w:instrText xml:space="preserve"> PAGE </w:instrText>
                    </w:r>
                    <w:r>
                      <w:fldChar w:fldCharType="separate"/>
                    </w:r>
                    <w:r>
                      <w:t>21</w:t>
                    </w:r>
                    <w:r>
                      <w:fldChar w:fldCharType="end"/>
                    </w:r>
                    <w:r>
                      <w:rPr>
                        <w:rFonts w:eastAsia="Times New Roman"/>
                      </w:rPr>
                      <w:t xml:space="preserve"> </w:t>
                    </w:r>
                    <w:r>
                      <w:t>页</w:t>
                    </w:r>
                    <w:r>
                      <w:rPr>
                        <w:rFonts w:eastAsia="Times New Roman"/>
                      </w:rPr>
                      <w:t xml:space="preserve"> </w:t>
                    </w:r>
                    <w:r>
                      <w:t>共</w:t>
                    </w:r>
                    <w:r>
                      <w:rPr>
                        <w:rFonts w:eastAsia="Times New Roman"/>
                      </w:rPr>
                      <w:t xml:space="preserve"> </w:t>
                    </w:r>
                    <w:r>
                      <w:fldChar w:fldCharType="begin"/>
                    </w:r>
                    <w:r>
                      <w:instrText xml:space="preserve"> NUMPAGES \* ARABIC </w:instrText>
                    </w:r>
                    <w:r>
                      <w:fldChar w:fldCharType="separate"/>
                    </w:r>
                    <w:r>
                      <w:t>25</w:t>
                    </w:r>
                    <w:r>
                      <w:fldChar w:fldCharType="end"/>
                    </w:r>
                    <w:r>
                      <w:rPr>
                        <w:rFonts w:eastAsia="Times New Roman"/>
                      </w:rPr>
                      <w:t xml:space="preserve"> </w:t>
                    </w:r>
                    <w:r>
                      <w:t>页</w:t>
                    </w:r>
                  </w:p>
                </w:txbxContent>
              </v:textbox>
            </v:shape>
          </w:pict>
        </mc:Fallback>
      </mc:AlternateContent>
    </w:r>
  </w:p>
</w:ftr>
</file>

<file path=word/footer2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18BEA8"/>
</w:ftr>
</file>

<file path=word/footer2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AC4F9D"/>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20EBDC">
    <w:pPr>
      <w:spacing w:line="208" w:lineRule="auto"/>
      <w:ind w:left="4099"/>
      <w:rPr>
        <w:rFonts w:ascii="宋体" w:hAnsi="宋体" w:cs="宋体"/>
        <w:sz w:val="19"/>
        <w:szCs w:val="19"/>
      </w:rPr>
    </w:pPr>
    <w:r>
      <mc:AlternateContent>
        <mc:Choice Requires="wps">
          <w:drawing>
            <wp:anchor distT="0" distB="0" distL="114935" distR="0" simplePos="0" relativeHeight="251661312" behindDoc="0" locked="0" layoutInCell="0" allowOverlap="1">
              <wp:simplePos x="0" y="0"/>
              <wp:positionH relativeFrom="margin">
                <wp:align>center</wp:align>
              </wp:positionH>
              <wp:positionV relativeFrom="paragraph">
                <wp:posOffset>5080</wp:posOffset>
              </wp:positionV>
              <wp:extent cx="829945" cy="134620"/>
              <wp:effectExtent l="0" t="0" r="0" b="0"/>
              <wp:wrapNone/>
              <wp:docPr id="9" name="文本框 4"/>
              <wp:cNvGraphicFramePr/>
              <a:graphic xmlns:a="http://schemas.openxmlformats.org/drawingml/2006/main">
                <a:graphicData uri="http://schemas.microsoft.com/office/word/2010/wordprocessingShape">
                  <wps:wsp>
                    <wps:cNvSpPr txBox="1"/>
                    <wps:spPr>
                      <a:xfrm>
                        <a:off x="0" y="0"/>
                        <a:ext cx="829945" cy="134620"/>
                      </a:xfrm>
                      <a:prstGeom prst="rect">
                        <a:avLst/>
                      </a:prstGeom>
                      <a:solidFill>
                        <a:srgbClr val="FFFFFF">
                          <a:alpha val="0"/>
                        </a:srgbClr>
                      </a:solidFill>
                      <a:ln>
                        <a:noFill/>
                      </a:ln>
                    </wps:spPr>
                    <wps:txbx>
                      <w:txbxContent>
                        <w:p w14:paraId="75C745DC">
                          <w:pPr>
                            <w:pStyle w:val="25"/>
                          </w:pPr>
                          <w:r>
                            <w:t>第</w:t>
                          </w:r>
                          <w:r>
                            <w:rPr>
                              <w:rFonts w:eastAsia="Times New Roman"/>
                            </w:rPr>
                            <w:t xml:space="preserve"> </w:t>
                          </w:r>
                          <w:r>
                            <w:fldChar w:fldCharType="begin"/>
                          </w:r>
                          <w:r>
                            <w:instrText xml:space="preserve"> PAGE </w:instrText>
                          </w:r>
                          <w:r>
                            <w:fldChar w:fldCharType="separate"/>
                          </w:r>
                          <w:r>
                            <w:t>13</w:t>
                          </w:r>
                          <w:r>
                            <w:fldChar w:fldCharType="end"/>
                          </w:r>
                          <w:r>
                            <w:rPr>
                              <w:rFonts w:eastAsia="Times New Roman"/>
                            </w:rPr>
                            <w:t xml:space="preserve"> </w:t>
                          </w:r>
                          <w:r>
                            <w:t>页</w:t>
                          </w:r>
                          <w:r>
                            <w:rPr>
                              <w:rFonts w:eastAsia="Times New Roman"/>
                            </w:rPr>
                            <w:t xml:space="preserve"> </w:t>
                          </w:r>
                          <w:r>
                            <w:t>共</w:t>
                          </w:r>
                          <w:r>
                            <w:rPr>
                              <w:rFonts w:eastAsia="Times New Roman"/>
                            </w:rPr>
                            <w:t xml:space="preserve"> </w:t>
                          </w:r>
                          <w:r>
                            <w:fldChar w:fldCharType="begin"/>
                          </w:r>
                          <w:r>
                            <w:instrText xml:space="preserve"> NUMPAGES \* ARABIC </w:instrText>
                          </w:r>
                          <w:r>
                            <w:fldChar w:fldCharType="separate"/>
                          </w:r>
                          <w:r>
                            <w:t>25</w:t>
                          </w:r>
                          <w:r>
                            <w:fldChar w:fldCharType="end"/>
                          </w:r>
                          <w:r>
                            <w:rPr>
                              <w:rFonts w:eastAsia="Times New Roman"/>
                            </w:rPr>
                            <w:t xml:space="preserve"> </w:t>
                          </w:r>
                          <w:r>
                            <w:t>页</w:t>
                          </w:r>
                        </w:p>
                      </w:txbxContent>
                    </wps:txbx>
                    <wps:bodyPr wrap="square" lIns="0" tIns="0" rIns="0" bIns="0" upright="1"/>
                  </wps:wsp>
                </a:graphicData>
              </a:graphic>
            </wp:anchor>
          </w:drawing>
        </mc:Choice>
        <mc:Fallback>
          <w:pict>
            <v:shape id="文本框 4" o:spid="_x0000_s1026" o:spt="202" type="#_x0000_t202" style="position:absolute;left:0pt;margin-top:0.4pt;height:10.6pt;width:65.35pt;mso-position-horizontal:center;mso-position-horizontal-relative:margin;z-index:251661312;mso-width-relative:page;mso-height-relative:page;" fillcolor="#FFFFFF" filled="t" stroked="f" coordsize="21600,21600" o:allowincell="f" o:gfxdata="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">
              <v:fill on="t" opacity="0f" focussize="0,0"/>
              <v:stroke on="f"/>
              <v:imagedata o:title=""/>
              <o:lock v:ext="edit" aspectratio="f"/>
              <v:textbox inset="0mm,0mm,0mm,0mm">
                <w:txbxContent>
                  <w:p w14:paraId="75C745DC">
                    <w:pPr>
                      <w:pStyle w:val="25"/>
                    </w:pPr>
                    <w:r>
                      <w:t>第</w:t>
                    </w:r>
                    <w:r>
                      <w:rPr>
                        <w:rFonts w:eastAsia="Times New Roman"/>
                      </w:rPr>
                      <w:t xml:space="preserve"> </w:t>
                    </w:r>
                    <w:r>
                      <w:fldChar w:fldCharType="begin"/>
                    </w:r>
                    <w:r>
                      <w:instrText xml:space="preserve"> PAGE </w:instrText>
                    </w:r>
                    <w:r>
                      <w:fldChar w:fldCharType="separate"/>
                    </w:r>
                    <w:r>
                      <w:t>13</w:t>
                    </w:r>
                    <w:r>
                      <w:fldChar w:fldCharType="end"/>
                    </w:r>
                    <w:r>
                      <w:rPr>
                        <w:rFonts w:eastAsia="Times New Roman"/>
                      </w:rPr>
                      <w:t xml:space="preserve"> </w:t>
                    </w:r>
                    <w:r>
                      <w:t>页</w:t>
                    </w:r>
                    <w:r>
                      <w:rPr>
                        <w:rFonts w:eastAsia="Times New Roman"/>
                      </w:rPr>
                      <w:t xml:space="preserve"> </w:t>
                    </w:r>
                    <w:r>
                      <w:t>共</w:t>
                    </w:r>
                    <w:r>
                      <w:rPr>
                        <w:rFonts w:eastAsia="Times New Roman"/>
                      </w:rPr>
                      <w:t xml:space="preserve"> </w:t>
                    </w:r>
                    <w:r>
                      <w:fldChar w:fldCharType="begin"/>
                    </w:r>
                    <w:r>
                      <w:instrText xml:space="preserve"> NUMPAGES \* ARABIC </w:instrText>
                    </w:r>
                    <w:r>
                      <w:fldChar w:fldCharType="separate"/>
                    </w:r>
                    <w:r>
                      <w:t>25</w:t>
                    </w:r>
                    <w:r>
                      <w:fldChar w:fldCharType="end"/>
                    </w:r>
                    <w:r>
                      <w:rPr>
                        <w:rFonts w:eastAsia="Times New Roman"/>
                      </w:rPr>
                      <w:t xml:space="preserve"> </w:t>
                    </w:r>
                    <w:r>
                      <w:t>页</w:t>
                    </w:r>
                  </w:p>
                </w:txbxContent>
              </v:textbox>
            </v:shape>
          </w:pict>
        </mc:Fallback>
      </mc:AlternateContent>
    </w:r>
  </w:p>
</w:ftr>
</file>

<file path=word/footer3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2EFE14">
    <w:pPr>
      <w:ind w:right="-2"/>
      <w:jc w:val="center"/>
      <w:rPr>
        <w:rFonts w:ascii="宋体" w:hAnsi="宋体"/>
        <w:bCs/>
      </w:rPr>
    </w:pPr>
    <w:r>
      <w:rPr>
        <w:rFonts w:ascii="Times New Roman" w:hAnsi="Times New Roman" w:eastAsia="宋体" w:cs="Times New Roman"/>
        <w:kern w:val="2"/>
        <w:sz w:val="21"/>
        <w:lang w:val="en-US" w:eastAsia="zh-CN" w:bidi="ar-SA"/>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5080</wp:posOffset>
              </wp:positionV>
              <wp:extent cx="1828800" cy="1828800"/>
              <wp:effectExtent l="0" t="0" r="0" b="0"/>
              <wp:wrapNone/>
              <wp:docPr id="3" name="文本框 10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A70791C">
                          <w:pPr>
                            <w:pStyle w:val="25"/>
                          </w:pPr>
                          <w:r>
                            <w:t xml:space="preserve">第 </w:t>
                          </w:r>
                          <w:r>
                            <w:fldChar w:fldCharType="begin"/>
                          </w:r>
                          <w:r>
                            <w:instrText xml:space="preserve"> PAGE  \* MERGEFORMAT </w:instrText>
                          </w:r>
                          <w:r>
                            <w:fldChar w:fldCharType="separate"/>
                          </w:r>
                          <w:r>
                            <w:t>21</w:t>
                          </w:r>
                          <w:r>
                            <w:fldChar w:fldCharType="end"/>
                          </w:r>
                          <w:r>
                            <w:t xml:space="preserve"> 页 共 </w:t>
                          </w:r>
                          <w:r>
                            <w:fldChar w:fldCharType="begin"/>
                          </w:r>
                          <w:r>
                            <w:instrText xml:space="preserve"> NUMPAGES  \* MERGEFORMAT </w:instrText>
                          </w:r>
                          <w:r>
                            <w:fldChar w:fldCharType="separate"/>
                          </w:r>
                          <w:r>
                            <w:t>65</w:t>
                          </w:r>
                          <w:r>
                            <w:fldChar w:fldCharType="end"/>
                          </w:r>
                          <w:r>
                            <w:t xml:space="preserve"> 页</w:t>
                          </w:r>
                        </w:p>
                      </w:txbxContent>
                    </wps:txbx>
                    <wps:bodyPr wrap="none" lIns="0" tIns="0" rIns="0" bIns="0" upright="1">
                      <a:spAutoFit/>
                    </wps:bodyPr>
                  </wps:wsp>
                </a:graphicData>
              </a:graphic>
            </wp:anchor>
          </w:drawing>
        </mc:Choice>
        <mc:Fallback>
          <w:pict>
            <v:shape id="文本框 1027" o:spid="_x0000_s1026" o:spt="202" type="#_x0000_t202" style="position:absolute;left:0pt;margin-top:0.4pt;height:144pt;width:144pt;mso-position-horizontal:center;mso-position-horizontal-relative:margin;mso-wrap-style:none;z-index:251661312;mso-width-relative:page;mso-height-relative:page;" filled="f" stroked="f" coordsize="21600,21600" o:gfxdata="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DUZfmzQAAAABQEAAA8AAAAAAAAAAQAgAAAAIgAAAGRycy9kb3ducmV2&#10;LnhtbFBLAQIUABQAAAAIAIdO4kBhXhpDywEAAJwDAAAOAAAAAAAAAAEAIAAAAB8BAABkcnMvZTJv&#10;RG9jLnhtbFBLBQYAAAAABgAGAFkBAABcBQAAAAA=&#10;">
              <v:fill on="f" focussize="0,0"/>
              <v:stroke on="f"/>
              <v:imagedata o:title=""/>
              <o:lock v:ext="edit" aspectratio="f"/>
              <v:textbox inset="0mm,0mm,0mm,0mm" style="mso-fit-shape-to-text:t;">
                <w:txbxContent>
                  <w:p w14:paraId="0A70791C">
                    <w:pPr>
                      <w:pStyle w:val="25"/>
                    </w:pPr>
                    <w:r>
                      <w:t xml:space="preserve">第 </w:t>
                    </w:r>
                    <w:r>
                      <w:fldChar w:fldCharType="begin"/>
                    </w:r>
                    <w:r>
                      <w:instrText xml:space="preserve"> PAGE  \* MERGEFORMAT </w:instrText>
                    </w:r>
                    <w:r>
                      <w:fldChar w:fldCharType="separate"/>
                    </w:r>
                    <w:r>
                      <w:t>21</w:t>
                    </w:r>
                    <w:r>
                      <w:fldChar w:fldCharType="end"/>
                    </w:r>
                    <w:r>
                      <w:t xml:space="preserve"> 页 共 </w:t>
                    </w:r>
                    <w:r>
                      <w:fldChar w:fldCharType="begin"/>
                    </w:r>
                    <w:r>
                      <w:instrText xml:space="preserve"> NUMPAGES  \* MERGEFORMAT </w:instrText>
                    </w:r>
                    <w:r>
                      <w:fldChar w:fldCharType="separate"/>
                    </w:r>
                    <w:r>
                      <w:t>65</w:t>
                    </w:r>
                    <w:r>
                      <w:fldChar w:fldCharType="end"/>
                    </w:r>
                    <w:r>
                      <w:t xml:space="preserve"> 页</w:t>
                    </w:r>
                  </w:p>
                </w:txbxContent>
              </v:textbox>
            </v:shape>
          </w:pict>
        </mc:Fallback>
      </mc:AlternateContent>
    </w:r>
  </w:p>
</w:ftr>
</file>

<file path=word/footer3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1B9CAA">
    <w:pPr>
      <w:pStyle w:val="25"/>
      <w:ind w:right="360" w:firstLine="360"/>
    </w:pPr>
    <w:r>
      <w:rPr>
        <w:rFonts w:ascii="Times New Roman" w:hAnsi="Times New Roman" w:eastAsia="宋体" w:cs="Times New Roman"/>
        <w:kern w:val="2"/>
        <w:sz w:val="18"/>
        <w:szCs w:val="18"/>
        <w:lang w:val="en-US" w:eastAsia="zh-CN" w:bidi="ar-SA"/>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5080</wp:posOffset>
              </wp:positionV>
              <wp:extent cx="1828800" cy="1828800"/>
              <wp:effectExtent l="0" t="0" r="0" b="0"/>
              <wp:wrapNone/>
              <wp:docPr id="4" name="文本框 102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56642584">
                          <w:pPr>
                            <w:pStyle w:val="25"/>
                          </w:pPr>
                          <w:r>
                            <w:t xml:space="preserve">第 </w:t>
                          </w:r>
                          <w:r>
                            <w:fldChar w:fldCharType="begin"/>
                          </w:r>
                          <w:r>
                            <w:instrText xml:space="preserve"> PAGE  \* MERGEFORMAT </w:instrText>
                          </w:r>
                          <w:r>
                            <w:fldChar w:fldCharType="separate"/>
                          </w:r>
                          <w:r>
                            <w:t>39</w:t>
                          </w:r>
                          <w:r>
                            <w:fldChar w:fldCharType="end"/>
                          </w:r>
                          <w:r>
                            <w:t xml:space="preserve"> 页 共 </w:t>
                          </w:r>
                          <w:r>
                            <w:fldChar w:fldCharType="begin"/>
                          </w:r>
                          <w:r>
                            <w:instrText xml:space="preserve"> NUMPAGES  \* MERGEFORMAT </w:instrText>
                          </w:r>
                          <w:r>
                            <w:fldChar w:fldCharType="separate"/>
                          </w:r>
                          <w:r>
                            <w:t>65</w:t>
                          </w:r>
                          <w:r>
                            <w:fldChar w:fldCharType="end"/>
                          </w:r>
                          <w:r>
                            <w:t xml:space="preserve"> 页</w:t>
                          </w:r>
                        </w:p>
                      </w:txbxContent>
                    </wps:txbx>
                    <wps:bodyPr wrap="none" lIns="0" tIns="0" rIns="0" bIns="0" upright="1">
                      <a:spAutoFit/>
                    </wps:bodyPr>
                  </wps:wsp>
                </a:graphicData>
              </a:graphic>
            </wp:anchor>
          </w:drawing>
        </mc:Choice>
        <mc:Fallback>
          <w:pict>
            <v:shape id="文本框 1028" o:spid="_x0000_s1026" o:spt="202" type="#_x0000_t202" style="position:absolute;left:0pt;margin-top:0.4pt;height:144pt;width:144pt;mso-position-horizontal:center;mso-position-horizontal-relative:margin;mso-wrap-style:none;z-index:251662336;mso-width-relative:page;mso-height-relative:page;" filled="f" stroked="f" coordsize="21600,21600" o:gfxdata="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">
              <v:fill on="f" focussize="0,0"/>
              <v:stroke on="f"/>
              <v:imagedata o:title=""/>
              <o:lock v:ext="edit" aspectratio="f"/>
              <v:textbox inset="0mm,0mm,0mm,0mm" style="mso-fit-shape-to-text:t;">
                <w:txbxContent>
                  <w:p w14:paraId="56642584">
                    <w:pPr>
                      <w:pStyle w:val="25"/>
                    </w:pPr>
                    <w:r>
                      <w:t xml:space="preserve">第 </w:t>
                    </w:r>
                    <w:r>
                      <w:fldChar w:fldCharType="begin"/>
                    </w:r>
                    <w:r>
                      <w:instrText xml:space="preserve"> PAGE  \* MERGEFORMAT </w:instrText>
                    </w:r>
                    <w:r>
                      <w:fldChar w:fldCharType="separate"/>
                    </w:r>
                    <w:r>
                      <w:t>39</w:t>
                    </w:r>
                    <w:r>
                      <w:fldChar w:fldCharType="end"/>
                    </w:r>
                    <w:r>
                      <w:t xml:space="preserve"> 页 共 </w:t>
                    </w:r>
                    <w:r>
                      <w:fldChar w:fldCharType="begin"/>
                    </w:r>
                    <w:r>
                      <w:instrText xml:space="preserve"> NUMPAGES  \* MERGEFORMAT </w:instrText>
                    </w:r>
                    <w:r>
                      <w:fldChar w:fldCharType="separate"/>
                    </w:r>
                    <w:r>
                      <w:t>65</w:t>
                    </w:r>
                    <w:r>
                      <w:fldChar w:fldCharType="end"/>
                    </w:r>
                    <w:r>
                      <w:t xml:space="preserve"> 页</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BED105">
    <w:pPr>
      <w:pStyle w:val="25"/>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177325"/>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D0107E">
    <w:pPr>
      <w:spacing w:line="208" w:lineRule="auto"/>
      <w:ind w:left="4049"/>
      <w:rPr>
        <w:rFonts w:ascii="宋体" w:hAnsi="宋体" w:cs="宋体"/>
        <w:sz w:val="20"/>
        <w:szCs w:val="20"/>
      </w:rPr>
    </w:pPr>
    <w:r>
      <mc:AlternateContent>
        <mc:Choice Requires="wps">
          <w:drawing>
            <wp:anchor distT="0" distB="0" distL="114935" distR="0" simplePos="0" relativeHeight="251659264" behindDoc="0" locked="0" layoutInCell="0" allowOverlap="1">
              <wp:simplePos x="0" y="0"/>
              <wp:positionH relativeFrom="margin">
                <wp:align>center</wp:align>
              </wp:positionH>
              <wp:positionV relativeFrom="paragraph">
                <wp:posOffset>5080</wp:posOffset>
              </wp:positionV>
              <wp:extent cx="829945" cy="134620"/>
              <wp:effectExtent l="0" t="0" r="0" b="0"/>
              <wp:wrapNone/>
              <wp:docPr id="7" name="文本框 2"/>
              <wp:cNvGraphicFramePr/>
              <a:graphic xmlns:a="http://schemas.openxmlformats.org/drawingml/2006/main">
                <a:graphicData uri="http://schemas.microsoft.com/office/word/2010/wordprocessingShape">
                  <wps:wsp>
                    <wps:cNvSpPr txBox="1"/>
                    <wps:spPr>
                      <a:xfrm>
                        <a:off x="0" y="0"/>
                        <a:ext cx="829945" cy="134620"/>
                      </a:xfrm>
                      <a:prstGeom prst="rect">
                        <a:avLst/>
                      </a:prstGeom>
                      <a:solidFill>
                        <a:srgbClr val="FFFFFF">
                          <a:alpha val="0"/>
                        </a:srgbClr>
                      </a:solidFill>
                      <a:ln>
                        <a:noFill/>
                      </a:ln>
                    </wps:spPr>
                    <wps:txbx>
                      <w:txbxContent>
                        <w:p w14:paraId="3ACB5077">
                          <w:pPr>
                            <w:pStyle w:val="25"/>
                          </w:pPr>
                          <w:r>
                            <w:t>第</w:t>
                          </w:r>
                          <w:r>
                            <w:rPr>
                              <w:rFonts w:eastAsia="Times New Roman"/>
                            </w:rPr>
                            <w:t xml:space="preserve"> </w:t>
                          </w:r>
                          <w:r>
                            <w:fldChar w:fldCharType="begin"/>
                          </w:r>
                          <w:r>
                            <w:instrText xml:space="preserve"> PAGE </w:instrText>
                          </w:r>
                          <w:r>
                            <w:fldChar w:fldCharType="separate"/>
                          </w:r>
                          <w:r>
                            <w:t>14</w:t>
                          </w:r>
                          <w:r>
                            <w:fldChar w:fldCharType="end"/>
                          </w:r>
                          <w:r>
                            <w:rPr>
                              <w:rFonts w:eastAsia="Times New Roman"/>
                            </w:rPr>
                            <w:t xml:space="preserve"> </w:t>
                          </w:r>
                          <w:r>
                            <w:t>页</w:t>
                          </w:r>
                          <w:r>
                            <w:rPr>
                              <w:rFonts w:eastAsia="Times New Roman"/>
                            </w:rPr>
                            <w:t xml:space="preserve"> </w:t>
                          </w:r>
                          <w:r>
                            <w:t>共</w:t>
                          </w:r>
                          <w:r>
                            <w:rPr>
                              <w:rFonts w:eastAsia="Times New Roman"/>
                            </w:rPr>
                            <w:t xml:space="preserve"> </w:t>
                          </w:r>
                          <w:r>
                            <w:fldChar w:fldCharType="begin"/>
                          </w:r>
                          <w:r>
                            <w:instrText xml:space="preserve"> NUMPAGES \* ARABIC </w:instrText>
                          </w:r>
                          <w:r>
                            <w:fldChar w:fldCharType="separate"/>
                          </w:r>
                          <w:r>
                            <w:t>25</w:t>
                          </w:r>
                          <w:r>
                            <w:fldChar w:fldCharType="end"/>
                          </w:r>
                          <w:r>
                            <w:rPr>
                              <w:rFonts w:eastAsia="Times New Roman"/>
                            </w:rPr>
                            <w:t xml:space="preserve"> </w:t>
                          </w:r>
                          <w:r>
                            <w:t>页</w:t>
                          </w:r>
                        </w:p>
                      </w:txbxContent>
                    </wps:txbx>
                    <wps:bodyPr wrap="square" lIns="0" tIns="0" rIns="0" bIns="0" upright="1"/>
                  </wps:wsp>
                </a:graphicData>
              </a:graphic>
            </wp:anchor>
          </w:drawing>
        </mc:Choice>
        <mc:Fallback>
          <w:pict>
            <v:shape id="文本框 2" o:spid="_x0000_s1026" o:spt="202" type="#_x0000_t202" style="position:absolute;left:0pt;margin-top:0.4pt;height:10.6pt;width:65.35pt;mso-position-horizontal:center;mso-position-horizontal-relative:margin;z-index:251659264;mso-width-relative:page;mso-height-relative:page;" fillcolor="#FFFFFF" filled="t" stroked="f" coordsize="21600,21600" o:allowincell="f" o:gfxdata="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">
              <v:fill on="t" opacity="0f" focussize="0,0"/>
              <v:stroke on="f"/>
              <v:imagedata o:title=""/>
              <o:lock v:ext="edit" aspectratio="f"/>
              <v:textbox inset="0mm,0mm,0mm,0mm">
                <w:txbxContent>
                  <w:p w14:paraId="3ACB5077">
                    <w:pPr>
                      <w:pStyle w:val="25"/>
                    </w:pPr>
                    <w:r>
                      <w:t>第</w:t>
                    </w:r>
                    <w:r>
                      <w:rPr>
                        <w:rFonts w:eastAsia="Times New Roman"/>
                      </w:rPr>
                      <w:t xml:space="preserve"> </w:t>
                    </w:r>
                    <w:r>
                      <w:fldChar w:fldCharType="begin"/>
                    </w:r>
                    <w:r>
                      <w:instrText xml:space="preserve"> PAGE </w:instrText>
                    </w:r>
                    <w:r>
                      <w:fldChar w:fldCharType="separate"/>
                    </w:r>
                    <w:r>
                      <w:t>14</w:t>
                    </w:r>
                    <w:r>
                      <w:fldChar w:fldCharType="end"/>
                    </w:r>
                    <w:r>
                      <w:rPr>
                        <w:rFonts w:eastAsia="Times New Roman"/>
                      </w:rPr>
                      <w:t xml:space="preserve"> </w:t>
                    </w:r>
                    <w:r>
                      <w:t>页</w:t>
                    </w:r>
                    <w:r>
                      <w:rPr>
                        <w:rFonts w:eastAsia="Times New Roman"/>
                      </w:rPr>
                      <w:t xml:space="preserve"> </w:t>
                    </w:r>
                    <w:r>
                      <w:t>共</w:t>
                    </w:r>
                    <w:r>
                      <w:rPr>
                        <w:rFonts w:eastAsia="Times New Roman"/>
                      </w:rPr>
                      <w:t xml:space="preserve"> </w:t>
                    </w:r>
                    <w:r>
                      <w:fldChar w:fldCharType="begin"/>
                    </w:r>
                    <w:r>
                      <w:instrText xml:space="preserve"> NUMPAGES \* ARABIC </w:instrText>
                    </w:r>
                    <w:r>
                      <w:fldChar w:fldCharType="separate"/>
                    </w:r>
                    <w:r>
                      <w:t>25</w:t>
                    </w:r>
                    <w:r>
                      <w:fldChar w:fldCharType="end"/>
                    </w:r>
                    <w:r>
                      <w:rPr>
                        <w:rFonts w:eastAsia="Times New Roman"/>
                      </w:rPr>
                      <w:t xml:space="preserve"> </w:t>
                    </w:r>
                    <w:r>
                      <w:t>页</w:t>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99FCDF"/>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C7231F"/>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3CCF03">
    <w:pPr>
      <w:spacing w:line="208" w:lineRule="auto"/>
      <w:ind w:left="4059"/>
      <w:rPr>
        <w:rFonts w:ascii="宋体" w:hAnsi="宋体" w:cs="宋体"/>
        <w:sz w:val="20"/>
        <w:szCs w:val="20"/>
      </w:rPr>
    </w:pPr>
    <w:r>
      <mc:AlternateContent>
        <mc:Choice Requires="wps">
          <w:drawing>
            <wp:anchor distT="0" distB="0" distL="114935" distR="0" simplePos="0" relativeHeight="251660288" behindDoc="0" locked="0" layoutInCell="0" allowOverlap="1">
              <wp:simplePos x="0" y="0"/>
              <wp:positionH relativeFrom="margin">
                <wp:align>center</wp:align>
              </wp:positionH>
              <wp:positionV relativeFrom="paragraph">
                <wp:posOffset>5080</wp:posOffset>
              </wp:positionV>
              <wp:extent cx="829945" cy="134620"/>
              <wp:effectExtent l="0" t="0" r="0" b="0"/>
              <wp:wrapNone/>
              <wp:docPr id="8" name="文本框 3"/>
              <wp:cNvGraphicFramePr/>
              <a:graphic xmlns:a="http://schemas.openxmlformats.org/drawingml/2006/main">
                <a:graphicData uri="http://schemas.microsoft.com/office/word/2010/wordprocessingShape">
                  <wps:wsp>
                    <wps:cNvSpPr txBox="1"/>
                    <wps:spPr>
                      <a:xfrm>
                        <a:off x="0" y="0"/>
                        <a:ext cx="829945" cy="134620"/>
                      </a:xfrm>
                      <a:prstGeom prst="rect">
                        <a:avLst/>
                      </a:prstGeom>
                      <a:solidFill>
                        <a:srgbClr val="FFFFFF">
                          <a:alpha val="0"/>
                        </a:srgbClr>
                      </a:solidFill>
                      <a:ln>
                        <a:noFill/>
                      </a:ln>
                    </wps:spPr>
                    <wps:txbx>
                      <w:txbxContent>
                        <w:p w14:paraId="753770BA">
                          <w:pPr>
                            <w:pStyle w:val="25"/>
                          </w:pPr>
                          <w:r>
                            <w:t>第</w:t>
                          </w:r>
                          <w:r>
                            <w:rPr>
                              <w:rFonts w:eastAsia="Times New Roman"/>
                            </w:rPr>
                            <w:t xml:space="preserve"> </w:t>
                          </w:r>
                          <w:r>
                            <w:fldChar w:fldCharType="begin"/>
                          </w:r>
                          <w:r>
                            <w:instrText xml:space="preserve"> PAGE </w:instrText>
                          </w:r>
                          <w:r>
                            <w:fldChar w:fldCharType="separate"/>
                          </w:r>
                          <w:r>
                            <w:t>15</w:t>
                          </w:r>
                          <w:r>
                            <w:fldChar w:fldCharType="end"/>
                          </w:r>
                          <w:r>
                            <w:rPr>
                              <w:rFonts w:eastAsia="Times New Roman"/>
                            </w:rPr>
                            <w:t xml:space="preserve"> </w:t>
                          </w:r>
                          <w:r>
                            <w:t>页</w:t>
                          </w:r>
                          <w:r>
                            <w:rPr>
                              <w:rFonts w:eastAsia="Times New Roman"/>
                            </w:rPr>
                            <w:t xml:space="preserve"> </w:t>
                          </w:r>
                          <w:r>
                            <w:t>共</w:t>
                          </w:r>
                          <w:r>
                            <w:rPr>
                              <w:rFonts w:eastAsia="Times New Roman"/>
                            </w:rPr>
                            <w:t xml:space="preserve"> </w:t>
                          </w:r>
                          <w:r>
                            <w:fldChar w:fldCharType="begin"/>
                          </w:r>
                          <w:r>
                            <w:instrText xml:space="preserve"> NUMPAGES \* ARABIC </w:instrText>
                          </w:r>
                          <w:r>
                            <w:fldChar w:fldCharType="separate"/>
                          </w:r>
                          <w:r>
                            <w:t>25</w:t>
                          </w:r>
                          <w:r>
                            <w:fldChar w:fldCharType="end"/>
                          </w:r>
                          <w:r>
                            <w:rPr>
                              <w:rFonts w:eastAsia="Times New Roman"/>
                            </w:rPr>
                            <w:t xml:space="preserve"> </w:t>
                          </w:r>
                          <w:r>
                            <w:t>页</w:t>
                          </w:r>
                        </w:p>
                      </w:txbxContent>
                    </wps:txbx>
                    <wps:bodyPr wrap="square" lIns="0" tIns="0" rIns="0" bIns="0" upright="1"/>
                  </wps:wsp>
                </a:graphicData>
              </a:graphic>
            </wp:anchor>
          </w:drawing>
        </mc:Choice>
        <mc:Fallback>
          <w:pict>
            <v:shape id="文本框 3" o:spid="_x0000_s1026" o:spt="202" type="#_x0000_t202" style="position:absolute;left:0pt;margin-top:0.4pt;height:10.6pt;width:65.35pt;mso-position-horizontal:center;mso-position-horizontal-relative:margin;z-index:251660288;mso-width-relative:page;mso-height-relative:page;" fillcolor="#FFFFFF" filled="t" stroked="f" coordsize="21600,21600" o:allowincell="f" o:gfxdata="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">
              <v:fill on="t" opacity="0f" focussize="0,0"/>
              <v:stroke on="f"/>
              <v:imagedata o:title=""/>
              <o:lock v:ext="edit" aspectratio="f"/>
              <v:textbox inset="0mm,0mm,0mm,0mm">
                <w:txbxContent>
                  <w:p w14:paraId="753770BA">
                    <w:pPr>
                      <w:pStyle w:val="25"/>
                    </w:pPr>
                    <w:r>
                      <w:t>第</w:t>
                    </w:r>
                    <w:r>
                      <w:rPr>
                        <w:rFonts w:eastAsia="Times New Roman"/>
                      </w:rPr>
                      <w:t xml:space="preserve"> </w:t>
                    </w:r>
                    <w:r>
                      <w:fldChar w:fldCharType="begin"/>
                    </w:r>
                    <w:r>
                      <w:instrText xml:space="preserve"> PAGE </w:instrText>
                    </w:r>
                    <w:r>
                      <w:fldChar w:fldCharType="separate"/>
                    </w:r>
                    <w:r>
                      <w:t>15</w:t>
                    </w:r>
                    <w:r>
                      <w:fldChar w:fldCharType="end"/>
                    </w:r>
                    <w:r>
                      <w:rPr>
                        <w:rFonts w:eastAsia="Times New Roman"/>
                      </w:rPr>
                      <w:t xml:space="preserve"> </w:t>
                    </w:r>
                    <w:r>
                      <w:t>页</w:t>
                    </w:r>
                    <w:r>
                      <w:rPr>
                        <w:rFonts w:eastAsia="Times New Roman"/>
                      </w:rPr>
                      <w:t xml:space="preserve"> </w:t>
                    </w:r>
                    <w:r>
                      <w:t>共</w:t>
                    </w:r>
                    <w:r>
                      <w:rPr>
                        <w:rFonts w:eastAsia="Times New Roman"/>
                      </w:rPr>
                      <w:t xml:space="preserve"> </w:t>
                    </w:r>
                    <w:r>
                      <w:fldChar w:fldCharType="begin"/>
                    </w:r>
                    <w:r>
                      <w:instrText xml:space="preserve"> NUMPAGES \* ARABIC </w:instrText>
                    </w:r>
                    <w:r>
                      <w:fldChar w:fldCharType="separate"/>
                    </w:r>
                    <w:r>
                      <w:t>25</w:t>
                    </w:r>
                    <w:r>
                      <w:fldChar w:fldCharType="end"/>
                    </w:r>
                    <w:r>
                      <w:rPr>
                        <w:rFonts w:eastAsia="Times New Roman"/>
                      </w:rPr>
                      <w:t xml:space="preserve"> </w:t>
                    </w:r>
                    <w:r>
                      <w:t>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B72A45">
    <w:pPr>
      <w:pStyle w:val="26"/>
      <w:pBdr>
        <w:bottom w:val="none" w:color="auto" w:sz="0" w:space="1"/>
      </w:pBdr>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FBD340"/>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AB32C4"/>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827982">
    <w:pPr>
      <w:pStyle w:val="26"/>
      <w:jc w:val="both"/>
    </w:pPr>
    <w:r>
      <w:rPr>
        <w:rFonts w:hint="eastAsia" w:eastAsia="Times New Roman"/>
      </w:rPr>
      <w:t xml:space="preserve"> </w:t>
    </w: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8D3858"/>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3DA276"/>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804229">
    <w:pPr>
      <w:pStyle w:val="15"/>
      <w:spacing w:line="12" w:lineRule="auto"/>
      <w:rPr>
        <w:sz w:val="2"/>
      </w:rPr>
    </w:pPr>
  </w:p>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03583B"/>
</w:hdr>
</file>

<file path=word/header1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EC2469"/>
</w:hdr>
</file>

<file path=word/header1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A9525E">
    <w:pPr>
      <w:pStyle w:val="15"/>
      <w:spacing w:line="12" w:lineRule="auto"/>
      <w:rPr>
        <w:sz w:val="2"/>
      </w:rPr>
    </w:pPr>
  </w:p>
</w:hdr>
</file>

<file path=word/header1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704616"/>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523749">
    <w:pPr>
      <w:pStyle w:val="26"/>
      <w:pBdr>
        <w:bottom w:val="none" w:color="auto" w:sz="0" w:space="1"/>
      </w:pBdr>
    </w:pPr>
  </w:p>
</w:hdr>
</file>

<file path=word/header2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9E327E"/>
</w:hdr>
</file>

<file path=word/header2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2D74CD">
    <w:pPr>
      <w:pStyle w:val="15"/>
      <w:spacing w:line="12" w:lineRule="auto"/>
      <w:rPr>
        <w:sz w:val="2"/>
      </w:rPr>
    </w:pPr>
  </w:p>
</w:hdr>
</file>

<file path=word/header2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8C2CD3"/>
</w:hdr>
</file>

<file path=word/header2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E5EEEA"/>
</w:hdr>
</file>

<file path=word/header2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205BCD">
    <w:pPr>
      <w:pStyle w:val="15"/>
      <w:spacing w:line="12" w:lineRule="auto"/>
      <w:rPr>
        <w:sz w:val="2"/>
      </w:rPr>
    </w:pPr>
  </w:p>
</w:hdr>
</file>

<file path=word/header2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91FE2E"/>
</w:hdr>
</file>

<file path=word/header2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96F72E"/>
</w:hdr>
</file>

<file path=word/header2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698ABA">
    <w:pPr>
      <w:pStyle w:val="26"/>
    </w:pPr>
  </w:p>
</w:hdr>
</file>

<file path=word/header2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A68675"/>
</w:hdr>
</file>

<file path=word/header2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956001"/>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7C6895">
    <w:pPr>
      <w:pStyle w:val="26"/>
      <w:jc w:val="both"/>
    </w:pPr>
  </w:p>
</w:hdr>
</file>

<file path=word/header3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AED3AE">
    <w:pPr>
      <w:pStyle w:val="26"/>
      <w:pBdr>
        <w:bottom w:val="none" w:color="auto" w:sz="0" w:space="0"/>
      </w:pBdr>
      <w:jc w:val="both"/>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4681BF">
    <w:pPr>
      <w:pStyle w:val="26"/>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759BFF"/>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72523B">
    <w:pPr>
      <w:pStyle w:val="26"/>
      <w:jc w:val="both"/>
    </w:pPr>
    <w:r>
      <w:rPr>
        <w:rFonts w:hint="eastAsia" w:eastAsia="Times New Roman"/>
      </w:rPr>
      <w:t xml:space="preserve"> </w: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BC59C2"/>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4D17E3"/>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F536DB">
    <w:pPr>
      <w:pStyle w:val="26"/>
      <w:jc w:val="both"/>
    </w:pPr>
    <w:r>
      <w:rPr>
        <w:rFonts w:hint="eastAsia" w:eastAsia="Times New Roman"/>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4BC92D1"/>
    <w:multiLevelType w:val="singleLevel"/>
    <w:tmpl w:val="D4BC92D1"/>
    <w:lvl w:ilvl="0" w:tentative="0">
      <w:start w:val="2"/>
      <w:numFmt w:val="decimal"/>
      <w:suff w:val="nothing"/>
      <w:lvlText w:val="（%1）"/>
      <w:lvlJc w:val="left"/>
    </w:lvl>
  </w:abstractNum>
  <w:abstractNum w:abstractNumId="1">
    <w:nsid w:val="E68483B2"/>
    <w:multiLevelType w:val="multilevel"/>
    <w:tmpl w:val="E68483B2"/>
    <w:lvl w:ilvl="0" w:tentative="0">
      <w:start w:val="1"/>
      <w:numFmt w:val="decimal"/>
      <w:suff w:val="space"/>
      <w:lvlText w:val="%1"/>
      <w:lvlJc w:val="left"/>
      <w:pPr>
        <w:ind w:left="902" w:hanging="420"/>
      </w:pPr>
      <w:rPr>
        <w:rFonts w:hint="eastAsia"/>
      </w:rPr>
    </w:lvl>
    <w:lvl w:ilvl="1" w:tentative="0">
      <w:start w:val="1"/>
      <w:numFmt w:val="lowerLetter"/>
      <w:lvlText w:val="%2)"/>
      <w:lvlJc w:val="left"/>
      <w:pPr>
        <w:ind w:left="1322" w:hanging="420"/>
      </w:pPr>
    </w:lvl>
    <w:lvl w:ilvl="2" w:tentative="0">
      <w:start w:val="1"/>
      <w:numFmt w:val="lowerRoman"/>
      <w:lvlText w:val="%3."/>
      <w:lvlJc w:val="right"/>
      <w:pPr>
        <w:ind w:left="1742" w:hanging="420"/>
      </w:pPr>
    </w:lvl>
    <w:lvl w:ilvl="3" w:tentative="0">
      <w:start w:val="1"/>
      <w:numFmt w:val="decimal"/>
      <w:lvlText w:val="%4."/>
      <w:lvlJc w:val="left"/>
      <w:pPr>
        <w:ind w:left="2162" w:hanging="420"/>
      </w:pPr>
    </w:lvl>
    <w:lvl w:ilvl="4" w:tentative="0">
      <w:start w:val="1"/>
      <w:numFmt w:val="lowerLetter"/>
      <w:lvlText w:val="%5)"/>
      <w:lvlJc w:val="left"/>
      <w:pPr>
        <w:ind w:left="2582" w:hanging="420"/>
      </w:pPr>
    </w:lvl>
    <w:lvl w:ilvl="5" w:tentative="0">
      <w:start w:val="1"/>
      <w:numFmt w:val="lowerRoman"/>
      <w:lvlText w:val="%6."/>
      <w:lvlJc w:val="right"/>
      <w:pPr>
        <w:ind w:left="3002" w:hanging="420"/>
      </w:pPr>
    </w:lvl>
    <w:lvl w:ilvl="6" w:tentative="0">
      <w:start w:val="1"/>
      <w:numFmt w:val="decimal"/>
      <w:lvlText w:val="%7."/>
      <w:lvlJc w:val="left"/>
      <w:pPr>
        <w:ind w:left="3422" w:hanging="420"/>
      </w:pPr>
    </w:lvl>
    <w:lvl w:ilvl="7" w:tentative="0">
      <w:start w:val="1"/>
      <w:numFmt w:val="lowerLetter"/>
      <w:lvlText w:val="%8)"/>
      <w:lvlJc w:val="left"/>
      <w:pPr>
        <w:ind w:left="3842" w:hanging="420"/>
      </w:pPr>
    </w:lvl>
    <w:lvl w:ilvl="8" w:tentative="0">
      <w:start w:val="1"/>
      <w:numFmt w:val="lowerRoman"/>
      <w:lvlText w:val="%9."/>
      <w:lvlJc w:val="right"/>
      <w:pPr>
        <w:ind w:left="4262" w:hanging="420"/>
      </w:pPr>
    </w:lvl>
  </w:abstractNum>
  <w:abstractNum w:abstractNumId="2">
    <w:nsid w:val="E7DD3748"/>
    <w:multiLevelType w:val="singleLevel"/>
    <w:tmpl w:val="E7DD3748"/>
    <w:lvl w:ilvl="0" w:tentative="0">
      <w:start w:val="1"/>
      <w:numFmt w:val="chineseCounting"/>
      <w:pStyle w:val="153"/>
      <w:suff w:val="nothing"/>
      <w:lvlText w:val="%1、"/>
      <w:lvlJc w:val="left"/>
      <w:pPr>
        <w:ind w:left="-10" w:firstLine="0"/>
      </w:pPr>
      <w:rPr>
        <w:rFonts w:hint="eastAsia" w:ascii="黑体" w:hAnsi="黑体" w:eastAsia="黑体" w:cs="黑体"/>
      </w:rPr>
    </w:lvl>
  </w:abstractNum>
  <w:abstractNum w:abstractNumId="3">
    <w:nsid w:val="F9BCD4C2"/>
    <w:multiLevelType w:val="singleLevel"/>
    <w:tmpl w:val="F9BCD4C2"/>
    <w:lvl w:ilvl="0" w:tentative="0">
      <w:start w:val="18"/>
      <w:numFmt w:val="chineseCounting"/>
      <w:suff w:val="nothing"/>
      <w:lvlText w:val="%1、"/>
      <w:lvlJc w:val="left"/>
      <w:rPr>
        <w:rFonts w:hint="eastAsia" w:ascii="Times New Roman Bold" w:hAnsi="Times New Roman Bold" w:cs="Times New Roman Bold"/>
        <w:b/>
        <w:bCs/>
      </w:rPr>
    </w:lvl>
  </w:abstractNum>
  <w:abstractNum w:abstractNumId="4">
    <w:nsid w:val="FD5441D6"/>
    <w:multiLevelType w:val="singleLevel"/>
    <w:tmpl w:val="FD5441D6"/>
    <w:lvl w:ilvl="0" w:tentative="0">
      <w:start w:val="1"/>
      <w:numFmt w:val="decimal"/>
      <w:suff w:val="nothing"/>
      <w:lvlText w:val="%1、"/>
      <w:lvlJc w:val="left"/>
    </w:lvl>
  </w:abstractNum>
  <w:abstractNum w:abstractNumId="5">
    <w:nsid w:val="00000007"/>
    <w:multiLevelType w:val="multilevel"/>
    <w:tmpl w:val="00000007"/>
    <w:lvl w:ilvl="0" w:tentative="0">
      <w:start w:val="1"/>
      <w:numFmt w:val="decimal"/>
      <w:lvlText w:val="%1"/>
      <w:lvlJc w:val="left"/>
      <w:pPr>
        <w:tabs>
          <w:tab w:val="left" w:pos="425"/>
        </w:tabs>
        <w:ind w:left="425" w:hanging="425"/>
      </w:pPr>
    </w:lvl>
    <w:lvl w:ilvl="1" w:tentative="0">
      <w:start w:val="1"/>
      <w:numFmt w:val="decimal"/>
      <w:lvlText w:val="%1.%2"/>
      <w:lvlJc w:val="left"/>
      <w:pPr>
        <w:tabs>
          <w:tab w:val="left" w:pos="992"/>
        </w:tabs>
        <w:ind w:left="992" w:hanging="567"/>
      </w:pPr>
    </w:lvl>
    <w:lvl w:ilvl="2" w:tentative="0">
      <w:start w:val="1"/>
      <w:numFmt w:val="decimal"/>
      <w:pStyle w:val="76"/>
      <w:lvlText w:val="%1.%2.%3"/>
      <w:lvlJc w:val="left"/>
      <w:pPr>
        <w:tabs>
          <w:tab w:val="left" w:pos="1571"/>
        </w:tabs>
        <w:ind w:left="1418" w:hanging="567"/>
      </w:pPr>
    </w:lvl>
    <w:lvl w:ilvl="3" w:tentative="0">
      <w:start w:val="1"/>
      <w:numFmt w:val="decimal"/>
      <w:lvlText w:val="%1.%2.%3.%4"/>
      <w:lvlJc w:val="left"/>
      <w:pPr>
        <w:tabs>
          <w:tab w:val="left" w:pos="2356"/>
        </w:tabs>
        <w:ind w:left="1984" w:hanging="708"/>
      </w:pPr>
    </w:lvl>
    <w:lvl w:ilvl="4" w:tentative="0">
      <w:start w:val="1"/>
      <w:numFmt w:val="decimal"/>
      <w:lvlText w:val="%1.%2.%3.%4.%5"/>
      <w:lvlJc w:val="left"/>
      <w:pPr>
        <w:tabs>
          <w:tab w:val="left" w:pos="3141"/>
        </w:tabs>
        <w:ind w:left="2551" w:hanging="850"/>
      </w:pPr>
    </w:lvl>
    <w:lvl w:ilvl="5" w:tentative="0">
      <w:start w:val="1"/>
      <w:numFmt w:val="decimal"/>
      <w:lvlText w:val="%1.%2.%3.%4.%5.%6"/>
      <w:lvlJc w:val="left"/>
      <w:pPr>
        <w:tabs>
          <w:tab w:val="left" w:pos="3566"/>
        </w:tabs>
        <w:ind w:left="3260" w:hanging="1134"/>
      </w:pPr>
    </w:lvl>
    <w:lvl w:ilvl="6" w:tentative="0">
      <w:start w:val="1"/>
      <w:numFmt w:val="decimal"/>
      <w:lvlText w:val="%1.%2.%3.%4.%5.%6.%7"/>
      <w:lvlJc w:val="left"/>
      <w:pPr>
        <w:tabs>
          <w:tab w:val="left" w:pos="4351"/>
        </w:tabs>
        <w:ind w:left="3827" w:hanging="1276"/>
      </w:pPr>
    </w:lvl>
    <w:lvl w:ilvl="7" w:tentative="0">
      <w:start w:val="1"/>
      <w:numFmt w:val="decimal"/>
      <w:lvlText w:val="%1.%2.%3.%4.%5.%6.%7.%8"/>
      <w:lvlJc w:val="left"/>
      <w:pPr>
        <w:tabs>
          <w:tab w:val="left" w:pos="4776"/>
        </w:tabs>
        <w:ind w:left="4394" w:hanging="1418"/>
      </w:pPr>
    </w:lvl>
    <w:lvl w:ilvl="8" w:tentative="0">
      <w:start w:val="1"/>
      <w:numFmt w:val="decimal"/>
      <w:lvlText w:val="%1.%2.%3.%4.%5.%6.%7.%8.%9"/>
      <w:lvlJc w:val="left"/>
      <w:pPr>
        <w:tabs>
          <w:tab w:val="left" w:pos="5562"/>
        </w:tabs>
        <w:ind w:left="5102" w:hanging="1700"/>
      </w:pPr>
    </w:lvl>
  </w:abstractNum>
  <w:abstractNum w:abstractNumId="6">
    <w:nsid w:val="00000009"/>
    <w:multiLevelType w:val="multilevel"/>
    <w:tmpl w:val="00000009"/>
    <w:lvl w:ilvl="0" w:tentative="0">
      <w:start w:val="1"/>
      <w:numFmt w:val="bullet"/>
      <w:pStyle w:val="61"/>
      <w:lvlText w:val=""/>
      <w:lvlJc w:val="left"/>
      <w:pPr>
        <w:tabs>
          <w:tab w:val="left" w:pos="420"/>
        </w:tabs>
        <w:ind w:left="420" w:hanging="420"/>
      </w:pPr>
      <w:rPr>
        <w:rFonts w:hint="default" w:ascii="Wingdings" w:hAnsi="Wingdings"/>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7">
    <w:nsid w:val="0000000B"/>
    <w:multiLevelType w:val="multilevel"/>
    <w:tmpl w:val="0000000B"/>
    <w:lvl w:ilvl="0" w:tentative="0">
      <w:start w:val="1"/>
      <w:numFmt w:val="bullet"/>
      <w:pStyle w:val="64"/>
      <w:lvlText w:val=""/>
      <w:lvlJc w:val="left"/>
      <w:pPr>
        <w:tabs>
          <w:tab w:val="left" w:pos="1320"/>
        </w:tabs>
        <w:ind w:left="1320" w:hanging="420"/>
      </w:pPr>
      <w:rPr>
        <w:rFonts w:hint="default" w:ascii="Wingdings" w:hAnsi="Wingdings"/>
      </w:rPr>
    </w:lvl>
    <w:lvl w:ilvl="1" w:tentative="0">
      <w:start w:val="1"/>
      <w:numFmt w:val="bullet"/>
      <w:lvlText w:val=""/>
      <w:lvlJc w:val="left"/>
      <w:pPr>
        <w:tabs>
          <w:tab w:val="left" w:pos="1260"/>
        </w:tabs>
        <w:ind w:left="1260" w:hanging="420"/>
      </w:pPr>
      <w:rPr>
        <w:rFonts w:hint="default" w:ascii="Wingdings" w:hAnsi="Wingdings"/>
      </w:rPr>
    </w:lvl>
    <w:lvl w:ilvl="2" w:tentative="0">
      <w:start w:val="1"/>
      <w:numFmt w:val="bullet"/>
      <w:lvlText w:val=""/>
      <w:lvlJc w:val="left"/>
      <w:pPr>
        <w:tabs>
          <w:tab w:val="left" w:pos="1680"/>
        </w:tabs>
        <w:ind w:left="1680" w:hanging="420"/>
      </w:pPr>
      <w:rPr>
        <w:rFonts w:hint="default" w:ascii="Wingdings" w:hAnsi="Wingdings"/>
      </w:rPr>
    </w:lvl>
    <w:lvl w:ilvl="3" w:tentative="0">
      <w:start w:val="1"/>
      <w:numFmt w:val="bullet"/>
      <w:lvlText w:val=""/>
      <w:lvlJc w:val="left"/>
      <w:pPr>
        <w:tabs>
          <w:tab w:val="left" w:pos="2100"/>
        </w:tabs>
        <w:ind w:left="2100" w:hanging="420"/>
      </w:pPr>
      <w:rPr>
        <w:rFonts w:hint="default" w:ascii="Wingdings" w:hAnsi="Wingdings"/>
      </w:rPr>
    </w:lvl>
    <w:lvl w:ilvl="4" w:tentative="0">
      <w:start w:val="1"/>
      <w:numFmt w:val="bullet"/>
      <w:lvlText w:val=""/>
      <w:lvlJc w:val="left"/>
      <w:pPr>
        <w:tabs>
          <w:tab w:val="left" w:pos="2520"/>
        </w:tabs>
        <w:ind w:left="2520" w:hanging="420"/>
      </w:pPr>
      <w:rPr>
        <w:rFonts w:hint="default" w:ascii="Wingdings" w:hAnsi="Wingdings"/>
      </w:rPr>
    </w:lvl>
    <w:lvl w:ilvl="5" w:tentative="0">
      <w:start w:val="1"/>
      <w:numFmt w:val="bullet"/>
      <w:lvlText w:val=""/>
      <w:lvlJc w:val="left"/>
      <w:pPr>
        <w:tabs>
          <w:tab w:val="left" w:pos="2940"/>
        </w:tabs>
        <w:ind w:left="2940" w:hanging="420"/>
      </w:pPr>
      <w:rPr>
        <w:rFonts w:hint="default" w:ascii="Wingdings" w:hAnsi="Wingdings"/>
      </w:rPr>
    </w:lvl>
    <w:lvl w:ilvl="6" w:tentative="0">
      <w:start w:val="1"/>
      <w:numFmt w:val="bullet"/>
      <w:lvlText w:val=""/>
      <w:lvlJc w:val="left"/>
      <w:pPr>
        <w:tabs>
          <w:tab w:val="left" w:pos="3360"/>
        </w:tabs>
        <w:ind w:left="3360" w:hanging="420"/>
      </w:pPr>
      <w:rPr>
        <w:rFonts w:hint="default" w:ascii="Wingdings" w:hAnsi="Wingdings"/>
      </w:rPr>
    </w:lvl>
    <w:lvl w:ilvl="7" w:tentative="0">
      <w:start w:val="1"/>
      <w:numFmt w:val="bullet"/>
      <w:lvlText w:val=""/>
      <w:lvlJc w:val="left"/>
      <w:pPr>
        <w:tabs>
          <w:tab w:val="left" w:pos="3780"/>
        </w:tabs>
        <w:ind w:left="3780" w:hanging="420"/>
      </w:pPr>
      <w:rPr>
        <w:rFonts w:hint="default" w:ascii="Wingdings" w:hAnsi="Wingdings"/>
      </w:rPr>
    </w:lvl>
    <w:lvl w:ilvl="8" w:tentative="0">
      <w:start w:val="1"/>
      <w:numFmt w:val="bullet"/>
      <w:lvlText w:val=""/>
      <w:lvlJc w:val="left"/>
      <w:pPr>
        <w:tabs>
          <w:tab w:val="left" w:pos="4200"/>
        </w:tabs>
        <w:ind w:left="4200" w:hanging="420"/>
      </w:pPr>
      <w:rPr>
        <w:rFonts w:hint="default" w:ascii="Wingdings" w:hAnsi="Wingdings"/>
      </w:rPr>
    </w:lvl>
  </w:abstractNum>
  <w:abstractNum w:abstractNumId="8">
    <w:nsid w:val="0000000C"/>
    <w:multiLevelType w:val="multilevel"/>
    <w:tmpl w:val="0000000C"/>
    <w:lvl w:ilvl="0" w:tentative="0">
      <w:start w:val="1"/>
      <w:numFmt w:val="decimal"/>
      <w:pStyle w:val="58"/>
      <w:lvlText w:val="%1"/>
      <w:lvlJc w:val="left"/>
      <w:pPr>
        <w:tabs>
          <w:tab w:val="left" w:pos="1756"/>
        </w:tabs>
        <w:ind w:left="1756" w:hanging="425"/>
      </w:pPr>
    </w:lvl>
    <w:lvl w:ilvl="1" w:tentative="0">
      <w:start w:val="1"/>
      <w:numFmt w:val="decimal"/>
      <w:lvlText w:val="%1.%2"/>
      <w:lvlJc w:val="left"/>
      <w:pPr>
        <w:tabs>
          <w:tab w:val="left" w:pos="2323"/>
        </w:tabs>
        <w:ind w:left="2323" w:hanging="567"/>
      </w:pPr>
    </w:lvl>
    <w:lvl w:ilvl="2" w:tentative="0">
      <w:start w:val="1"/>
      <w:numFmt w:val="decimal"/>
      <w:lvlText w:val="%1.%2.%3"/>
      <w:lvlJc w:val="left"/>
      <w:pPr>
        <w:tabs>
          <w:tab w:val="left" w:pos="2902"/>
        </w:tabs>
        <w:ind w:left="2749" w:hanging="567"/>
      </w:pPr>
    </w:lvl>
    <w:lvl w:ilvl="3" w:tentative="0">
      <w:start w:val="1"/>
      <w:numFmt w:val="decimal"/>
      <w:lvlText w:val="%1.%2.%3.%4"/>
      <w:lvlJc w:val="left"/>
      <w:pPr>
        <w:tabs>
          <w:tab w:val="left" w:pos="3687"/>
        </w:tabs>
        <w:ind w:left="3315" w:hanging="708"/>
      </w:pPr>
    </w:lvl>
    <w:lvl w:ilvl="4" w:tentative="0">
      <w:start w:val="1"/>
      <w:numFmt w:val="decimal"/>
      <w:lvlText w:val="%1.%2.%3.%4.%5"/>
      <w:lvlJc w:val="left"/>
      <w:pPr>
        <w:tabs>
          <w:tab w:val="left" w:pos="4472"/>
        </w:tabs>
        <w:ind w:left="3882" w:hanging="850"/>
      </w:pPr>
    </w:lvl>
    <w:lvl w:ilvl="5" w:tentative="0">
      <w:start w:val="1"/>
      <w:numFmt w:val="decimal"/>
      <w:lvlText w:val="%1.%2.%3.%4.%5.%6"/>
      <w:lvlJc w:val="left"/>
      <w:pPr>
        <w:tabs>
          <w:tab w:val="left" w:pos="4897"/>
        </w:tabs>
        <w:ind w:left="4591" w:hanging="1134"/>
      </w:pPr>
    </w:lvl>
    <w:lvl w:ilvl="6" w:tentative="0">
      <w:start w:val="1"/>
      <w:numFmt w:val="decimal"/>
      <w:lvlText w:val="%1.%2.%3.%4.%5.%6.%7"/>
      <w:lvlJc w:val="left"/>
      <w:pPr>
        <w:tabs>
          <w:tab w:val="left" w:pos="5682"/>
        </w:tabs>
        <w:ind w:left="5158" w:hanging="1276"/>
      </w:pPr>
    </w:lvl>
    <w:lvl w:ilvl="7" w:tentative="0">
      <w:start w:val="1"/>
      <w:numFmt w:val="decimal"/>
      <w:lvlText w:val="%1.%2.%3.%4.%5.%6.%7.%8"/>
      <w:lvlJc w:val="left"/>
      <w:pPr>
        <w:tabs>
          <w:tab w:val="left" w:pos="6107"/>
        </w:tabs>
        <w:ind w:left="5725" w:hanging="1418"/>
      </w:pPr>
    </w:lvl>
    <w:lvl w:ilvl="8" w:tentative="0">
      <w:start w:val="1"/>
      <w:numFmt w:val="decimal"/>
      <w:lvlText w:val="%1.%2.%3.%4.%5.%6.%7.%8.%9"/>
      <w:lvlJc w:val="left"/>
      <w:pPr>
        <w:tabs>
          <w:tab w:val="left" w:pos="6893"/>
        </w:tabs>
        <w:ind w:left="6433" w:hanging="1700"/>
      </w:pPr>
    </w:lvl>
  </w:abstractNum>
  <w:abstractNum w:abstractNumId="9">
    <w:nsid w:val="0000000D"/>
    <w:multiLevelType w:val="multilevel"/>
    <w:tmpl w:val="0000000D"/>
    <w:lvl w:ilvl="0" w:tentative="0">
      <w:start w:val="1"/>
      <w:numFmt w:val="bullet"/>
      <w:pStyle w:val="69"/>
      <w:lvlText w:val=""/>
      <w:lvlJc w:val="left"/>
      <w:pPr>
        <w:tabs>
          <w:tab w:val="left" w:pos="780"/>
        </w:tabs>
        <w:ind w:left="780" w:hanging="420"/>
      </w:pPr>
      <w:rPr>
        <w:rFonts w:hint="default" w:ascii="Wingdings" w:hAnsi="Wingdings"/>
      </w:rPr>
    </w:lvl>
    <w:lvl w:ilvl="1" w:tentative="0">
      <w:start w:val="1"/>
      <w:numFmt w:val="bullet"/>
      <w:lvlText w:val=""/>
      <w:lvlJc w:val="left"/>
      <w:pPr>
        <w:tabs>
          <w:tab w:val="left" w:pos="720"/>
        </w:tabs>
        <w:ind w:left="720" w:hanging="420"/>
      </w:pPr>
      <w:rPr>
        <w:rFonts w:hint="default" w:ascii="Wingdings" w:hAnsi="Wingdings"/>
      </w:rPr>
    </w:lvl>
    <w:lvl w:ilvl="2" w:tentative="0">
      <w:start w:val="1"/>
      <w:numFmt w:val="bullet"/>
      <w:lvlText w:val=""/>
      <w:lvlJc w:val="left"/>
      <w:pPr>
        <w:tabs>
          <w:tab w:val="left" w:pos="1140"/>
        </w:tabs>
        <w:ind w:left="1140" w:hanging="420"/>
      </w:pPr>
      <w:rPr>
        <w:rFonts w:hint="default" w:ascii="Wingdings" w:hAnsi="Wingdings"/>
      </w:rPr>
    </w:lvl>
    <w:lvl w:ilvl="3" w:tentative="0">
      <w:start w:val="1"/>
      <w:numFmt w:val="bullet"/>
      <w:lvlText w:val=""/>
      <w:lvlJc w:val="left"/>
      <w:pPr>
        <w:tabs>
          <w:tab w:val="left" w:pos="1560"/>
        </w:tabs>
        <w:ind w:left="1560" w:hanging="420"/>
      </w:pPr>
      <w:rPr>
        <w:rFonts w:hint="default" w:ascii="Wingdings" w:hAnsi="Wingdings"/>
      </w:rPr>
    </w:lvl>
    <w:lvl w:ilvl="4" w:tentative="0">
      <w:start w:val="1"/>
      <w:numFmt w:val="bullet"/>
      <w:lvlText w:val=""/>
      <w:lvlJc w:val="left"/>
      <w:pPr>
        <w:tabs>
          <w:tab w:val="left" w:pos="1980"/>
        </w:tabs>
        <w:ind w:left="1980" w:hanging="420"/>
      </w:pPr>
      <w:rPr>
        <w:rFonts w:hint="default" w:ascii="Wingdings" w:hAnsi="Wingdings"/>
      </w:rPr>
    </w:lvl>
    <w:lvl w:ilvl="5" w:tentative="0">
      <w:start w:val="1"/>
      <w:numFmt w:val="bullet"/>
      <w:lvlText w:val=""/>
      <w:lvlJc w:val="left"/>
      <w:pPr>
        <w:tabs>
          <w:tab w:val="left" w:pos="2400"/>
        </w:tabs>
        <w:ind w:left="2400" w:hanging="420"/>
      </w:pPr>
      <w:rPr>
        <w:rFonts w:hint="default" w:ascii="Wingdings" w:hAnsi="Wingdings"/>
      </w:rPr>
    </w:lvl>
    <w:lvl w:ilvl="6" w:tentative="0">
      <w:start w:val="1"/>
      <w:numFmt w:val="bullet"/>
      <w:lvlText w:val=""/>
      <w:lvlJc w:val="left"/>
      <w:pPr>
        <w:tabs>
          <w:tab w:val="left" w:pos="2820"/>
        </w:tabs>
        <w:ind w:left="2820" w:hanging="420"/>
      </w:pPr>
      <w:rPr>
        <w:rFonts w:hint="default" w:ascii="Wingdings" w:hAnsi="Wingdings"/>
      </w:rPr>
    </w:lvl>
    <w:lvl w:ilvl="7" w:tentative="0">
      <w:start w:val="1"/>
      <w:numFmt w:val="bullet"/>
      <w:lvlText w:val=""/>
      <w:lvlJc w:val="left"/>
      <w:pPr>
        <w:tabs>
          <w:tab w:val="left" w:pos="3240"/>
        </w:tabs>
        <w:ind w:left="3240" w:hanging="420"/>
      </w:pPr>
      <w:rPr>
        <w:rFonts w:hint="default" w:ascii="Wingdings" w:hAnsi="Wingdings"/>
      </w:rPr>
    </w:lvl>
    <w:lvl w:ilvl="8" w:tentative="0">
      <w:start w:val="1"/>
      <w:numFmt w:val="bullet"/>
      <w:lvlText w:val=""/>
      <w:lvlJc w:val="left"/>
      <w:pPr>
        <w:tabs>
          <w:tab w:val="left" w:pos="3660"/>
        </w:tabs>
        <w:ind w:left="3660" w:hanging="420"/>
      </w:pPr>
      <w:rPr>
        <w:rFonts w:hint="default" w:ascii="Wingdings" w:hAnsi="Wingdings"/>
      </w:rPr>
    </w:lvl>
  </w:abstractNum>
  <w:abstractNum w:abstractNumId="10">
    <w:nsid w:val="05EE2803"/>
    <w:multiLevelType w:val="multilevel"/>
    <w:tmpl w:val="05EE2803"/>
    <w:lvl w:ilvl="0" w:tentative="0">
      <w:start w:val="1"/>
      <w:numFmt w:val="chineseCountingThousand"/>
      <w:pStyle w:val="21"/>
      <w:suff w:val="nothing"/>
      <w:lvlText w:val="%1、"/>
      <w:lvlJc w:val="left"/>
      <w:pPr>
        <w:ind w:left="840" w:hanging="420"/>
      </w:pPr>
      <w:rPr>
        <w:rFonts w:hint="eastAsia"/>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11">
    <w:nsid w:val="08E1BDC1"/>
    <w:multiLevelType w:val="singleLevel"/>
    <w:tmpl w:val="08E1BDC1"/>
    <w:lvl w:ilvl="0" w:tentative="0">
      <w:start w:val="1"/>
      <w:numFmt w:val="decimal"/>
      <w:suff w:val="space"/>
      <w:lvlText w:val="(%1)"/>
      <w:lvlJc w:val="left"/>
      <w:pPr>
        <w:ind w:left="568" w:leftChars="0" w:hanging="343" w:firstLineChars="0"/>
      </w:pPr>
      <w:rPr>
        <w:rFonts w:hint="default"/>
      </w:rPr>
    </w:lvl>
  </w:abstractNum>
  <w:abstractNum w:abstractNumId="12">
    <w:nsid w:val="24656A4D"/>
    <w:multiLevelType w:val="multilevel"/>
    <w:tmpl w:val="24656A4D"/>
    <w:lvl w:ilvl="0" w:tentative="0">
      <w:start w:val="1"/>
      <w:numFmt w:val="decimal"/>
      <w:lvlText w:val="%1"/>
      <w:lvlJc w:val="left"/>
      <w:pPr>
        <w:tabs>
          <w:tab w:val="left" w:pos="425"/>
        </w:tabs>
        <w:ind w:left="425" w:hanging="425"/>
      </w:pPr>
      <w:rPr>
        <w:rFonts w:hint="eastAsia"/>
      </w:rPr>
    </w:lvl>
    <w:lvl w:ilvl="1" w:tentative="0">
      <w:start w:val="1"/>
      <w:numFmt w:val="decimal"/>
      <w:suff w:val="nothing"/>
      <w:lvlText w:val="%1.%2 "/>
      <w:lvlJc w:val="left"/>
      <w:pPr>
        <w:ind w:left="484" w:firstLine="509"/>
      </w:pPr>
      <w:rPr>
        <w:rFonts w:hint="eastAsia"/>
      </w:rPr>
    </w:lvl>
    <w:lvl w:ilvl="2" w:tentative="0">
      <w:start w:val="1"/>
      <w:numFmt w:val="decimal"/>
      <w:suff w:val="nothing"/>
      <w:lvlText w:val="%1.%2.%3 "/>
      <w:lvlJc w:val="left"/>
      <w:pPr>
        <w:ind w:left="3828" w:firstLine="425"/>
      </w:pPr>
      <w:rPr>
        <w:rFonts w:hint="eastAsia"/>
      </w:rPr>
    </w:lvl>
    <w:lvl w:ilvl="3" w:tentative="0">
      <w:start w:val="1"/>
      <w:numFmt w:val="decimal"/>
      <w:suff w:val="nothing"/>
      <w:lvlText w:val="%1.%2.%3.%4、"/>
      <w:lvlJc w:val="left"/>
      <w:pPr>
        <w:ind w:left="1226" w:firstLine="312"/>
      </w:pPr>
      <w:rPr>
        <w:rFonts w:hint="eastAsia"/>
      </w:rPr>
    </w:lvl>
    <w:lvl w:ilvl="4" w:tentative="0">
      <w:start w:val="1"/>
      <w:numFmt w:val="decimal"/>
      <w:lvlText w:val="%1.%2.%3.%4.%5"/>
      <w:lvlJc w:val="left"/>
      <w:pPr>
        <w:tabs>
          <w:tab w:val="left" w:pos="3141"/>
        </w:tabs>
        <w:ind w:left="2551" w:hanging="850"/>
      </w:pPr>
      <w:rPr>
        <w:rFonts w:hint="eastAsia"/>
      </w:rPr>
    </w:lvl>
    <w:lvl w:ilvl="5" w:tentative="0">
      <w:start w:val="1"/>
      <w:numFmt w:val="decimal"/>
      <w:lvlText w:val="%1.%2.%3.%4.%5.%6"/>
      <w:lvlJc w:val="left"/>
      <w:pPr>
        <w:tabs>
          <w:tab w:val="left" w:pos="3566"/>
        </w:tabs>
        <w:ind w:left="3260" w:hanging="1134"/>
      </w:pPr>
      <w:rPr>
        <w:rFonts w:hint="eastAsia"/>
      </w:rPr>
    </w:lvl>
    <w:lvl w:ilvl="6" w:tentative="0">
      <w:start w:val="1"/>
      <w:numFmt w:val="decimal"/>
      <w:lvlText w:val="%1.%2.%3.%4.%5.%6.%7"/>
      <w:lvlJc w:val="left"/>
      <w:pPr>
        <w:tabs>
          <w:tab w:val="left" w:pos="4351"/>
        </w:tabs>
        <w:ind w:left="3827" w:hanging="1276"/>
      </w:pPr>
      <w:rPr>
        <w:rFonts w:hint="eastAsia"/>
      </w:rPr>
    </w:lvl>
    <w:lvl w:ilvl="7" w:tentative="0">
      <w:start w:val="1"/>
      <w:numFmt w:val="decimal"/>
      <w:lvlText w:val="%1.%2.%3.%4.%5.%6.%7.%8"/>
      <w:lvlJc w:val="left"/>
      <w:pPr>
        <w:tabs>
          <w:tab w:val="left" w:pos="5136"/>
        </w:tabs>
        <w:ind w:left="4394" w:hanging="1418"/>
      </w:pPr>
      <w:rPr>
        <w:rFonts w:hint="eastAsia"/>
      </w:rPr>
    </w:lvl>
    <w:lvl w:ilvl="8" w:tentative="0">
      <w:start w:val="1"/>
      <w:numFmt w:val="decimal"/>
      <w:lvlText w:val="%1.%2.%3.%4.%5.%6.%7.%8.%9"/>
      <w:lvlJc w:val="left"/>
      <w:pPr>
        <w:tabs>
          <w:tab w:val="left" w:pos="5562"/>
        </w:tabs>
        <w:ind w:left="5102" w:hanging="1700"/>
      </w:pPr>
      <w:rPr>
        <w:rFonts w:hint="eastAsia"/>
      </w:rPr>
    </w:lvl>
  </w:abstractNum>
  <w:abstractNum w:abstractNumId="13">
    <w:nsid w:val="25C22B40"/>
    <w:multiLevelType w:val="multilevel"/>
    <w:tmpl w:val="25C22B40"/>
    <w:lvl w:ilvl="0" w:tentative="0">
      <w:start w:val="1"/>
      <w:numFmt w:val="japaneseCounting"/>
      <w:lvlText w:val="%1、"/>
      <w:lvlJc w:val="left"/>
      <w:pPr>
        <w:tabs>
          <w:tab w:val="left" w:pos="480"/>
        </w:tabs>
        <w:ind w:left="480" w:hanging="48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14">
    <w:nsid w:val="3B8D6315"/>
    <w:multiLevelType w:val="multilevel"/>
    <w:tmpl w:val="3B8D6315"/>
    <w:lvl w:ilvl="0" w:tentative="0">
      <w:start w:val="6"/>
      <w:numFmt w:val="decimal"/>
      <w:lvlText w:val="%1"/>
      <w:lvlJc w:val="left"/>
      <w:pPr>
        <w:ind w:left="360" w:hanging="360"/>
      </w:pPr>
      <w:rPr>
        <w:rFonts w:hint="default"/>
      </w:rPr>
    </w:lvl>
    <w:lvl w:ilvl="1" w:tentative="0">
      <w:start w:val="4"/>
      <w:numFmt w:val="decimal"/>
      <w:lvlText w:val="%1.%2"/>
      <w:lvlJc w:val="left"/>
      <w:pPr>
        <w:ind w:left="1605" w:hanging="360"/>
      </w:pPr>
      <w:rPr>
        <w:rFonts w:hint="default"/>
      </w:rPr>
    </w:lvl>
    <w:lvl w:ilvl="2" w:tentative="0">
      <w:start w:val="1"/>
      <w:numFmt w:val="decimal"/>
      <w:lvlText w:val="%1.%2.%3"/>
      <w:lvlJc w:val="left"/>
      <w:pPr>
        <w:ind w:left="3210" w:hanging="720"/>
      </w:pPr>
      <w:rPr>
        <w:rFonts w:hint="default"/>
      </w:rPr>
    </w:lvl>
    <w:lvl w:ilvl="3" w:tentative="0">
      <w:start w:val="1"/>
      <w:numFmt w:val="decimal"/>
      <w:lvlText w:val="%1.%2.%3.%4"/>
      <w:lvlJc w:val="left"/>
      <w:pPr>
        <w:ind w:left="4815" w:hanging="1080"/>
      </w:pPr>
      <w:rPr>
        <w:rFonts w:hint="default"/>
      </w:rPr>
    </w:lvl>
    <w:lvl w:ilvl="4" w:tentative="0">
      <w:start w:val="1"/>
      <w:numFmt w:val="decimal"/>
      <w:lvlText w:val="%1.%2.%3.%4.%5"/>
      <w:lvlJc w:val="left"/>
      <w:pPr>
        <w:ind w:left="6060" w:hanging="1080"/>
      </w:pPr>
      <w:rPr>
        <w:rFonts w:hint="default"/>
      </w:rPr>
    </w:lvl>
    <w:lvl w:ilvl="5" w:tentative="0">
      <w:start w:val="1"/>
      <w:numFmt w:val="decimal"/>
      <w:lvlText w:val="%1.%2.%3.%4.%5.%6"/>
      <w:lvlJc w:val="left"/>
      <w:pPr>
        <w:ind w:left="7665" w:hanging="1440"/>
      </w:pPr>
      <w:rPr>
        <w:rFonts w:hint="default"/>
      </w:rPr>
    </w:lvl>
    <w:lvl w:ilvl="6" w:tentative="0">
      <w:start w:val="1"/>
      <w:numFmt w:val="decimal"/>
      <w:lvlText w:val="%1.%2.%3.%4.%5.%6.%7"/>
      <w:lvlJc w:val="left"/>
      <w:pPr>
        <w:ind w:left="9270" w:hanging="1800"/>
      </w:pPr>
      <w:rPr>
        <w:rFonts w:hint="default"/>
      </w:rPr>
    </w:lvl>
    <w:lvl w:ilvl="7" w:tentative="0">
      <w:start w:val="1"/>
      <w:numFmt w:val="decimal"/>
      <w:lvlText w:val="%1.%2.%3.%4.%5.%6.%7.%8"/>
      <w:lvlJc w:val="left"/>
      <w:pPr>
        <w:ind w:left="10515" w:hanging="1800"/>
      </w:pPr>
      <w:rPr>
        <w:rFonts w:hint="default"/>
      </w:rPr>
    </w:lvl>
    <w:lvl w:ilvl="8" w:tentative="0">
      <w:start w:val="1"/>
      <w:numFmt w:val="decimal"/>
      <w:lvlText w:val="%1.%2.%3.%4.%5.%6.%7.%8.%9"/>
      <w:lvlJc w:val="left"/>
      <w:pPr>
        <w:ind w:left="12120" w:hanging="2160"/>
      </w:pPr>
      <w:rPr>
        <w:rFonts w:hint="default"/>
      </w:rPr>
    </w:lvl>
  </w:abstractNum>
  <w:abstractNum w:abstractNumId="15">
    <w:nsid w:val="67864187"/>
    <w:multiLevelType w:val="multilevel"/>
    <w:tmpl w:val="67864187"/>
    <w:lvl w:ilvl="0" w:tentative="0">
      <w:start w:val="1"/>
      <w:numFmt w:val="decimal"/>
      <w:lvlText w:val="%1、"/>
      <w:lvlJc w:val="left"/>
      <w:pPr>
        <w:tabs>
          <w:tab w:val="left" w:pos="720"/>
        </w:tabs>
        <w:ind w:left="720" w:hanging="720"/>
      </w:pPr>
      <w:rPr>
        <w:rFonts w:hint="default"/>
      </w:rPr>
    </w:lvl>
    <w:lvl w:ilvl="1" w:tentative="0">
      <w:start w:val="1"/>
      <w:numFmt w:val="lowerLetter"/>
      <w:lvlText w:val="%2)"/>
      <w:lvlJc w:val="left"/>
      <w:pPr>
        <w:tabs>
          <w:tab w:val="left" w:pos="840"/>
        </w:tabs>
        <w:ind w:left="840" w:hanging="420"/>
      </w:pPr>
    </w:lvl>
    <w:lvl w:ilvl="2" w:tentative="0">
      <w:start w:val="1"/>
      <w:numFmt w:val="lowerRoman"/>
      <w:pStyle w:val="68"/>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10"/>
  </w:num>
  <w:num w:numId="2">
    <w:abstractNumId w:val="8"/>
  </w:num>
  <w:num w:numId="3">
    <w:abstractNumId w:val="6"/>
  </w:num>
  <w:num w:numId="4">
    <w:abstractNumId w:val="7"/>
  </w:num>
  <w:num w:numId="5">
    <w:abstractNumId w:val="15"/>
  </w:num>
  <w:num w:numId="6">
    <w:abstractNumId w:val="9"/>
  </w:num>
  <w:num w:numId="7">
    <w:abstractNumId w:val="5"/>
  </w:num>
  <w:num w:numId="8">
    <w:abstractNumId w:val="2"/>
  </w:num>
  <w:num w:numId="9">
    <w:abstractNumId w:val="0"/>
  </w:num>
  <w:num w:numId="10">
    <w:abstractNumId w:val="4"/>
  </w:num>
  <w:num w:numId="11">
    <w:abstractNumId w:val="13"/>
    <w:lvlOverride w:ilvl="0">
      <w:startOverride w:val="1"/>
    </w:lvlOverride>
  </w:num>
  <w:num w:numId="12">
    <w:abstractNumId w:val="1"/>
  </w:num>
  <w:num w:numId="13">
    <w:abstractNumId w:val="12"/>
  </w:num>
  <w:num w:numId="14">
    <w:abstractNumId w:val="14"/>
  </w:num>
  <w:num w:numId="15">
    <w:abstractNumId w:val="3"/>
  </w:num>
  <w:num w:numId="16">
    <w:abstractNumId w:val="1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秦岳">
    <w15:presenceInfo w15:providerId="WPS Office" w15:userId="188262816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TrueTypeFonts/>
  <w:saveSubsetFonts/>
  <w:bordersDoNotSurroundHeader w:val="0"/>
  <w:bordersDoNotSurroundFooter w:val="0"/>
  <w:revisionView w:markup="0"/>
  <w:trackRevisions w:val="1"/>
  <w:documentProtection w:enforcement="0"/>
  <w:defaultTabStop w:val="420"/>
  <w:drawingGridHorizontalSpacing w:val="105"/>
  <w:drawingGridVerticalSpacing w:val="203"/>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5F037B"/>
    <w:rsid w:val="007C3708"/>
    <w:rsid w:val="00A87F74"/>
    <w:rsid w:val="0112363F"/>
    <w:rsid w:val="01141165"/>
    <w:rsid w:val="014D0B1B"/>
    <w:rsid w:val="01CA43CB"/>
    <w:rsid w:val="03127926"/>
    <w:rsid w:val="036068E4"/>
    <w:rsid w:val="0438160E"/>
    <w:rsid w:val="04D261F6"/>
    <w:rsid w:val="05D11D1B"/>
    <w:rsid w:val="06DE46EF"/>
    <w:rsid w:val="072A7934"/>
    <w:rsid w:val="07351E35"/>
    <w:rsid w:val="07462294"/>
    <w:rsid w:val="07950B26"/>
    <w:rsid w:val="07A04DF3"/>
    <w:rsid w:val="07F31D92"/>
    <w:rsid w:val="08114AD7"/>
    <w:rsid w:val="087A505F"/>
    <w:rsid w:val="09087F45"/>
    <w:rsid w:val="090F1CBF"/>
    <w:rsid w:val="09A84B40"/>
    <w:rsid w:val="09C13E54"/>
    <w:rsid w:val="09E57B43"/>
    <w:rsid w:val="0A3345A9"/>
    <w:rsid w:val="0B494101"/>
    <w:rsid w:val="0BC11EE9"/>
    <w:rsid w:val="0C0A7D34"/>
    <w:rsid w:val="0C3A0AD9"/>
    <w:rsid w:val="0C3B1C9C"/>
    <w:rsid w:val="0D4F642A"/>
    <w:rsid w:val="0DA11FD2"/>
    <w:rsid w:val="0DFA7935"/>
    <w:rsid w:val="0E3A777E"/>
    <w:rsid w:val="0E52151F"/>
    <w:rsid w:val="0E8019E9"/>
    <w:rsid w:val="0F8751F8"/>
    <w:rsid w:val="0FB81855"/>
    <w:rsid w:val="10863BAC"/>
    <w:rsid w:val="11D54941"/>
    <w:rsid w:val="11F97BAC"/>
    <w:rsid w:val="13A73672"/>
    <w:rsid w:val="13B81E24"/>
    <w:rsid w:val="14292D22"/>
    <w:rsid w:val="14593607"/>
    <w:rsid w:val="14700951"/>
    <w:rsid w:val="14916C83"/>
    <w:rsid w:val="14B545B5"/>
    <w:rsid w:val="150572EB"/>
    <w:rsid w:val="15205ED3"/>
    <w:rsid w:val="165D4F05"/>
    <w:rsid w:val="16A36DBB"/>
    <w:rsid w:val="180970F2"/>
    <w:rsid w:val="18127467"/>
    <w:rsid w:val="188624F1"/>
    <w:rsid w:val="194303E2"/>
    <w:rsid w:val="19A3065D"/>
    <w:rsid w:val="19FB1E10"/>
    <w:rsid w:val="1B7E3953"/>
    <w:rsid w:val="1BA43DAA"/>
    <w:rsid w:val="1BAA4748"/>
    <w:rsid w:val="1C135B98"/>
    <w:rsid w:val="1C2A5889"/>
    <w:rsid w:val="1CA7512B"/>
    <w:rsid w:val="1D0E0309"/>
    <w:rsid w:val="1D3764AF"/>
    <w:rsid w:val="1D6F31E1"/>
    <w:rsid w:val="1D7F3D3F"/>
    <w:rsid w:val="1E4F7829"/>
    <w:rsid w:val="1EBA2EF4"/>
    <w:rsid w:val="1F664E2A"/>
    <w:rsid w:val="1FA539D9"/>
    <w:rsid w:val="1FB913FE"/>
    <w:rsid w:val="205C7FDB"/>
    <w:rsid w:val="20AE6A88"/>
    <w:rsid w:val="20C861CE"/>
    <w:rsid w:val="210466A8"/>
    <w:rsid w:val="214E3DC8"/>
    <w:rsid w:val="2217065D"/>
    <w:rsid w:val="227A6E70"/>
    <w:rsid w:val="227D7E75"/>
    <w:rsid w:val="22F015DA"/>
    <w:rsid w:val="232E02C0"/>
    <w:rsid w:val="23403BE4"/>
    <w:rsid w:val="23733FB9"/>
    <w:rsid w:val="238B4E5F"/>
    <w:rsid w:val="23AE38C1"/>
    <w:rsid w:val="23D5257E"/>
    <w:rsid w:val="248024EA"/>
    <w:rsid w:val="25AF2692"/>
    <w:rsid w:val="265711D5"/>
    <w:rsid w:val="26EE23F0"/>
    <w:rsid w:val="279E462F"/>
    <w:rsid w:val="27A37E52"/>
    <w:rsid w:val="27B121E5"/>
    <w:rsid w:val="27D71813"/>
    <w:rsid w:val="28572B79"/>
    <w:rsid w:val="287A36F4"/>
    <w:rsid w:val="28D15A0A"/>
    <w:rsid w:val="2900292A"/>
    <w:rsid w:val="2925080C"/>
    <w:rsid w:val="294F4C60"/>
    <w:rsid w:val="295D54F0"/>
    <w:rsid w:val="296E3259"/>
    <w:rsid w:val="29B70065"/>
    <w:rsid w:val="29FD282F"/>
    <w:rsid w:val="2A782659"/>
    <w:rsid w:val="2AA93EE8"/>
    <w:rsid w:val="2AAF3B29"/>
    <w:rsid w:val="2ABB5182"/>
    <w:rsid w:val="2ACB6489"/>
    <w:rsid w:val="2AF11A1E"/>
    <w:rsid w:val="2B426BFF"/>
    <w:rsid w:val="2B4F70BA"/>
    <w:rsid w:val="2B975AE8"/>
    <w:rsid w:val="2C78619D"/>
    <w:rsid w:val="2CF25F4F"/>
    <w:rsid w:val="2D6306E2"/>
    <w:rsid w:val="2D9214E0"/>
    <w:rsid w:val="2D945258"/>
    <w:rsid w:val="2E206AEC"/>
    <w:rsid w:val="2E402CEA"/>
    <w:rsid w:val="2E4A5E94"/>
    <w:rsid w:val="2ECB4CA9"/>
    <w:rsid w:val="2F2148C9"/>
    <w:rsid w:val="2F520F27"/>
    <w:rsid w:val="2F6715EC"/>
    <w:rsid w:val="2F884949"/>
    <w:rsid w:val="318A0E4C"/>
    <w:rsid w:val="3200549D"/>
    <w:rsid w:val="32B262D6"/>
    <w:rsid w:val="32B819E9"/>
    <w:rsid w:val="32F10A57"/>
    <w:rsid w:val="33E5680D"/>
    <w:rsid w:val="35020CF9"/>
    <w:rsid w:val="35221FAC"/>
    <w:rsid w:val="35325A82"/>
    <w:rsid w:val="35613C72"/>
    <w:rsid w:val="35B303A4"/>
    <w:rsid w:val="35D93255"/>
    <w:rsid w:val="35D94150"/>
    <w:rsid w:val="363973F5"/>
    <w:rsid w:val="371014A6"/>
    <w:rsid w:val="376E6341"/>
    <w:rsid w:val="38163439"/>
    <w:rsid w:val="38347112"/>
    <w:rsid w:val="387631CF"/>
    <w:rsid w:val="387B408F"/>
    <w:rsid w:val="38F44DFD"/>
    <w:rsid w:val="39221784"/>
    <w:rsid w:val="3A563FC1"/>
    <w:rsid w:val="3A804B9A"/>
    <w:rsid w:val="3AA12D62"/>
    <w:rsid w:val="3AD849D6"/>
    <w:rsid w:val="3AEC20EF"/>
    <w:rsid w:val="3B146264"/>
    <w:rsid w:val="3B1672AC"/>
    <w:rsid w:val="3B3140E6"/>
    <w:rsid w:val="3B44206B"/>
    <w:rsid w:val="3B626996"/>
    <w:rsid w:val="3B9E2148"/>
    <w:rsid w:val="3BE8407F"/>
    <w:rsid w:val="3BFF2436"/>
    <w:rsid w:val="3C6D73A0"/>
    <w:rsid w:val="3D015D3A"/>
    <w:rsid w:val="3D145A6E"/>
    <w:rsid w:val="3D78401A"/>
    <w:rsid w:val="3D850719"/>
    <w:rsid w:val="3F150352"/>
    <w:rsid w:val="3F3E4717"/>
    <w:rsid w:val="40721429"/>
    <w:rsid w:val="408D1DBF"/>
    <w:rsid w:val="40D53845"/>
    <w:rsid w:val="40D6477B"/>
    <w:rsid w:val="416074D3"/>
    <w:rsid w:val="41642B4B"/>
    <w:rsid w:val="41B10A6B"/>
    <w:rsid w:val="41B25855"/>
    <w:rsid w:val="420D3D35"/>
    <w:rsid w:val="428D5A86"/>
    <w:rsid w:val="42A464D4"/>
    <w:rsid w:val="42CB3072"/>
    <w:rsid w:val="43C540A6"/>
    <w:rsid w:val="43D30430"/>
    <w:rsid w:val="4417604A"/>
    <w:rsid w:val="446B3494"/>
    <w:rsid w:val="44934FC6"/>
    <w:rsid w:val="457215E0"/>
    <w:rsid w:val="4597548E"/>
    <w:rsid w:val="46AB11F1"/>
    <w:rsid w:val="47061AF5"/>
    <w:rsid w:val="47D76015"/>
    <w:rsid w:val="48A50238"/>
    <w:rsid w:val="48DF33D4"/>
    <w:rsid w:val="48F76E74"/>
    <w:rsid w:val="491A440C"/>
    <w:rsid w:val="494D486D"/>
    <w:rsid w:val="49725FF6"/>
    <w:rsid w:val="49D1656A"/>
    <w:rsid w:val="49DE4422"/>
    <w:rsid w:val="4A396B13"/>
    <w:rsid w:val="4A4E152D"/>
    <w:rsid w:val="4A5971B6"/>
    <w:rsid w:val="4BB353B1"/>
    <w:rsid w:val="4BF076A6"/>
    <w:rsid w:val="4C370B2C"/>
    <w:rsid w:val="4C561BFF"/>
    <w:rsid w:val="4C7B3698"/>
    <w:rsid w:val="4CB22BAD"/>
    <w:rsid w:val="4CE11EF4"/>
    <w:rsid w:val="4D15468C"/>
    <w:rsid w:val="4D6A3C3C"/>
    <w:rsid w:val="4D704F42"/>
    <w:rsid w:val="4DBF37D4"/>
    <w:rsid w:val="4DC5211F"/>
    <w:rsid w:val="4DFF1E22"/>
    <w:rsid w:val="4E192EE4"/>
    <w:rsid w:val="4E241889"/>
    <w:rsid w:val="4EF41C6A"/>
    <w:rsid w:val="4F822D0B"/>
    <w:rsid w:val="4FDC1466"/>
    <w:rsid w:val="5019541D"/>
    <w:rsid w:val="50262E0E"/>
    <w:rsid w:val="50585DB8"/>
    <w:rsid w:val="50B739DE"/>
    <w:rsid w:val="50F1639A"/>
    <w:rsid w:val="514209A3"/>
    <w:rsid w:val="515626A1"/>
    <w:rsid w:val="515E605F"/>
    <w:rsid w:val="518A40F8"/>
    <w:rsid w:val="51E97071"/>
    <w:rsid w:val="520E4D2A"/>
    <w:rsid w:val="525249AA"/>
    <w:rsid w:val="52DD5A6A"/>
    <w:rsid w:val="532C3CAB"/>
    <w:rsid w:val="53582700"/>
    <w:rsid w:val="536846E4"/>
    <w:rsid w:val="539B1ED3"/>
    <w:rsid w:val="53EF7066"/>
    <w:rsid w:val="547C41CC"/>
    <w:rsid w:val="54C65EB4"/>
    <w:rsid w:val="550C44B6"/>
    <w:rsid w:val="555711BF"/>
    <w:rsid w:val="55947362"/>
    <w:rsid w:val="55A7171D"/>
    <w:rsid w:val="55A97243"/>
    <w:rsid w:val="56064695"/>
    <w:rsid w:val="56A143BE"/>
    <w:rsid w:val="56F24C1A"/>
    <w:rsid w:val="5786188F"/>
    <w:rsid w:val="578F06BB"/>
    <w:rsid w:val="58507E4A"/>
    <w:rsid w:val="58843B1A"/>
    <w:rsid w:val="58C779E0"/>
    <w:rsid w:val="58FF717A"/>
    <w:rsid w:val="59DD395F"/>
    <w:rsid w:val="5A987886"/>
    <w:rsid w:val="5AAB49F5"/>
    <w:rsid w:val="5AAB7BE7"/>
    <w:rsid w:val="5B264E92"/>
    <w:rsid w:val="5B3752F1"/>
    <w:rsid w:val="5B6360E6"/>
    <w:rsid w:val="5C606182"/>
    <w:rsid w:val="5C8E0F41"/>
    <w:rsid w:val="5CFD1C22"/>
    <w:rsid w:val="5D1551BE"/>
    <w:rsid w:val="5D253D88"/>
    <w:rsid w:val="5D423AD9"/>
    <w:rsid w:val="5E0F17FD"/>
    <w:rsid w:val="5E7F246E"/>
    <w:rsid w:val="5E8061E8"/>
    <w:rsid w:val="5F074FDA"/>
    <w:rsid w:val="5F096416"/>
    <w:rsid w:val="5FBE38EB"/>
    <w:rsid w:val="6042451C"/>
    <w:rsid w:val="605040B9"/>
    <w:rsid w:val="60624BBE"/>
    <w:rsid w:val="61625D77"/>
    <w:rsid w:val="61665BAD"/>
    <w:rsid w:val="61DE16DB"/>
    <w:rsid w:val="6208573E"/>
    <w:rsid w:val="62090747"/>
    <w:rsid w:val="623460E6"/>
    <w:rsid w:val="625B18C5"/>
    <w:rsid w:val="62B72874"/>
    <w:rsid w:val="62CC27C3"/>
    <w:rsid w:val="636F130E"/>
    <w:rsid w:val="63905A4C"/>
    <w:rsid w:val="64AE0E8A"/>
    <w:rsid w:val="64B11C70"/>
    <w:rsid w:val="64B26B19"/>
    <w:rsid w:val="66187ACD"/>
    <w:rsid w:val="66247A59"/>
    <w:rsid w:val="664A095E"/>
    <w:rsid w:val="66AD46B9"/>
    <w:rsid w:val="671307ED"/>
    <w:rsid w:val="674A1F08"/>
    <w:rsid w:val="678817C2"/>
    <w:rsid w:val="6793565D"/>
    <w:rsid w:val="679D19D6"/>
    <w:rsid w:val="67F325A0"/>
    <w:rsid w:val="68420E31"/>
    <w:rsid w:val="68703BF0"/>
    <w:rsid w:val="68D423D1"/>
    <w:rsid w:val="694330B3"/>
    <w:rsid w:val="69C77840"/>
    <w:rsid w:val="69CB37D4"/>
    <w:rsid w:val="6A462E5B"/>
    <w:rsid w:val="6ABC4ECB"/>
    <w:rsid w:val="6AD7367A"/>
    <w:rsid w:val="6AE83F12"/>
    <w:rsid w:val="6B0050B2"/>
    <w:rsid w:val="6B575955"/>
    <w:rsid w:val="6B95409A"/>
    <w:rsid w:val="6BFE6323"/>
    <w:rsid w:val="6C094140"/>
    <w:rsid w:val="6C240F7A"/>
    <w:rsid w:val="6C251D17"/>
    <w:rsid w:val="6CA125CA"/>
    <w:rsid w:val="6CC462B9"/>
    <w:rsid w:val="6D3124D2"/>
    <w:rsid w:val="6DD61F86"/>
    <w:rsid w:val="6DFE57FA"/>
    <w:rsid w:val="6E001573"/>
    <w:rsid w:val="6E6D3DF8"/>
    <w:rsid w:val="6EB505AF"/>
    <w:rsid w:val="6EF015E7"/>
    <w:rsid w:val="6F490CF7"/>
    <w:rsid w:val="6F631DB9"/>
    <w:rsid w:val="6F8A5598"/>
    <w:rsid w:val="6FC70CB6"/>
    <w:rsid w:val="6FFE75C4"/>
    <w:rsid w:val="70785D38"/>
    <w:rsid w:val="70812E3F"/>
    <w:rsid w:val="71201EE5"/>
    <w:rsid w:val="71EA7365"/>
    <w:rsid w:val="72233A82"/>
    <w:rsid w:val="73A9207D"/>
    <w:rsid w:val="74161AF0"/>
    <w:rsid w:val="74237D69"/>
    <w:rsid w:val="748578CC"/>
    <w:rsid w:val="74C96B62"/>
    <w:rsid w:val="75517DA3"/>
    <w:rsid w:val="75BC0475"/>
    <w:rsid w:val="77431638"/>
    <w:rsid w:val="777A7098"/>
    <w:rsid w:val="77EF5DB4"/>
    <w:rsid w:val="77F47F90"/>
    <w:rsid w:val="78024BCE"/>
    <w:rsid w:val="785D3987"/>
    <w:rsid w:val="789A3183"/>
    <w:rsid w:val="78F63FFA"/>
    <w:rsid w:val="7A5073DE"/>
    <w:rsid w:val="7A951A03"/>
    <w:rsid w:val="7B2A08C8"/>
    <w:rsid w:val="7B8A691F"/>
    <w:rsid w:val="7C224DAA"/>
    <w:rsid w:val="7CDD764F"/>
    <w:rsid w:val="7CF36E72"/>
    <w:rsid w:val="7D017670"/>
    <w:rsid w:val="7D353664"/>
    <w:rsid w:val="7D8465FE"/>
    <w:rsid w:val="7D91127E"/>
    <w:rsid w:val="7DD32800"/>
    <w:rsid w:val="7DE642E1"/>
    <w:rsid w:val="7E0B1F99"/>
    <w:rsid w:val="7E490D14"/>
    <w:rsid w:val="7E8B4E88"/>
    <w:rsid w:val="7E9975A5"/>
    <w:rsid w:val="7F434FE8"/>
    <w:rsid w:val="7F443652"/>
    <w:rsid w:val="7FDB68FF"/>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iPriority="0" w:name="index 2"/>
    <w:lsdException w:qFormat="1" w:unhideWhenUsed="0" w:uiPriority="0" w:semiHidden="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iPriority="0" w:semiHidden="0" w:name="annotation text"/>
    <w:lsdException w:qFormat="1" w:uiPriority="99" w:semiHidden="0" w:name="header"/>
    <w:lsdException w:qFormat="1" w:uiPriority="99" w:semiHidden="0" w:name="footer"/>
    <w:lsdException w:qFormat="1" w:unhideWhenUsed="0" w:uiPriority="0" w:semiHidden="0" w:name="index heading"/>
    <w:lsdException w:qFormat="1" w:uiPriority="35" w:name="caption"/>
    <w:lsdException w:uiPriority="0" w:name="table of figures"/>
    <w:lsdException w:uiPriority="0" w:name="envelope address"/>
    <w:lsdException w:uiPriority="0" w:name="envelope return"/>
    <w:lsdException w:qFormat="1" w:unhideWhenUsed="0" w:uiPriority="0" w:semiHidden="0" w:name="footnote reference"/>
    <w:lsdException w:qFormat="1" w:unhideWhenUsed="0" w:uiPriority="99" w:semiHidden="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10" w:semiHidden="0" w:name="Title"/>
    <w:lsdException w:uiPriority="0" w:name="Closing"/>
    <w:lsdException w:uiPriority="0" w:name="Signature"/>
    <w:lsdException w:qFormat="1" w:uiPriority="1" w:name="Default Paragraph Font"/>
    <w:lsdException w:qFormat="1" w:unhideWhenUsed="0" w:uiPriority="0" w:semiHidden="0" w:name="Body Text"/>
    <w:lsdException w:qFormat="1"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sdException w:uiPriority="0" w:name="Salutation"/>
    <w:lsdException w:qFormat="1" w:unhideWhenUsed="0" w:uiPriority="0" w:semiHidden="0" w:name="Date"/>
    <w:lsdException w:uiPriority="0" w:name="Body Text First Indent"/>
    <w:lsdException w:qFormat="1" w:unhideWhenUsed="0" w:uiPriority="0" w:semiHidden="0" w:name="Body Text First Indent 2"/>
    <w:lsdException w:uiPriority="0" w:name="Note Heading"/>
    <w:lsdException w:qFormat="1" w:unhideWhenUsed="0" w:uiPriority="0" w:semiHidden="0" w:name="Body Text 2"/>
    <w:lsdException w:uiPriority="0" w:name="Body Text 3"/>
    <w:lsdException w:qFormat="1" w:unhideWhenUsed="0" w:uiPriority="0" w:semiHidden="0" w:name="Body Text Indent 2"/>
    <w:lsdException w:qFormat="1" w:unhideWhenUsed="0" w:uiPriority="0" w:semiHidden="0" w:name="Body Text Indent 3"/>
    <w:lsdException w:uiPriority="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20" w:semiHidden="0" w:name="Emphasis"/>
    <w:lsdException w:qFormat="1" w:unhideWhenUsed="0" w:uiPriority="0" w:semiHidden="0" w:name="Document Map"/>
    <w:lsdException w:qFormat="1" w:unhideWhenUsed="0" w:uiPriority="0" w:semiHidden="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link w:val="97"/>
    <w:qFormat/>
    <w:uiPriority w:val="0"/>
    <w:pPr>
      <w:keepNext/>
      <w:keepLines/>
      <w:spacing w:before="340" w:after="330" w:line="576" w:lineRule="auto"/>
      <w:outlineLvl w:val="0"/>
    </w:pPr>
    <w:rPr>
      <w:rFonts w:ascii="Calibri" w:hAnsi="Calibri" w:eastAsia="黑体"/>
      <w:b/>
      <w:bCs/>
      <w:kern w:val="44"/>
      <w:sz w:val="32"/>
      <w:szCs w:val="44"/>
    </w:rPr>
  </w:style>
  <w:style w:type="paragraph" w:styleId="3">
    <w:name w:val="heading 2"/>
    <w:basedOn w:val="1"/>
    <w:next w:val="1"/>
    <w:link w:val="142"/>
    <w:qFormat/>
    <w:uiPriority w:val="0"/>
    <w:pPr>
      <w:keepNext/>
      <w:keepLines/>
      <w:spacing w:before="260" w:after="260" w:line="416" w:lineRule="auto"/>
      <w:outlineLvl w:val="1"/>
    </w:pPr>
    <w:rPr>
      <w:rFonts w:ascii="Cambria" w:hAnsi="Cambria"/>
      <w:b/>
      <w:bCs/>
      <w:sz w:val="32"/>
      <w:szCs w:val="32"/>
    </w:rPr>
  </w:style>
  <w:style w:type="paragraph" w:styleId="4">
    <w:name w:val="heading 3"/>
    <w:basedOn w:val="1"/>
    <w:next w:val="1"/>
    <w:link w:val="99"/>
    <w:qFormat/>
    <w:uiPriority w:val="0"/>
    <w:pPr>
      <w:keepNext/>
      <w:keepLines/>
      <w:spacing w:before="260" w:after="260" w:line="413" w:lineRule="auto"/>
      <w:outlineLvl w:val="2"/>
    </w:pPr>
    <w:rPr>
      <w:rFonts w:ascii="Calibri" w:hAnsi="Calibri" w:eastAsia="黑体"/>
      <w:b/>
      <w:bCs/>
      <w:sz w:val="28"/>
      <w:szCs w:val="32"/>
    </w:rPr>
  </w:style>
  <w:style w:type="paragraph" w:styleId="5">
    <w:name w:val="heading 4"/>
    <w:basedOn w:val="1"/>
    <w:next w:val="1"/>
    <w:link w:val="100"/>
    <w:qFormat/>
    <w:uiPriority w:val="0"/>
    <w:pPr>
      <w:keepNext/>
      <w:keepLines/>
      <w:spacing w:before="280" w:after="290" w:line="372" w:lineRule="auto"/>
      <w:outlineLvl w:val="3"/>
    </w:pPr>
    <w:rPr>
      <w:rFonts w:ascii="Arial" w:hAnsi="Arial"/>
      <w:b/>
      <w:bCs/>
      <w:sz w:val="28"/>
      <w:szCs w:val="28"/>
    </w:rPr>
  </w:style>
  <w:style w:type="paragraph" w:styleId="6">
    <w:name w:val="heading 5"/>
    <w:basedOn w:val="1"/>
    <w:next w:val="1"/>
    <w:link w:val="101"/>
    <w:qFormat/>
    <w:uiPriority w:val="0"/>
    <w:pPr>
      <w:keepNext/>
      <w:jc w:val="center"/>
      <w:outlineLvl w:val="4"/>
    </w:pPr>
    <w:rPr>
      <w:rFonts w:ascii="Arial" w:hAnsi="Arial"/>
      <w:sz w:val="28"/>
      <w:szCs w:val="24"/>
    </w:rPr>
  </w:style>
  <w:style w:type="paragraph" w:styleId="7">
    <w:name w:val="heading 6"/>
    <w:basedOn w:val="1"/>
    <w:next w:val="1"/>
    <w:link w:val="102"/>
    <w:qFormat/>
    <w:uiPriority w:val="0"/>
    <w:pPr>
      <w:keepNext/>
      <w:spacing w:line="360" w:lineRule="auto"/>
      <w:outlineLvl w:val="5"/>
    </w:pPr>
    <w:rPr>
      <w:rFonts w:ascii="_GB2312" w:hAnsi="_GB2312"/>
      <w:b/>
      <w:bCs/>
      <w:color w:val="000000"/>
      <w:szCs w:val="24"/>
    </w:rPr>
  </w:style>
  <w:style w:type="paragraph" w:styleId="8">
    <w:name w:val="heading 7"/>
    <w:basedOn w:val="1"/>
    <w:next w:val="9"/>
    <w:link w:val="103"/>
    <w:qFormat/>
    <w:uiPriority w:val="0"/>
    <w:pPr>
      <w:keepNext/>
      <w:keepLines/>
      <w:spacing w:before="240" w:after="64" w:line="317" w:lineRule="auto"/>
      <w:outlineLvl w:val="6"/>
    </w:pPr>
    <w:rPr>
      <w:rFonts w:ascii="Calibri" w:hAnsi="Calibri"/>
      <w:b/>
      <w:sz w:val="24"/>
      <w:szCs w:val="24"/>
    </w:rPr>
  </w:style>
  <w:style w:type="paragraph" w:styleId="10">
    <w:name w:val="heading 8"/>
    <w:basedOn w:val="1"/>
    <w:next w:val="9"/>
    <w:link w:val="105"/>
    <w:qFormat/>
    <w:uiPriority w:val="0"/>
    <w:pPr>
      <w:keepNext/>
      <w:keepLines/>
      <w:spacing w:before="240" w:after="64" w:line="317" w:lineRule="auto"/>
      <w:outlineLvl w:val="7"/>
    </w:pPr>
    <w:rPr>
      <w:rFonts w:ascii="Arial" w:hAnsi="Arial" w:eastAsia="黑体"/>
      <w:sz w:val="24"/>
      <w:szCs w:val="24"/>
    </w:rPr>
  </w:style>
  <w:style w:type="paragraph" w:styleId="11">
    <w:name w:val="heading 9"/>
    <w:basedOn w:val="1"/>
    <w:next w:val="9"/>
    <w:link w:val="106"/>
    <w:qFormat/>
    <w:uiPriority w:val="0"/>
    <w:pPr>
      <w:keepNext/>
      <w:keepLines/>
      <w:spacing w:before="240" w:after="64" w:line="317" w:lineRule="auto"/>
      <w:outlineLvl w:val="8"/>
    </w:pPr>
    <w:rPr>
      <w:rFonts w:ascii="Arial" w:hAnsi="Arial" w:eastAsia="黑体"/>
      <w:szCs w:val="24"/>
    </w:rPr>
  </w:style>
  <w:style w:type="character" w:default="1" w:styleId="44">
    <w:name w:val="Default Paragraph Font"/>
    <w:semiHidden/>
    <w:unhideWhenUsed/>
    <w:qFormat/>
    <w:uiPriority w:val="1"/>
  </w:style>
  <w:style w:type="table" w:default="1" w:styleId="42">
    <w:name w:val="Normal Table"/>
    <w:semiHidden/>
    <w:unhideWhenUsed/>
    <w:qFormat/>
    <w:uiPriority w:val="99"/>
    <w:tblPr>
      <w:tblCellMar>
        <w:top w:w="0" w:type="dxa"/>
        <w:left w:w="108" w:type="dxa"/>
        <w:bottom w:w="0" w:type="dxa"/>
        <w:right w:w="108" w:type="dxa"/>
      </w:tblCellMar>
    </w:tblPr>
  </w:style>
  <w:style w:type="paragraph" w:styleId="9">
    <w:name w:val="Normal Indent"/>
    <w:basedOn w:val="1"/>
    <w:link w:val="104"/>
    <w:qFormat/>
    <w:uiPriority w:val="0"/>
    <w:pPr>
      <w:ind w:firstLine="420"/>
    </w:pPr>
    <w:rPr>
      <w:kern w:val="0"/>
      <w:sz w:val="20"/>
      <w:szCs w:val="24"/>
    </w:rPr>
  </w:style>
  <w:style w:type="paragraph" w:styleId="12">
    <w:name w:val="toc 7"/>
    <w:basedOn w:val="1"/>
    <w:next w:val="1"/>
    <w:qFormat/>
    <w:uiPriority w:val="0"/>
    <w:pPr>
      <w:ind w:left="1260"/>
      <w:jc w:val="left"/>
    </w:pPr>
    <w:rPr>
      <w:rFonts w:ascii="Calibri" w:hAnsi="Calibri"/>
      <w:sz w:val="18"/>
      <w:szCs w:val="18"/>
    </w:rPr>
  </w:style>
  <w:style w:type="paragraph" w:styleId="13">
    <w:name w:val="Document Map"/>
    <w:basedOn w:val="1"/>
    <w:next w:val="1"/>
    <w:link w:val="107"/>
    <w:qFormat/>
    <w:uiPriority w:val="0"/>
    <w:pPr>
      <w:shd w:val="clear" w:color="auto" w:fill="000080"/>
    </w:pPr>
    <w:rPr>
      <w:rFonts w:ascii="Calibri" w:hAnsi="Calibri"/>
      <w:szCs w:val="24"/>
    </w:rPr>
  </w:style>
  <w:style w:type="paragraph" w:styleId="14">
    <w:name w:val="annotation text"/>
    <w:basedOn w:val="1"/>
    <w:link w:val="108"/>
    <w:unhideWhenUsed/>
    <w:qFormat/>
    <w:uiPriority w:val="0"/>
    <w:pPr>
      <w:jc w:val="left"/>
    </w:pPr>
  </w:style>
  <w:style w:type="paragraph" w:styleId="15">
    <w:name w:val="Body Text"/>
    <w:basedOn w:val="1"/>
    <w:link w:val="109"/>
    <w:qFormat/>
    <w:uiPriority w:val="0"/>
    <w:rPr>
      <w:color w:val="FF0000"/>
      <w:kern w:val="0"/>
      <w:sz w:val="20"/>
      <w:szCs w:val="24"/>
    </w:rPr>
  </w:style>
  <w:style w:type="paragraph" w:styleId="16">
    <w:name w:val="Body Text Indent"/>
    <w:basedOn w:val="1"/>
    <w:next w:val="1"/>
    <w:link w:val="110"/>
    <w:unhideWhenUsed/>
    <w:qFormat/>
    <w:uiPriority w:val="0"/>
    <w:pPr>
      <w:spacing w:after="120"/>
      <w:ind w:left="420" w:leftChars="200"/>
    </w:pPr>
  </w:style>
  <w:style w:type="paragraph" w:styleId="17">
    <w:name w:val="toc 5"/>
    <w:basedOn w:val="1"/>
    <w:next w:val="1"/>
    <w:qFormat/>
    <w:uiPriority w:val="0"/>
    <w:pPr>
      <w:ind w:left="840"/>
      <w:jc w:val="left"/>
    </w:pPr>
    <w:rPr>
      <w:rFonts w:ascii="Calibri" w:hAnsi="Calibri"/>
      <w:sz w:val="18"/>
      <w:szCs w:val="18"/>
    </w:rPr>
  </w:style>
  <w:style w:type="paragraph" w:styleId="18">
    <w:name w:val="toc 3"/>
    <w:basedOn w:val="1"/>
    <w:next w:val="1"/>
    <w:qFormat/>
    <w:uiPriority w:val="39"/>
    <w:pPr>
      <w:tabs>
        <w:tab w:val="left" w:pos="845"/>
        <w:tab w:val="right" w:leader="dot" w:pos="9060"/>
      </w:tabs>
      <w:ind w:left="420"/>
      <w:jc w:val="left"/>
    </w:pPr>
    <w:rPr>
      <w:rFonts w:ascii="Calibri" w:hAnsi="Calibri"/>
      <w:i/>
      <w:iCs/>
      <w:sz w:val="20"/>
    </w:rPr>
  </w:style>
  <w:style w:type="paragraph" w:styleId="19">
    <w:name w:val="Plain Text"/>
    <w:basedOn w:val="1"/>
    <w:link w:val="111"/>
    <w:qFormat/>
    <w:uiPriority w:val="0"/>
    <w:rPr>
      <w:rFonts w:ascii="宋体" w:hAnsi="Courier New"/>
      <w:kern w:val="0"/>
      <w:sz w:val="20"/>
      <w:szCs w:val="21"/>
    </w:rPr>
  </w:style>
  <w:style w:type="paragraph" w:styleId="20">
    <w:name w:val="toc 8"/>
    <w:basedOn w:val="1"/>
    <w:next w:val="1"/>
    <w:qFormat/>
    <w:uiPriority w:val="0"/>
    <w:pPr>
      <w:ind w:left="1470"/>
      <w:jc w:val="left"/>
    </w:pPr>
    <w:rPr>
      <w:rFonts w:ascii="Calibri" w:hAnsi="Calibri"/>
      <w:sz w:val="18"/>
      <w:szCs w:val="18"/>
    </w:rPr>
  </w:style>
  <w:style w:type="paragraph" w:styleId="21">
    <w:name w:val="index 3"/>
    <w:basedOn w:val="1"/>
    <w:next w:val="1"/>
    <w:qFormat/>
    <w:uiPriority w:val="0"/>
    <w:pPr>
      <w:numPr>
        <w:ilvl w:val="0"/>
        <w:numId w:val="1"/>
      </w:numPr>
      <w:tabs>
        <w:tab w:val="left" w:pos="1756"/>
      </w:tabs>
    </w:pPr>
    <w:rPr>
      <w:rFonts w:ascii="Calibri" w:hAnsi="Calibri"/>
      <w:sz w:val="24"/>
      <w:szCs w:val="24"/>
    </w:rPr>
  </w:style>
  <w:style w:type="paragraph" w:styleId="22">
    <w:name w:val="Date"/>
    <w:basedOn w:val="1"/>
    <w:next w:val="1"/>
    <w:link w:val="112"/>
    <w:qFormat/>
    <w:uiPriority w:val="0"/>
    <w:rPr>
      <w:kern w:val="0"/>
      <w:sz w:val="28"/>
    </w:rPr>
  </w:style>
  <w:style w:type="paragraph" w:styleId="23">
    <w:name w:val="Body Text Indent 2"/>
    <w:basedOn w:val="1"/>
    <w:link w:val="113"/>
    <w:qFormat/>
    <w:uiPriority w:val="0"/>
    <w:pPr>
      <w:tabs>
        <w:tab w:val="left" w:pos="1140"/>
      </w:tabs>
      <w:ind w:firstLine="560" w:firstLineChars="200"/>
    </w:pPr>
    <w:rPr>
      <w:rFonts w:ascii="Arial" w:hAnsi="Arial"/>
      <w:color w:val="000000"/>
      <w:kern w:val="0"/>
      <w:sz w:val="28"/>
      <w:szCs w:val="24"/>
    </w:rPr>
  </w:style>
  <w:style w:type="paragraph" w:styleId="24">
    <w:name w:val="Balloon Text"/>
    <w:basedOn w:val="1"/>
    <w:link w:val="114"/>
    <w:qFormat/>
    <w:uiPriority w:val="0"/>
    <w:rPr>
      <w:rFonts w:ascii="Calibri" w:hAnsi="Calibri"/>
      <w:sz w:val="18"/>
      <w:szCs w:val="18"/>
    </w:rPr>
  </w:style>
  <w:style w:type="paragraph" w:styleId="25">
    <w:name w:val="footer"/>
    <w:basedOn w:val="1"/>
    <w:link w:val="115"/>
    <w:unhideWhenUsed/>
    <w:qFormat/>
    <w:uiPriority w:val="99"/>
    <w:pPr>
      <w:tabs>
        <w:tab w:val="center" w:pos="4153"/>
        <w:tab w:val="right" w:pos="8306"/>
      </w:tabs>
      <w:snapToGrid w:val="0"/>
      <w:jc w:val="left"/>
    </w:pPr>
    <w:rPr>
      <w:sz w:val="18"/>
      <w:szCs w:val="18"/>
    </w:rPr>
  </w:style>
  <w:style w:type="paragraph" w:styleId="26">
    <w:name w:val="header"/>
    <w:basedOn w:val="1"/>
    <w:link w:val="116"/>
    <w:unhideWhenUsed/>
    <w:qFormat/>
    <w:uiPriority w:val="99"/>
    <w:pPr>
      <w:pBdr>
        <w:bottom w:val="single" w:color="auto" w:sz="6" w:space="1"/>
      </w:pBdr>
      <w:tabs>
        <w:tab w:val="center" w:pos="4153"/>
        <w:tab w:val="right" w:pos="8306"/>
      </w:tabs>
      <w:snapToGrid w:val="0"/>
      <w:jc w:val="center"/>
    </w:pPr>
    <w:rPr>
      <w:sz w:val="18"/>
      <w:szCs w:val="18"/>
    </w:rPr>
  </w:style>
  <w:style w:type="paragraph" w:styleId="27">
    <w:name w:val="toc 1"/>
    <w:basedOn w:val="1"/>
    <w:next w:val="1"/>
    <w:qFormat/>
    <w:uiPriority w:val="39"/>
    <w:pPr>
      <w:spacing w:before="120" w:after="120"/>
      <w:jc w:val="left"/>
    </w:pPr>
    <w:rPr>
      <w:rFonts w:ascii="Calibri" w:hAnsi="Calibri"/>
      <w:b/>
      <w:bCs/>
      <w:caps/>
      <w:sz w:val="20"/>
    </w:rPr>
  </w:style>
  <w:style w:type="paragraph" w:styleId="28">
    <w:name w:val="toc 4"/>
    <w:basedOn w:val="1"/>
    <w:next w:val="1"/>
    <w:qFormat/>
    <w:uiPriority w:val="0"/>
    <w:pPr>
      <w:ind w:left="630"/>
      <w:jc w:val="left"/>
    </w:pPr>
    <w:rPr>
      <w:rFonts w:ascii="Calibri" w:hAnsi="Calibri"/>
      <w:sz w:val="18"/>
      <w:szCs w:val="18"/>
    </w:rPr>
  </w:style>
  <w:style w:type="paragraph" w:styleId="29">
    <w:name w:val="index heading"/>
    <w:basedOn w:val="1"/>
    <w:next w:val="30"/>
    <w:qFormat/>
    <w:uiPriority w:val="0"/>
    <w:rPr>
      <w:rFonts w:hint="eastAsia" w:ascii="Arial" w:hAnsi="Arial"/>
      <w:b/>
    </w:rPr>
  </w:style>
  <w:style w:type="paragraph" w:styleId="30">
    <w:name w:val="index 1"/>
    <w:basedOn w:val="1"/>
    <w:next w:val="1"/>
    <w:qFormat/>
    <w:uiPriority w:val="0"/>
    <w:rPr>
      <w:rFonts w:ascii="Calibri" w:hAnsi="Calibri"/>
      <w:sz w:val="24"/>
      <w:szCs w:val="24"/>
    </w:rPr>
  </w:style>
  <w:style w:type="paragraph" w:styleId="31">
    <w:name w:val="Subtitle"/>
    <w:basedOn w:val="1"/>
    <w:next w:val="1"/>
    <w:link w:val="150"/>
    <w:qFormat/>
    <w:uiPriority w:val="11"/>
    <w:pPr>
      <w:spacing w:before="240" w:after="60" w:line="312" w:lineRule="auto"/>
      <w:jc w:val="center"/>
      <w:outlineLvl w:val="1"/>
    </w:pPr>
    <w:rPr>
      <w:rFonts w:ascii="Calibri Light" w:hAnsi="Calibri Light" w:cs="Times New Roman"/>
      <w:b/>
      <w:bCs/>
      <w:kern w:val="28"/>
      <w:sz w:val="32"/>
      <w:szCs w:val="32"/>
    </w:rPr>
  </w:style>
  <w:style w:type="paragraph" w:styleId="32">
    <w:name w:val="footnote text"/>
    <w:basedOn w:val="1"/>
    <w:link w:val="117"/>
    <w:qFormat/>
    <w:uiPriority w:val="0"/>
    <w:pPr>
      <w:snapToGrid w:val="0"/>
      <w:jc w:val="left"/>
    </w:pPr>
    <w:rPr>
      <w:rFonts w:ascii="Calibri" w:hAnsi="Calibri"/>
      <w:sz w:val="18"/>
      <w:szCs w:val="18"/>
    </w:rPr>
  </w:style>
  <w:style w:type="paragraph" w:styleId="33">
    <w:name w:val="toc 6"/>
    <w:basedOn w:val="1"/>
    <w:next w:val="1"/>
    <w:qFormat/>
    <w:uiPriority w:val="0"/>
    <w:pPr>
      <w:ind w:left="1050"/>
      <w:jc w:val="left"/>
    </w:pPr>
    <w:rPr>
      <w:rFonts w:ascii="Calibri" w:hAnsi="Calibri"/>
      <w:sz w:val="18"/>
      <w:szCs w:val="18"/>
    </w:rPr>
  </w:style>
  <w:style w:type="paragraph" w:styleId="34">
    <w:name w:val="Body Text Indent 3"/>
    <w:basedOn w:val="1"/>
    <w:link w:val="118"/>
    <w:qFormat/>
    <w:uiPriority w:val="0"/>
    <w:pPr>
      <w:ind w:left="360" w:firstLine="480"/>
    </w:pPr>
    <w:rPr>
      <w:rFonts w:ascii="Calibri" w:hAnsi="Calibri"/>
      <w:sz w:val="24"/>
    </w:rPr>
  </w:style>
  <w:style w:type="paragraph" w:styleId="35">
    <w:name w:val="toc 2"/>
    <w:basedOn w:val="1"/>
    <w:next w:val="1"/>
    <w:qFormat/>
    <w:uiPriority w:val="39"/>
    <w:pPr>
      <w:ind w:left="210"/>
      <w:jc w:val="left"/>
    </w:pPr>
    <w:rPr>
      <w:rFonts w:ascii="Calibri" w:hAnsi="Calibri"/>
      <w:smallCaps/>
      <w:sz w:val="20"/>
    </w:rPr>
  </w:style>
  <w:style w:type="paragraph" w:styleId="36">
    <w:name w:val="toc 9"/>
    <w:basedOn w:val="1"/>
    <w:next w:val="1"/>
    <w:qFormat/>
    <w:uiPriority w:val="0"/>
    <w:pPr>
      <w:ind w:left="1680"/>
      <w:jc w:val="left"/>
    </w:pPr>
    <w:rPr>
      <w:rFonts w:ascii="Calibri" w:hAnsi="Calibri"/>
      <w:sz w:val="18"/>
      <w:szCs w:val="18"/>
    </w:rPr>
  </w:style>
  <w:style w:type="paragraph" w:styleId="37">
    <w:name w:val="Body Text 2"/>
    <w:basedOn w:val="1"/>
    <w:link w:val="119"/>
    <w:qFormat/>
    <w:uiPriority w:val="0"/>
    <w:rPr>
      <w:rFonts w:ascii="Arial" w:hAnsi="Arial"/>
      <w:b/>
      <w:bCs/>
      <w:kern w:val="0"/>
      <w:sz w:val="28"/>
      <w:szCs w:val="24"/>
    </w:rPr>
  </w:style>
  <w:style w:type="paragraph" w:styleId="38">
    <w:name w:val="Normal (Web)"/>
    <w:basedOn w:val="1"/>
    <w:qFormat/>
    <w:uiPriority w:val="0"/>
    <w:pPr>
      <w:spacing w:line="300" w:lineRule="auto"/>
    </w:pPr>
    <w:rPr>
      <w:rFonts w:ascii="Calibri" w:hAnsi="Calibri"/>
      <w:sz w:val="24"/>
      <w:szCs w:val="24"/>
    </w:rPr>
  </w:style>
  <w:style w:type="paragraph" w:styleId="39">
    <w:name w:val="Title"/>
    <w:basedOn w:val="1"/>
    <w:next w:val="1"/>
    <w:link w:val="149"/>
    <w:qFormat/>
    <w:uiPriority w:val="10"/>
    <w:pPr>
      <w:spacing w:before="60" w:after="60"/>
      <w:jc w:val="center"/>
      <w:outlineLvl w:val="0"/>
    </w:pPr>
    <w:rPr>
      <w:rFonts w:ascii="Cambria" w:hAnsi="Cambria" w:cs="Times New Roman"/>
      <w:b/>
      <w:bCs/>
      <w:szCs w:val="32"/>
    </w:rPr>
  </w:style>
  <w:style w:type="paragraph" w:styleId="40">
    <w:name w:val="annotation subject"/>
    <w:basedOn w:val="14"/>
    <w:next w:val="14"/>
    <w:link w:val="120"/>
    <w:qFormat/>
    <w:uiPriority w:val="0"/>
    <w:rPr>
      <w:rFonts w:ascii="Calibri" w:hAnsi="Calibri"/>
      <w:b/>
      <w:bCs/>
      <w:szCs w:val="24"/>
    </w:rPr>
  </w:style>
  <w:style w:type="paragraph" w:styleId="41">
    <w:name w:val="Body Text First Indent 2"/>
    <w:basedOn w:val="16"/>
    <w:next w:val="1"/>
    <w:link w:val="121"/>
    <w:qFormat/>
    <w:uiPriority w:val="0"/>
    <w:pPr>
      <w:ind w:firstLine="420" w:firstLineChars="200"/>
    </w:pPr>
    <w:rPr>
      <w:rFonts w:hAnsi="Calibri"/>
      <w:szCs w:val="24"/>
    </w:rPr>
  </w:style>
  <w:style w:type="table" w:styleId="43">
    <w:name w:val="Table Grid"/>
    <w:basedOn w:val="42"/>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45">
    <w:name w:val="Strong"/>
    <w:qFormat/>
    <w:uiPriority w:val="0"/>
    <w:rPr>
      <w:b/>
      <w:bCs/>
    </w:rPr>
  </w:style>
  <w:style w:type="character" w:styleId="46">
    <w:name w:val="page number"/>
    <w:basedOn w:val="44"/>
    <w:qFormat/>
    <w:uiPriority w:val="0"/>
  </w:style>
  <w:style w:type="character" w:styleId="47">
    <w:name w:val="FollowedHyperlink"/>
    <w:qFormat/>
    <w:uiPriority w:val="0"/>
    <w:rPr>
      <w:color w:val="800080"/>
      <w:u w:val="single"/>
    </w:rPr>
  </w:style>
  <w:style w:type="character" w:styleId="48">
    <w:name w:val="Hyperlink"/>
    <w:qFormat/>
    <w:uiPriority w:val="99"/>
    <w:rPr>
      <w:color w:val="0000FF"/>
      <w:u w:val="single"/>
    </w:rPr>
  </w:style>
  <w:style w:type="character" w:styleId="49">
    <w:name w:val="annotation reference"/>
    <w:qFormat/>
    <w:uiPriority w:val="99"/>
    <w:rPr>
      <w:sz w:val="21"/>
      <w:szCs w:val="21"/>
    </w:rPr>
  </w:style>
  <w:style w:type="character" w:styleId="50">
    <w:name w:val="footnote reference"/>
    <w:qFormat/>
    <w:uiPriority w:val="0"/>
    <w:rPr>
      <w:vertAlign w:val="superscript"/>
    </w:rPr>
  </w:style>
  <w:style w:type="paragraph" w:customStyle="1" w:styleId="51">
    <w:name w:val="一级条标题"/>
    <w:basedOn w:val="52"/>
    <w:next w:val="53"/>
    <w:qFormat/>
    <w:uiPriority w:val="0"/>
    <w:pPr>
      <w:spacing w:line="240" w:lineRule="auto"/>
      <w:ind w:left="420"/>
      <w:outlineLvl w:val="2"/>
    </w:pPr>
  </w:style>
  <w:style w:type="paragraph" w:customStyle="1" w:styleId="52">
    <w:name w:val="章标题"/>
    <w:next w:val="1"/>
    <w:qFormat/>
    <w:uiPriority w:val="0"/>
    <w:pPr>
      <w:spacing w:line="360" w:lineRule="auto"/>
      <w:jc w:val="both"/>
      <w:outlineLvl w:val="1"/>
    </w:pPr>
    <w:rPr>
      <w:rFonts w:ascii="黑体" w:hAnsi="Times New Roman" w:eastAsia="黑体" w:cs="Times New Roman"/>
      <w:sz w:val="21"/>
      <w:szCs w:val="22"/>
      <w:lang w:val="en-US" w:eastAsia="zh-CN" w:bidi="ar-SA"/>
    </w:rPr>
  </w:style>
  <w:style w:type="paragraph" w:customStyle="1" w:styleId="53">
    <w:name w:val="段"/>
    <w:next w:val="1"/>
    <w:qFormat/>
    <w:uiPriority w:val="0"/>
    <w:pPr>
      <w:autoSpaceDE w:val="0"/>
      <w:autoSpaceDN w:val="0"/>
      <w:ind w:firstLine="200" w:firstLineChars="200"/>
      <w:jc w:val="both"/>
    </w:pPr>
    <w:rPr>
      <w:rFonts w:ascii="宋体" w:hAnsi="Times New Roman" w:eastAsia="宋体" w:cs="Times New Roman"/>
      <w:sz w:val="21"/>
      <w:szCs w:val="22"/>
      <w:lang w:val="en-US" w:eastAsia="zh-CN" w:bidi="ar-SA"/>
    </w:rPr>
  </w:style>
  <w:style w:type="paragraph" w:customStyle="1" w:styleId="54">
    <w:name w:val="NavPane"/>
    <w:basedOn w:val="1"/>
    <w:next w:val="1"/>
    <w:qFormat/>
    <w:uiPriority w:val="0"/>
    <w:pPr>
      <w:shd w:val="clear" w:color="auto" w:fill="000080"/>
      <w:textAlignment w:val="baseline"/>
    </w:pPr>
    <w:rPr>
      <w:rFonts w:ascii="Calibri" w:hAnsi="Calibri"/>
      <w:szCs w:val="24"/>
    </w:rPr>
  </w:style>
  <w:style w:type="paragraph" w:customStyle="1" w:styleId="55">
    <w:name w:val="_Style 80"/>
    <w:basedOn w:val="1"/>
    <w:next w:val="1"/>
    <w:link w:val="124"/>
    <w:qFormat/>
    <w:uiPriority w:val="0"/>
    <w:pPr>
      <w:widowControl/>
      <w:pBdr>
        <w:top w:val="single" w:color="auto" w:sz="6" w:space="1"/>
      </w:pBdr>
      <w:jc w:val="center"/>
    </w:pPr>
    <w:rPr>
      <w:rFonts w:ascii="Arial" w:hAnsi="Arial" w:cs="Arial"/>
      <w:vanish/>
      <w:kern w:val="0"/>
      <w:sz w:val="16"/>
      <w:szCs w:val="16"/>
    </w:rPr>
  </w:style>
  <w:style w:type="paragraph" w:customStyle="1" w:styleId="56">
    <w:name w:val="_Style 87"/>
    <w:basedOn w:val="1"/>
    <w:next w:val="1"/>
    <w:link w:val="130"/>
    <w:qFormat/>
    <w:uiPriority w:val="0"/>
    <w:pPr>
      <w:widowControl/>
      <w:pBdr>
        <w:bottom w:val="single" w:color="auto" w:sz="6" w:space="1"/>
      </w:pBdr>
      <w:jc w:val="center"/>
    </w:pPr>
    <w:rPr>
      <w:rFonts w:ascii="Arial" w:hAnsi="Arial" w:cs="Arial"/>
      <w:vanish/>
      <w:kern w:val="0"/>
      <w:sz w:val="16"/>
      <w:szCs w:val="16"/>
    </w:rPr>
  </w:style>
  <w:style w:type="paragraph" w:customStyle="1" w:styleId="57">
    <w:name w:val="ptdl"/>
    <w:basedOn w:val="1"/>
    <w:link w:val="134"/>
    <w:qFormat/>
    <w:uiPriority w:val="0"/>
    <w:pPr>
      <w:spacing w:after="156"/>
      <w:ind w:firstLine="480"/>
    </w:pPr>
    <w:rPr>
      <w:kern w:val="0"/>
      <w:sz w:val="24"/>
    </w:rPr>
  </w:style>
  <w:style w:type="paragraph" w:customStyle="1" w:styleId="58">
    <w:name w:val="小标题"/>
    <w:basedOn w:val="1"/>
    <w:next w:val="9"/>
    <w:qFormat/>
    <w:uiPriority w:val="0"/>
    <w:pPr>
      <w:numPr>
        <w:ilvl w:val="0"/>
        <w:numId w:val="2"/>
      </w:numPr>
      <w:tabs>
        <w:tab w:val="left" w:pos="420"/>
      </w:tabs>
      <w:spacing w:beforeLines="50" w:afterLines="50" w:line="360" w:lineRule="auto"/>
      <w:ind w:hanging="200" w:hangingChars="200"/>
    </w:pPr>
    <w:rPr>
      <w:rFonts w:ascii="Arial" w:hAnsi="Arial" w:eastAsia="黑体"/>
      <w:b/>
      <w:sz w:val="28"/>
      <w:szCs w:val="24"/>
    </w:rPr>
  </w:style>
  <w:style w:type="paragraph" w:customStyle="1" w:styleId="59">
    <w:name w:val="Char2"/>
    <w:basedOn w:val="1"/>
    <w:qFormat/>
    <w:uiPriority w:val="0"/>
    <w:rPr>
      <w:rFonts w:ascii="Calibri" w:hAnsi="Calibri"/>
      <w:szCs w:val="24"/>
    </w:rPr>
  </w:style>
  <w:style w:type="paragraph" w:customStyle="1" w:styleId="60">
    <w:name w:val="Char1"/>
    <w:basedOn w:val="1"/>
    <w:qFormat/>
    <w:uiPriority w:val="0"/>
    <w:pPr>
      <w:widowControl/>
      <w:spacing w:after="160" w:line="240" w:lineRule="exact"/>
      <w:jc w:val="left"/>
    </w:pPr>
    <w:rPr>
      <w:rFonts w:ascii="Verdana" w:hAnsi="Verdana" w:eastAsia="仿宋_GB2312"/>
      <w:kern w:val="0"/>
      <w:sz w:val="24"/>
      <w:lang w:eastAsia="en-US"/>
    </w:rPr>
  </w:style>
  <w:style w:type="paragraph" w:customStyle="1" w:styleId="61">
    <w:name w:val="项目排列"/>
    <w:basedOn w:val="1"/>
    <w:qFormat/>
    <w:uiPriority w:val="0"/>
    <w:pPr>
      <w:numPr>
        <w:ilvl w:val="0"/>
        <w:numId w:val="3"/>
      </w:numPr>
      <w:tabs>
        <w:tab w:val="left" w:pos="780"/>
      </w:tabs>
      <w:spacing w:beforeLines="50" w:afterLines="50" w:line="300" w:lineRule="auto"/>
    </w:pPr>
    <w:rPr>
      <w:rFonts w:ascii="Calibri" w:hAnsi="Calibri"/>
      <w:sz w:val="24"/>
      <w:szCs w:val="24"/>
    </w:rPr>
  </w:style>
  <w:style w:type="paragraph" w:customStyle="1" w:styleId="62">
    <w:name w:val="3"/>
    <w:basedOn w:val="1"/>
    <w:next w:val="19"/>
    <w:qFormat/>
    <w:uiPriority w:val="0"/>
    <w:rPr>
      <w:rFonts w:ascii="宋体" w:hAnsi="Courier New" w:cs="Courier New"/>
      <w:szCs w:val="21"/>
    </w:rPr>
  </w:style>
  <w:style w:type="paragraph" w:customStyle="1" w:styleId="63">
    <w:name w:val="Default Paragraph Font Para Char"/>
    <w:basedOn w:val="1"/>
    <w:qFormat/>
    <w:uiPriority w:val="0"/>
    <w:pPr>
      <w:widowControl/>
      <w:spacing w:after="160" w:line="240" w:lineRule="exact"/>
      <w:jc w:val="left"/>
    </w:pPr>
    <w:rPr>
      <w:rFonts w:ascii="Verdana" w:hAnsi="Verdana"/>
      <w:kern w:val="0"/>
      <w:sz w:val="20"/>
      <w:lang w:eastAsia="en-US"/>
    </w:rPr>
  </w:style>
  <w:style w:type="paragraph" w:customStyle="1" w:styleId="64">
    <w:name w:val="一级小标题"/>
    <w:basedOn w:val="2"/>
    <w:qFormat/>
    <w:uiPriority w:val="0"/>
    <w:pPr>
      <w:pageBreakBefore/>
      <w:numPr>
        <w:ilvl w:val="0"/>
        <w:numId w:val="4"/>
      </w:numPr>
      <w:tabs>
        <w:tab w:val="center" w:pos="480"/>
      </w:tabs>
      <w:spacing w:beforeLines="50" w:afterLines="50" w:line="500" w:lineRule="exact"/>
      <w:ind w:left="200" w:leftChars="200" w:firstLine="0"/>
      <w:jc w:val="left"/>
    </w:pPr>
    <w:rPr>
      <w:rFonts w:eastAsia="宋体" w:cs="宋体"/>
      <w:sz w:val="28"/>
      <w:szCs w:val="20"/>
    </w:rPr>
  </w:style>
  <w:style w:type="paragraph" w:customStyle="1" w:styleId="65">
    <w:name w:val="Default"/>
    <w:qFormat/>
    <w:uiPriority w:val="0"/>
    <w:pPr>
      <w:widowControl w:val="0"/>
      <w:autoSpaceDE w:val="0"/>
      <w:autoSpaceDN w:val="0"/>
      <w:adjustRightInd w:val="0"/>
    </w:pPr>
    <w:rPr>
      <w:rFonts w:ascii="宋体" w:hAnsi="Times New Roman" w:eastAsia="宋体" w:cs="Times New Roman"/>
      <w:color w:val="000000"/>
      <w:sz w:val="24"/>
      <w:szCs w:val="24"/>
      <w:lang w:val="en-US" w:eastAsia="zh-CN" w:bidi="ar-SA"/>
    </w:rPr>
  </w:style>
  <w:style w:type="paragraph" w:customStyle="1" w:styleId="66">
    <w:name w:val="Char Char4"/>
    <w:basedOn w:val="1"/>
    <w:qFormat/>
    <w:uiPriority w:val="0"/>
    <w:pPr>
      <w:widowControl/>
      <w:spacing w:after="160" w:line="240" w:lineRule="exact"/>
      <w:jc w:val="left"/>
    </w:pPr>
    <w:rPr>
      <w:rFonts w:ascii="Verdana" w:hAnsi="Verdana" w:eastAsia="仿宋_GB2312"/>
      <w:kern w:val="0"/>
      <w:sz w:val="24"/>
      <w:lang w:eastAsia="en-US"/>
    </w:rPr>
  </w:style>
  <w:style w:type="paragraph" w:customStyle="1" w:styleId="67">
    <w:name w:val="WPSOffice手动目录 1"/>
    <w:qFormat/>
    <w:uiPriority w:val="0"/>
    <w:rPr>
      <w:rFonts w:ascii="Times New Roman" w:hAnsi="Times New Roman" w:eastAsia="宋体" w:cs="Times New Roman"/>
      <w:lang w:val="en-US" w:eastAsia="zh-CN" w:bidi="ar-SA"/>
    </w:rPr>
  </w:style>
  <w:style w:type="paragraph" w:customStyle="1" w:styleId="68">
    <w:name w:val="标3"/>
    <w:basedOn w:val="1"/>
    <w:qFormat/>
    <w:uiPriority w:val="0"/>
    <w:pPr>
      <w:numPr>
        <w:ilvl w:val="2"/>
        <w:numId w:val="5"/>
      </w:numPr>
      <w:tabs>
        <w:tab w:val="left" w:pos="720"/>
        <w:tab w:val="left" w:pos="1740"/>
        <w:tab w:val="clear" w:pos="1260"/>
      </w:tabs>
      <w:adjustRightInd w:val="0"/>
      <w:snapToGrid w:val="0"/>
      <w:spacing w:before="50"/>
      <w:ind w:left="1740"/>
      <w:outlineLvl w:val="2"/>
    </w:pPr>
    <w:rPr>
      <w:rFonts w:ascii="Arial Narrow" w:hAnsi="Arial Narrow" w:eastAsia="仿宋_GB2312"/>
    </w:rPr>
  </w:style>
  <w:style w:type="paragraph" w:customStyle="1" w:styleId="69">
    <w:name w:val="排列"/>
    <w:basedOn w:val="1"/>
    <w:qFormat/>
    <w:uiPriority w:val="0"/>
    <w:pPr>
      <w:numPr>
        <w:ilvl w:val="0"/>
        <w:numId w:val="6"/>
      </w:numPr>
      <w:tabs>
        <w:tab w:val="left" w:pos="1320"/>
      </w:tabs>
      <w:spacing w:line="360" w:lineRule="auto"/>
    </w:pPr>
    <w:rPr>
      <w:rFonts w:ascii="Calibri" w:hAnsi="Calibri"/>
      <w:sz w:val="24"/>
      <w:szCs w:val="24"/>
    </w:rPr>
  </w:style>
  <w:style w:type="paragraph" w:customStyle="1" w:styleId="70">
    <w:name w:val="标题 21"/>
    <w:basedOn w:val="1"/>
    <w:qFormat/>
    <w:uiPriority w:val="0"/>
    <w:rPr>
      <w:rFonts w:ascii="Calibri" w:hAnsi="Calibri"/>
      <w:szCs w:val="24"/>
    </w:rPr>
  </w:style>
  <w:style w:type="paragraph" w:customStyle="1" w:styleId="71">
    <w:name w:val="默认段落字体 Para Char"/>
    <w:basedOn w:val="1"/>
    <w:qFormat/>
    <w:uiPriority w:val="0"/>
    <w:pPr>
      <w:spacing w:line="360" w:lineRule="auto"/>
      <w:jc w:val="left"/>
    </w:pPr>
    <w:rPr>
      <w:rFonts w:ascii="Calibri" w:hAnsi="Calibri" w:eastAsia="仿宋_GB2312"/>
      <w:b/>
      <w:sz w:val="32"/>
      <w:szCs w:val="24"/>
    </w:rPr>
  </w:style>
  <w:style w:type="paragraph" w:customStyle="1" w:styleId="72">
    <w:name w:val="小节标题"/>
    <w:basedOn w:val="1"/>
    <w:next w:val="1"/>
    <w:qFormat/>
    <w:uiPriority w:val="0"/>
    <w:pPr>
      <w:widowControl/>
      <w:spacing w:before="120" w:after="120" w:line="0" w:lineRule="atLeast"/>
      <w:jc w:val="left"/>
      <w:textAlignment w:val="baseline"/>
    </w:pPr>
    <w:rPr>
      <w:rFonts w:ascii="方正大黑简体" w:hAnsi="Arial" w:eastAsia="方正大黑简体"/>
      <w:color w:val="000000"/>
      <w:kern w:val="0"/>
      <w:sz w:val="18"/>
      <w:szCs w:val="18"/>
    </w:rPr>
  </w:style>
  <w:style w:type="paragraph" w:customStyle="1" w:styleId="73">
    <w:name w:val="表头文本"/>
    <w:basedOn w:val="1"/>
    <w:qFormat/>
    <w:uiPriority w:val="0"/>
    <w:pPr>
      <w:autoSpaceDE w:val="0"/>
      <w:autoSpaceDN w:val="0"/>
      <w:adjustRightInd w:val="0"/>
      <w:jc w:val="center"/>
    </w:pPr>
    <w:rPr>
      <w:rFonts w:ascii="Calibri" w:hAnsi="Calibri"/>
      <w:b/>
      <w:kern w:val="0"/>
      <w:sz w:val="24"/>
    </w:rPr>
  </w:style>
  <w:style w:type="paragraph" w:customStyle="1" w:styleId="74">
    <w:name w:val="标题 31"/>
    <w:basedOn w:val="1"/>
    <w:qFormat/>
    <w:uiPriority w:val="0"/>
    <w:rPr>
      <w:rFonts w:ascii="Calibri" w:hAnsi="Calibri"/>
      <w:szCs w:val="24"/>
    </w:rPr>
  </w:style>
  <w:style w:type="paragraph" w:customStyle="1" w:styleId="75">
    <w:name w:val="Char"/>
    <w:basedOn w:val="1"/>
    <w:qFormat/>
    <w:uiPriority w:val="0"/>
    <w:pPr>
      <w:widowControl/>
      <w:spacing w:after="160" w:line="240" w:lineRule="exact"/>
      <w:jc w:val="left"/>
    </w:pPr>
    <w:rPr>
      <w:rFonts w:ascii="Verdana" w:hAnsi="Verdana"/>
      <w:kern w:val="0"/>
      <w:sz w:val="20"/>
      <w:lang w:eastAsia="en-US"/>
    </w:rPr>
  </w:style>
  <w:style w:type="paragraph" w:customStyle="1" w:styleId="76">
    <w:name w:val="样式 标题 3Heading 3 - oldlevel_3PIM 3H3Level 3 Headl3CTprop..."/>
    <w:basedOn w:val="4"/>
    <w:qFormat/>
    <w:uiPriority w:val="0"/>
    <w:pPr>
      <w:numPr>
        <w:ilvl w:val="2"/>
        <w:numId w:val="7"/>
      </w:numPr>
      <w:tabs>
        <w:tab w:val="left" w:pos="425"/>
        <w:tab w:val="left" w:pos="2291"/>
      </w:tabs>
    </w:pPr>
    <w:rPr>
      <w:rFonts w:ascii="宋体" w:hAnsi="宋体" w:eastAsia="宋体"/>
      <w:sz w:val="24"/>
    </w:rPr>
  </w:style>
  <w:style w:type="paragraph" w:customStyle="1" w:styleId="77">
    <w:name w:val="xl25"/>
    <w:basedOn w:val="1"/>
    <w:qFormat/>
    <w:uiPriority w:val="0"/>
    <w:pPr>
      <w:widowControl/>
      <w:spacing w:before="100" w:beforeAutospacing="1" w:after="100" w:afterAutospacing="1"/>
      <w:jc w:val="center"/>
      <w:textAlignment w:val="center"/>
    </w:pPr>
    <w:rPr>
      <w:rFonts w:hint="eastAsia" w:ascii="楷体_GB2312" w:hAnsi="宋体" w:eastAsia="楷体_GB2312"/>
      <w:kern w:val="0"/>
      <w:sz w:val="24"/>
      <w:szCs w:val="24"/>
    </w:rPr>
  </w:style>
  <w:style w:type="paragraph" w:customStyle="1" w:styleId="78">
    <w:name w:val="4"/>
    <w:basedOn w:val="1"/>
    <w:next w:val="19"/>
    <w:qFormat/>
    <w:uiPriority w:val="0"/>
    <w:rPr>
      <w:rFonts w:ascii="宋体" w:hAnsi="Courier New" w:cs="Courier New"/>
      <w:szCs w:val="21"/>
    </w:rPr>
  </w:style>
  <w:style w:type="paragraph" w:customStyle="1" w:styleId="79">
    <w:name w:val="Char Char Char Char"/>
    <w:basedOn w:val="1"/>
    <w:qFormat/>
    <w:uiPriority w:val="0"/>
    <w:pPr>
      <w:widowControl/>
      <w:spacing w:after="160" w:line="240" w:lineRule="exact"/>
      <w:jc w:val="left"/>
    </w:pPr>
    <w:rPr>
      <w:rFonts w:ascii="Verdana" w:hAnsi="Verdana"/>
      <w:kern w:val="0"/>
      <w:sz w:val="20"/>
      <w:lang w:eastAsia="en-US"/>
    </w:rPr>
  </w:style>
  <w:style w:type="paragraph" w:customStyle="1" w:styleId="80">
    <w:name w:val="Char Char Char Char Char Char Char Char Char Char"/>
    <w:basedOn w:val="13"/>
    <w:qFormat/>
    <w:uiPriority w:val="0"/>
    <w:rPr>
      <w:rFonts w:ascii="Tahoma" w:hAnsi="Tahoma" w:eastAsia="楷体_GB2312"/>
      <w:sz w:val="24"/>
    </w:rPr>
  </w:style>
  <w:style w:type="paragraph" w:customStyle="1" w:styleId="81">
    <w:name w:val="Char Char Char"/>
    <w:basedOn w:val="1"/>
    <w:qFormat/>
    <w:uiPriority w:val="0"/>
    <w:pPr>
      <w:widowControl/>
      <w:spacing w:line="400" w:lineRule="exact"/>
      <w:jc w:val="center"/>
    </w:pPr>
    <w:rPr>
      <w:rFonts w:ascii="Verdana" w:hAnsi="Verdana"/>
      <w:kern w:val="0"/>
      <w:lang w:eastAsia="en-US"/>
    </w:rPr>
  </w:style>
  <w:style w:type="paragraph" w:customStyle="1" w:styleId="82">
    <w:name w:val="无间隔1"/>
    <w:basedOn w:val="1"/>
    <w:qFormat/>
    <w:uiPriority w:val="1"/>
    <w:pPr>
      <w:widowControl/>
      <w:jc w:val="left"/>
    </w:pPr>
    <w:rPr>
      <w:rFonts w:ascii="Franklin Gothic Book" w:hAnsi="Franklin Gothic Book" w:eastAsia="黑体"/>
      <w:iCs/>
      <w:kern w:val="0"/>
      <w:sz w:val="20"/>
      <w:lang w:eastAsia="en-US" w:bidi="en-US"/>
    </w:rPr>
  </w:style>
  <w:style w:type="paragraph" w:customStyle="1" w:styleId="83">
    <w:name w:val="样式1"/>
    <w:qFormat/>
    <w:uiPriority w:val="0"/>
    <w:rPr>
      <w:rFonts w:ascii="Times New Roman" w:hAnsi="Times New Roman" w:eastAsia="宋体" w:cs="Times New Roman"/>
      <w:sz w:val="21"/>
      <w:szCs w:val="22"/>
      <w:lang w:val="en-US" w:eastAsia="zh-CN" w:bidi="ar-SA"/>
    </w:rPr>
  </w:style>
  <w:style w:type="paragraph" w:customStyle="1" w:styleId="84">
    <w:name w:val="样式3"/>
    <w:basedOn w:val="19"/>
    <w:qFormat/>
    <w:uiPriority w:val="0"/>
    <w:pPr>
      <w:spacing w:line="0" w:lineRule="atLeast"/>
      <w:outlineLvl w:val="0"/>
    </w:pPr>
    <w:rPr>
      <w:sz w:val="28"/>
      <w:szCs w:val="20"/>
    </w:rPr>
  </w:style>
  <w:style w:type="paragraph" w:customStyle="1" w:styleId="85">
    <w:name w:val="表格文字"/>
    <w:basedOn w:val="1"/>
    <w:qFormat/>
    <w:uiPriority w:val="0"/>
    <w:rPr>
      <w:rFonts w:ascii="Calibri" w:hAnsi="Calibri"/>
      <w:szCs w:val="24"/>
    </w:rPr>
  </w:style>
  <w:style w:type="paragraph" w:customStyle="1" w:styleId="86">
    <w:name w:val="Char Char Char Char Char Char Char Char Char Char Char Char Char Char Char Char Char Char Char Char Char Char Char Char1 Char"/>
    <w:basedOn w:val="1"/>
    <w:qFormat/>
    <w:uiPriority w:val="0"/>
    <w:pPr>
      <w:widowControl/>
      <w:overflowPunct w:val="0"/>
      <w:autoSpaceDE w:val="0"/>
      <w:autoSpaceDN w:val="0"/>
      <w:adjustRightInd w:val="0"/>
      <w:jc w:val="left"/>
      <w:textAlignment w:val="baseline"/>
    </w:pPr>
    <w:rPr>
      <w:rFonts w:ascii="Book Antiqua" w:hAnsi="Book Antiqua"/>
      <w:kern w:val="0"/>
      <w:sz w:val="20"/>
    </w:rPr>
  </w:style>
  <w:style w:type="paragraph" w:customStyle="1" w:styleId="87">
    <w:name w:val="_Style 127"/>
    <w:semiHidden/>
    <w:qFormat/>
    <w:uiPriority w:val="99"/>
    <w:rPr>
      <w:rFonts w:ascii="Times New Roman" w:hAnsi="Times New Roman" w:eastAsia="宋体" w:cs="Times New Roman"/>
      <w:kern w:val="2"/>
      <w:sz w:val="21"/>
      <w:szCs w:val="24"/>
      <w:lang w:val="en-US" w:eastAsia="zh-CN" w:bidi="ar-SA"/>
    </w:rPr>
  </w:style>
  <w:style w:type="paragraph" w:customStyle="1" w:styleId="88">
    <w:name w:val="Char Char Char1"/>
    <w:basedOn w:val="1"/>
    <w:qFormat/>
    <w:uiPriority w:val="0"/>
    <w:rPr>
      <w:rFonts w:ascii="Tahoma" w:hAnsi="Tahoma"/>
      <w:sz w:val="24"/>
    </w:rPr>
  </w:style>
  <w:style w:type="paragraph" w:customStyle="1" w:styleId="89">
    <w:name w:val="列出段落1"/>
    <w:basedOn w:val="1"/>
    <w:qFormat/>
    <w:uiPriority w:val="0"/>
    <w:pPr>
      <w:ind w:firstLine="420" w:firstLineChars="200"/>
    </w:pPr>
    <w:rPr>
      <w:rFonts w:ascii="Calibri" w:hAnsi="Calibri"/>
      <w:szCs w:val="22"/>
    </w:rPr>
  </w:style>
  <w:style w:type="paragraph" w:customStyle="1" w:styleId="90">
    <w:name w:val="List Paragraph"/>
    <w:basedOn w:val="1"/>
    <w:qFormat/>
    <w:uiPriority w:val="34"/>
    <w:pPr>
      <w:ind w:firstLine="420" w:firstLineChars="200"/>
    </w:pPr>
  </w:style>
  <w:style w:type="paragraph" w:customStyle="1" w:styleId="91">
    <w:name w:val="Table Paragraph"/>
    <w:basedOn w:val="1"/>
    <w:qFormat/>
    <w:uiPriority w:val="1"/>
  </w:style>
  <w:style w:type="paragraph" w:customStyle="1" w:styleId="92">
    <w:name w:val="Other|1"/>
    <w:basedOn w:val="1"/>
    <w:qFormat/>
    <w:uiPriority w:val="0"/>
    <w:pPr>
      <w:jc w:val="center"/>
    </w:pPr>
    <w:rPr>
      <w:rFonts w:ascii="宋体" w:hAnsi="宋体" w:cs="宋体"/>
      <w:color w:val="000000"/>
      <w:lang w:val="zh-TW" w:eastAsia="zh-TW" w:bidi="zh-TW"/>
    </w:rPr>
  </w:style>
  <w:style w:type="paragraph" w:customStyle="1" w:styleId="93">
    <w:name w:val="Body text|1"/>
    <w:basedOn w:val="1"/>
    <w:qFormat/>
    <w:uiPriority w:val="0"/>
    <w:pPr>
      <w:spacing w:line="389" w:lineRule="auto"/>
    </w:pPr>
    <w:rPr>
      <w:rFonts w:ascii="宋体" w:hAnsi="宋体" w:cs="宋体"/>
      <w:color w:val="000000"/>
      <w:lang w:val="zh-TW" w:eastAsia="zh-TW" w:bidi="zh-TW"/>
    </w:rPr>
  </w:style>
  <w:style w:type="paragraph" w:customStyle="1" w:styleId="94">
    <w:name w:val="null3"/>
    <w:hidden/>
    <w:qFormat/>
    <w:uiPriority w:val="0"/>
    <w:rPr>
      <w:rFonts w:hint="eastAsia" w:ascii="Calibri" w:hAnsi="Calibri" w:eastAsia="宋体" w:cs="黑体"/>
      <w:lang w:val="en-US" w:eastAsia="zh-CN" w:bidi="ar-SA"/>
    </w:rPr>
  </w:style>
  <w:style w:type="paragraph" w:customStyle="1" w:styleId="95">
    <w:name w:val="Table Text"/>
    <w:basedOn w:val="1"/>
    <w:semiHidden/>
    <w:qFormat/>
    <w:uiPriority w:val="0"/>
    <w:rPr>
      <w:rFonts w:ascii="宋体" w:hAnsi="宋体" w:cs="宋体"/>
      <w:sz w:val="24"/>
      <w:szCs w:val="24"/>
      <w:lang w:eastAsia="en-US"/>
    </w:rPr>
  </w:style>
  <w:style w:type="character" w:customStyle="1" w:styleId="96">
    <w:name w:val="NormalCharacter"/>
    <w:qFormat/>
    <w:uiPriority w:val="0"/>
    <w:rPr>
      <w:rFonts w:ascii="Times New Roman" w:hAnsi="Times New Roman" w:eastAsia="宋体" w:cs="Times New Roman"/>
      <w:kern w:val="2"/>
      <w:sz w:val="21"/>
      <w:lang w:val="en-US" w:eastAsia="zh-CN" w:bidi="ar-SA"/>
    </w:rPr>
  </w:style>
  <w:style w:type="character" w:customStyle="1" w:styleId="97">
    <w:name w:val="标题 1 Char"/>
    <w:link w:val="2"/>
    <w:qFormat/>
    <w:uiPriority w:val="0"/>
    <w:rPr>
      <w:rFonts w:ascii="Calibri" w:hAnsi="Calibri" w:eastAsia="黑体" w:cs="Times New Roman"/>
      <w:b/>
      <w:bCs/>
      <w:kern w:val="44"/>
      <w:sz w:val="32"/>
      <w:szCs w:val="44"/>
    </w:rPr>
  </w:style>
  <w:style w:type="character" w:customStyle="1" w:styleId="98">
    <w:name w:val="标题 2 字符"/>
    <w:qFormat/>
    <w:uiPriority w:val="0"/>
    <w:rPr>
      <w:rFonts w:ascii="Cambria" w:hAnsi="Cambria" w:eastAsia="宋体" w:cs="Times New Roman"/>
      <w:b/>
      <w:bCs/>
      <w:sz w:val="32"/>
      <w:szCs w:val="32"/>
    </w:rPr>
  </w:style>
  <w:style w:type="character" w:customStyle="1" w:styleId="99">
    <w:name w:val="标题 3 Char"/>
    <w:link w:val="4"/>
    <w:qFormat/>
    <w:uiPriority w:val="0"/>
    <w:rPr>
      <w:rFonts w:ascii="Calibri" w:hAnsi="Calibri" w:eastAsia="黑体" w:cs="Times New Roman"/>
      <w:b/>
      <w:bCs/>
      <w:sz w:val="28"/>
      <w:szCs w:val="32"/>
    </w:rPr>
  </w:style>
  <w:style w:type="character" w:customStyle="1" w:styleId="100">
    <w:name w:val="标题 4 Char"/>
    <w:link w:val="5"/>
    <w:qFormat/>
    <w:uiPriority w:val="0"/>
    <w:rPr>
      <w:rFonts w:ascii="Arial" w:hAnsi="Arial" w:eastAsia="宋体" w:cs="Times New Roman"/>
      <w:b/>
      <w:bCs/>
      <w:sz w:val="28"/>
      <w:szCs w:val="28"/>
    </w:rPr>
  </w:style>
  <w:style w:type="character" w:customStyle="1" w:styleId="101">
    <w:name w:val="标题 5 Char"/>
    <w:link w:val="6"/>
    <w:qFormat/>
    <w:uiPriority w:val="0"/>
    <w:rPr>
      <w:rFonts w:ascii="Arial" w:hAnsi="Arial" w:eastAsia="宋体" w:cs="Times New Roman"/>
      <w:sz w:val="28"/>
      <w:szCs w:val="24"/>
    </w:rPr>
  </w:style>
  <w:style w:type="character" w:customStyle="1" w:styleId="102">
    <w:name w:val="标题 6 Char"/>
    <w:link w:val="7"/>
    <w:qFormat/>
    <w:uiPriority w:val="0"/>
    <w:rPr>
      <w:rFonts w:ascii="_GB2312" w:hAnsi="_GB2312" w:eastAsia="宋体" w:cs="Times New Roman"/>
      <w:b/>
      <w:bCs/>
      <w:color w:val="000000"/>
      <w:szCs w:val="24"/>
    </w:rPr>
  </w:style>
  <w:style w:type="character" w:customStyle="1" w:styleId="103">
    <w:name w:val="标题 7 Char"/>
    <w:link w:val="8"/>
    <w:qFormat/>
    <w:uiPriority w:val="0"/>
    <w:rPr>
      <w:rFonts w:ascii="Calibri" w:hAnsi="Calibri" w:eastAsia="宋体" w:cs="Times New Roman"/>
      <w:b/>
      <w:sz w:val="24"/>
      <w:szCs w:val="24"/>
    </w:rPr>
  </w:style>
  <w:style w:type="character" w:customStyle="1" w:styleId="104">
    <w:name w:val="正文缩进 Char"/>
    <w:link w:val="9"/>
    <w:qFormat/>
    <w:uiPriority w:val="0"/>
    <w:rPr>
      <w:szCs w:val="24"/>
    </w:rPr>
  </w:style>
  <w:style w:type="character" w:customStyle="1" w:styleId="105">
    <w:name w:val="标题 8 Char"/>
    <w:link w:val="10"/>
    <w:qFormat/>
    <w:uiPriority w:val="0"/>
    <w:rPr>
      <w:rFonts w:ascii="Arial" w:hAnsi="Arial" w:eastAsia="黑体" w:cs="Times New Roman"/>
      <w:sz w:val="24"/>
      <w:szCs w:val="24"/>
    </w:rPr>
  </w:style>
  <w:style w:type="character" w:customStyle="1" w:styleId="106">
    <w:name w:val="标题 9 Char"/>
    <w:link w:val="11"/>
    <w:qFormat/>
    <w:uiPriority w:val="0"/>
    <w:rPr>
      <w:rFonts w:ascii="Arial" w:hAnsi="Arial" w:eastAsia="黑体" w:cs="Times New Roman"/>
      <w:szCs w:val="24"/>
    </w:rPr>
  </w:style>
  <w:style w:type="character" w:customStyle="1" w:styleId="107">
    <w:name w:val="文档结构图 Char"/>
    <w:link w:val="13"/>
    <w:qFormat/>
    <w:uiPriority w:val="0"/>
    <w:rPr>
      <w:rFonts w:ascii="Calibri" w:hAnsi="Calibri" w:eastAsia="宋体" w:cs="Times New Roman"/>
      <w:szCs w:val="24"/>
      <w:shd w:val="clear" w:color="auto" w:fill="000080"/>
    </w:rPr>
  </w:style>
  <w:style w:type="character" w:customStyle="1" w:styleId="108">
    <w:name w:val="批注文字 Char1"/>
    <w:link w:val="14"/>
    <w:semiHidden/>
    <w:qFormat/>
    <w:uiPriority w:val="99"/>
    <w:rPr>
      <w:rFonts w:ascii="Times New Roman" w:hAnsi="Times New Roman" w:eastAsia="宋体" w:cs="Times New Roman"/>
      <w:szCs w:val="20"/>
    </w:rPr>
  </w:style>
  <w:style w:type="character" w:customStyle="1" w:styleId="109">
    <w:name w:val="正文文本 Char"/>
    <w:link w:val="15"/>
    <w:qFormat/>
    <w:uiPriority w:val="0"/>
    <w:rPr>
      <w:color w:val="FF0000"/>
      <w:szCs w:val="24"/>
    </w:rPr>
  </w:style>
  <w:style w:type="character" w:customStyle="1" w:styleId="110">
    <w:name w:val="正文文本缩进 Char1"/>
    <w:link w:val="16"/>
    <w:semiHidden/>
    <w:qFormat/>
    <w:uiPriority w:val="99"/>
    <w:rPr>
      <w:rFonts w:ascii="Times New Roman" w:hAnsi="Times New Roman" w:eastAsia="宋体" w:cs="Times New Roman"/>
      <w:szCs w:val="20"/>
    </w:rPr>
  </w:style>
  <w:style w:type="character" w:customStyle="1" w:styleId="111">
    <w:name w:val="纯文本 Char"/>
    <w:link w:val="19"/>
    <w:qFormat/>
    <w:uiPriority w:val="0"/>
    <w:rPr>
      <w:rFonts w:ascii="宋体" w:hAnsi="Courier New" w:eastAsia="宋体"/>
      <w:szCs w:val="21"/>
    </w:rPr>
  </w:style>
  <w:style w:type="character" w:customStyle="1" w:styleId="112">
    <w:name w:val="日期 Char"/>
    <w:link w:val="22"/>
    <w:qFormat/>
    <w:uiPriority w:val="0"/>
    <w:rPr>
      <w:sz w:val="28"/>
    </w:rPr>
  </w:style>
  <w:style w:type="character" w:customStyle="1" w:styleId="113">
    <w:name w:val="正文文本缩进 2 Char"/>
    <w:link w:val="23"/>
    <w:qFormat/>
    <w:uiPriority w:val="0"/>
    <w:rPr>
      <w:rFonts w:ascii="Arial" w:hAnsi="Arial"/>
      <w:color w:val="000000"/>
      <w:sz w:val="28"/>
      <w:szCs w:val="24"/>
    </w:rPr>
  </w:style>
  <w:style w:type="character" w:customStyle="1" w:styleId="114">
    <w:name w:val="批注框文本 Char"/>
    <w:link w:val="24"/>
    <w:qFormat/>
    <w:uiPriority w:val="0"/>
    <w:rPr>
      <w:rFonts w:ascii="Calibri" w:hAnsi="Calibri" w:eastAsia="宋体" w:cs="Times New Roman"/>
      <w:sz w:val="18"/>
      <w:szCs w:val="18"/>
    </w:rPr>
  </w:style>
  <w:style w:type="character" w:customStyle="1" w:styleId="115">
    <w:name w:val="页脚 Char"/>
    <w:link w:val="25"/>
    <w:qFormat/>
    <w:uiPriority w:val="99"/>
    <w:rPr>
      <w:sz w:val="18"/>
      <w:szCs w:val="18"/>
    </w:rPr>
  </w:style>
  <w:style w:type="character" w:customStyle="1" w:styleId="116">
    <w:name w:val="页眉 Char"/>
    <w:link w:val="26"/>
    <w:qFormat/>
    <w:uiPriority w:val="99"/>
    <w:rPr>
      <w:sz w:val="18"/>
      <w:szCs w:val="18"/>
    </w:rPr>
  </w:style>
  <w:style w:type="character" w:customStyle="1" w:styleId="117">
    <w:name w:val="脚注文本 Char"/>
    <w:link w:val="32"/>
    <w:qFormat/>
    <w:uiPriority w:val="0"/>
    <w:rPr>
      <w:rFonts w:ascii="Calibri" w:hAnsi="Calibri" w:eastAsia="宋体" w:cs="Times New Roman"/>
      <w:sz w:val="18"/>
      <w:szCs w:val="18"/>
    </w:rPr>
  </w:style>
  <w:style w:type="character" w:customStyle="1" w:styleId="118">
    <w:name w:val="正文文本缩进 3 Char"/>
    <w:link w:val="34"/>
    <w:qFormat/>
    <w:uiPriority w:val="0"/>
    <w:rPr>
      <w:rFonts w:ascii="Calibri" w:hAnsi="Calibri" w:eastAsia="宋体" w:cs="Times New Roman"/>
      <w:sz w:val="24"/>
      <w:szCs w:val="20"/>
    </w:rPr>
  </w:style>
  <w:style w:type="character" w:customStyle="1" w:styleId="119">
    <w:name w:val="正文文本 2 Char"/>
    <w:link w:val="37"/>
    <w:qFormat/>
    <w:uiPriority w:val="0"/>
    <w:rPr>
      <w:rFonts w:ascii="Arial" w:hAnsi="Arial"/>
      <w:b/>
      <w:bCs/>
      <w:sz w:val="28"/>
      <w:szCs w:val="24"/>
    </w:rPr>
  </w:style>
  <w:style w:type="character" w:customStyle="1" w:styleId="120">
    <w:name w:val="批注主题 Char"/>
    <w:link w:val="40"/>
    <w:qFormat/>
    <w:uiPriority w:val="0"/>
    <w:rPr>
      <w:rFonts w:ascii="Calibri" w:hAnsi="Calibri" w:eastAsia="宋体" w:cs="Times New Roman"/>
      <w:b/>
      <w:bCs/>
      <w:szCs w:val="24"/>
    </w:rPr>
  </w:style>
  <w:style w:type="character" w:customStyle="1" w:styleId="121">
    <w:name w:val="正文首行缩进 2 Char"/>
    <w:link w:val="41"/>
    <w:qFormat/>
    <w:uiPriority w:val="0"/>
    <w:rPr>
      <w:rFonts w:ascii="Times New Roman" w:hAnsi="Calibri" w:eastAsia="宋体" w:cs="Times New Roman"/>
      <w:szCs w:val="24"/>
    </w:rPr>
  </w:style>
  <w:style w:type="character" w:customStyle="1" w:styleId="122">
    <w:name w:val="批注文字 Char"/>
    <w:qFormat/>
    <w:uiPriority w:val="0"/>
    <w:rPr>
      <w:kern w:val="2"/>
      <w:sz w:val="21"/>
      <w:szCs w:val="24"/>
    </w:rPr>
  </w:style>
  <w:style w:type="character" w:customStyle="1" w:styleId="123">
    <w:name w:val="yqlink"/>
    <w:basedOn w:val="44"/>
    <w:qFormat/>
    <w:uiPriority w:val="0"/>
  </w:style>
  <w:style w:type="character" w:customStyle="1" w:styleId="124">
    <w:name w:val="z-窗体底端 字符"/>
    <w:link w:val="55"/>
    <w:qFormat/>
    <w:uiPriority w:val="0"/>
    <w:rPr>
      <w:rFonts w:ascii="Arial" w:hAnsi="Arial" w:eastAsia="宋体" w:cs="Arial"/>
      <w:vanish/>
      <w:kern w:val="0"/>
      <w:sz w:val="16"/>
      <w:szCs w:val="16"/>
    </w:rPr>
  </w:style>
  <w:style w:type="character" w:customStyle="1" w:styleId="125">
    <w:name w:val="Texte Char Char"/>
    <w:qFormat/>
    <w:uiPriority w:val="0"/>
    <w:rPr>
      <w:rFonts w:ascii="宋体" w:hAnsi="Courier New" w:eastAsia="宋体" w:cs="Courier New"/>
      <w:szCs w:val="21"/>
    </w:rPr>
  </w:style>
  <w:style w:type="character" w:customStyle="1" w:styleId="126">
    <w:name w:val="正文文本 Char1"/>
    <w:semiHidden/>
    <w:qFormat/>
    <w:uiPriority w:val="99"/>
    <w:rPr>
      <w:rFonts w:ascii="Times New Roman" w:hAnsi="Times New Roman" w:eastAsia="宋体" w:cs="Times New Roman"/>
      <w:szCs w:val="20"/>
    </w:rPr>
  </w:style>
  <w:style w:type="character" w:customStyle="1" w:styleId="127">
    <w:name w:val="正文文本 2 Char1"/>
    <w:semiHidden/>
    <w:qFormat/>
    <w:uiPriority w:val="99"/>
    <w:rPr>
      <w:rFonts w:ascii="Times New Roman" w:hAnsi="Times New Roman" w:eastAsia="宋体" w:cs="Times New Roman"/>
      <w:szCs w:val="20"/>
    </w:rPr>
  </w:style>
  <w:style w:type="character" w:customStyle="1" w:styleId="128">
    <w:name w:val="纯文本 Char2"/>
    <w:semiHidden/>
    <w:qFormat/>
    <w:uiPriority w:val="99"/>
    <w:rPr>
      <w:rFonts w:ascii="宋体" w:hAnsi="Courier New" w:eastAsia="宋体" w:cs="Courier New"/>
      <w:szCs w:val="21"/>
    </w:rPr>
  </w:style>
  <w:style w:type="character" w:customStyle="1" w:styleId="129">
    <w:name w:val="content1"/>
    <w:qFormat/>
    <w:uiPriority w:val="0"/>
    <w:rPr>
      <w:spacing w:val="360"/>
      <w:sz w:val="18"/>
      <w:szCs w:val="18"/>
    </w:rPr>
  </w:style>
  <w:style w:type="character" w:customStyle="1" w:styleId="130">
    <w:name w:val="z-窗体顶端 字符"/>
    <w:link w:val="56"/>
    <w:qFormat/>
    <w:uiPriority w:val="0"/>
    <w:rPr>
      <w:rFonts w:ascii="Arial" w:hAnsi="Arial" w:eastAsia="宋体" w:cs="Arial"/>
      <w:vanish/>
      <w:kern w:val="0"/>
      <w:sz w:val="16"/>
      <w:szCs w:val="16"/>
    </w:rPr>
  </w:style>
  <w:style w:type="character" w:customStyle="1" w:styleId="131">
    <w:name w:val="txt"/>
    <w:basedOn w:val="44"/>
    <w:qFormat/>
    <w:uiPriority w:val="0"/>
  </w:style>
  <w:style w:type="character" w:customStyle="1" w:styleId="132">
    <w:name w:val="正文文本缩进 2 Char1"/>
    <w:semiHidden/>
    <w:qFormat/>
    <w:uiPriority w:val="99"/>
    <w:rPr>
      <w:rFonts w:ascii="Times New Roman" w:hAnsi="Times New Roman" w:eastAsia="宋体" w:cs="Times New Roman"/>
      <w:szCs w:val="20"/>
    </w:rPr>
  </w:style>
  <w:style w:type="character" w:customStyle="1" w:styleId="133">
    <w:name w:val="title21"/>
    <w:qFormat/>
    <w:uiPriority w:val="0"/>
    <w:rPr>
      <w:b/>
      <w:bCs/>
      <w:color w:val="000000"/>
      <w:sz w:val="20"/>
      <w:szCs w:val="20"/>
      <w:u w:val="none"/>
    </w:rPr>
  </w:style>
  <w:style w:type="character" w:customStyle="1" w:styleId="134">
    <w:name w:val="ptdl Char"/>
    <w:link w:val="57"/>
    <w:qFormat/>
    <w:uiPriority w:val="0"/>
    <w:rPr>
      <w:sz w:val="24"/>
    </w:rPr>
  </w:style>
  <w:style w:type="character" w:customStyle="1" w:styleId="135">
    <w:name w:val="apple-converted-space"/>
    <w:qFormat/>
    <w:uiPriority w:val="0"/>
    <w:rPr>
      <w:rFonts w:cs="Times New Roman"/>
    </w:rPr>
  </w:style>
  <w:style w:type="character" w:customStyle="1" w:styleId="136">
    <w:name w:val="日期 Char1"/>
    <w:semiHidden/>
    <w:qFormat/>
    <w:uiPriority w:val="99"/>
    <w:rPr>
      <w:rFonts w:ascii="Times New Roman" w:hAnsi="Times New Roman" w:eastAsia="宋体" w:cs="Times New Roman"/>
      <w:szCs w:val="20"/>
    </w:rPr>
  </w:style>
  <w:style w:type="character" w:customStyle="1" w:styleId="137">
    <w:name w:val="纯文本 Char1"/>
    <w:qFormat/>
    <w:uiPriority w:val="0"/>
    <w:rPr>
      <w:rFonts w:ascii="宋体" w:hAnsi="Courier New" w:eastAsia="宋体"/>
      <w:kern w:val="2"/>
      <w:sz w:val="21"/>
      <w:szCs w:val="21"/>
      <w:lang w:val="en-US" w:eastAsia="zh-CN" w:bidi="ar-SA"/>
    </w:rPr>
  </w:style>
  <w:style w:type="character" w:customStyle="1" w:styleId="138">
    <w:name w:val="16"/>
    <w:qFormat/>
    <w:uiPriority w:val="0"/>
    <w:rPr>
      <w:rFonts w:hint="default" w:ascii="Verdana" w:hAnsi="Verdana" w:cs="Verdana"/>
      <w:color w:val="0000FF"/>
      <w:sz w:val="20"/>
      <w:szCs w:val="20"/>
      <w:u w:val="single"/>
    </w:rPr>
  </w:style>
  <w:style w:type="character" w:customStyle="1" w:styleId="139">
    <w:name w:val="正文文本缩进 Char"/>
    <w:qFormat/>
    <w:uiPriority w:val="0"/>
    <w:rPr>
      <w:rFonts w:ascii="宋体"/>
      <w:kern w:val="2"/>
      <w:sz w:val="28"/>
      <w:szCs w:val="24"/>
    </w:rPr>
  </w:style>
  <w:style w:type="character" w:customStyle="1" w:styleId="140">
    <w:name w:val="font71"/>
    <w:basedOn w:val="44"/>
    <w:qFormat/>
    <w:uiPriority w:val="0"/>
    <w:rPr>
      <w:rFonts w:hint="eastAsia" w:ascii="微软雅黑" w:hAnsi="微软雅黑" w:eastAsia="微软雅黑" w:cs="微软雅黑"/>
      <w:color w:val="000000"/>
      <w:sz w:val="16"/>
      <w:szCs w:val="16"/>
      <w:u w:val="none"/>
    </w:rPr>
  </w:style>
  <w:style w:type="character" w:customStyle="1" w:styleId="141">
    <w:name w:val="font81"/>
    <w:basedOn w:val="44"/>
    <w:qFormat/>
    <w:uiPriority w:val="0"/>
    <w:rPr>
      <w:rFonts w:hint="eastAsia" w:ascii="微软雅黑" w:hAnsi="微软雅黑" w:eastAsia="微软雅黑" w:cs="微软雅黑"/>
      <w:b/>
      <w:bCs/>
      <w:color w:val="000000"/>
      <w:sz w:val="16"/>
      <w:szCs w:val="16"/>
      <w:u w:val="none"/>
    </w:rPr>
  </w:style>
  <w:style w:type="character" w:customStyle="1" w:styleId="142">
    <w:name w:val="标题 2 Char"/>
    <w:link w:val="3"/>
    <w:qFormat/>
    <w:uiPriority w:val="0"/>
    <w:rPr>
      <w:rFonts w:ascii="Arial" w:hAnsi="Arial" w:eastAsia="黑体"/>
      <w:b/>
      <w:bCs/>
      <w:kern w:val="2"/>
      <w:sz w:val="30"/>
      <w:szCs w:val="32"/>
      <w:lang w:val="en-US" w:eastAsia="zh-CN" w:bidi="ar-SA"/>
    </w:rPr>
  </w:style>
  <w:style w:type="character" w:customStyle="1" w:styleId="143">
    <w:name w:val="Placeholder Text"/>
    <w:basedOn w:val="44"/>
    <w:semiHidden/>
    <w:qFormat/>
    <w:uiPriority w:val="99"/>
    <w:rPr>
      <w:color w:val="808080"/>
    </w:rPr>
  </w:style>
  <w:style w:type="paragraph" w:customStyle="1" w:styleId="144">
    <w:name w:val="1.正文"/>
    <w:basedOn w:val="1"/>
    <w:next w:val="1"/>
    <w:qFormat/>
    <w:uiPriority w:val="99"/>
    <w:rPr>
      <w:rFonts w:hAnsi="Times New Roman"/>
    </w:rPr>
  </w:style>
  <w:style w:type="character" w:customStyle="1" w:styleId="145">
    <w:name w:val="font41"/>
    <w:basedOn w:val="44"/>
    <w:qFormat/>
    <w:uiPriority w:val="0"/>
    <w:rPr>
      <w:rFonts w:hint="default" w:ascii="仿宋_GB2312" w:eastAsia="仿宋_GB2312" w:cs="仿宋_GB2312"/>
      <w:color w:val="000000"/>
      <w:sz w:val="18"/>
      <w:szCs w:val="18"/>
      <w:u w:val="none"/>
    </w:rPr>
  </w:style>
  <w:style w:type="character" w:customStyle="1" w:styleId="146">
    <w:name w:val="font61"/>
    <w:basedOn w:val="44"/>
    <w:qFormat/>
    <w:uiPriority w:val="0"/>
    <w:rPr>
      <w:rFonts w:hint="default" w:ascii="仿宋_GB2312" w:eastAsia="仿宋_GB2312" w:cs="仿宋_GB2312"/>
      <w:color w:val="FF0000"/>
      <w:sz w:val="18"/>
      <w:szCs w:val="18"/>
      <w:u w:val="none"/>
    </w:rPr>
  </w:style>
  <w:style w:type="character" w:customStyle="1" w:styleId="147">
    <w:name w:val="font11"/>
    <w:basedOn w:val="44"/>
    <w:qFormat/>
    <w:uiPriority w:val="0"/>
    <w:rPr>
      <w:rFonts w:hint="eastAsia" w:ascii="宋体" w:hAnsi="宋体" w:eastAsia="宋体" w:cs="宋体"/>
      <w:color w:val="000000"/>
      <w:sz w:val="18"/>
      <w:szCs w:val="18"/>
      <w:u w:val="none"/>
    </w:rPr>
  </w:style>
  <w:style w:type="paragraph" w:customStyle="1" w:styleId="148">
    <w:name w:val="p0"/>
    <w:basedOn w:val="1"/>
    <w:qFormat/>
    <w:uiPriority w:val="0"/>
    <w:pPr>
      <w:jc w:val="both"/>
    </w:pPr>
    <w:rPr>
      <w:rFonts w:ascii="Times New Roman" w:hAnsi="Times New Roman" w:cs="Times New Roman"/>
      <w:sz w:val="21"/>
      <w:szCs w:val="21"/>
    </w:rPr>
  </w:style>
  <w:style w:type="character" w:customStyle="1" w:styleId="149">
    <w:name w:val="标题 Char"/>
    <w:link w:val="39"/>
    <w:qFormat/>
    <w:uiPriority w:val="10"/>
    <w:rPr>
      <w:rFonts w:ascii="Cambria" w:hAnsi="Cambria" w:cs="Times New Roman"/>
      <w:b/>
      <w:bCs/>
      <w:szCs w:val="32"/>
    </w:rPr>
  </w:style>
  <w:style w:type="character" w:customStyle="1" w:styleId="150">
    <w:name w:val="副标题 Char"/>
    <w:link w:val="31"/>
    <w:qFormat/>
    <w:uiPriority w:val="11"/>
    <w:rPr>
      <w:rFonts w:ascii="Calibri Light" w:hAnsi="Calibri Light" w:cs="Times New Roman"/>
      <w:b/>
      <w:bCs/>
      <w:kern w:val="28"/>
      <w:sz w:val="32"/>
      <w:szCs w:val="32"/>
    </w:rPr>
  </w:style>
  <w:style w:type="paragraph" w:customStyle="1" w:styleId="151">
    <w:name w:val="列出段落2"/>
    <w:basedOn w:val="1"/>
    <w:qFormat/>
    <w:uiPriority w:val="34"/>
    <w:pPr>
      <w:ind w:firstLine="420" w:firstLineChars="200"/>
    </w:pPr>
  </w:style>
  <w:style w:type="paragraph" w:customStyle="1" w:styleId="152">
    <w:name w:val="reader-word-layer"/>
    <w:basedOn w:val="1"/>
    <w:qFormat/>
    <w:uiPriority w:val="0"/>
    <w:pPr>
      <w:widowControl/>
      <w:spacing w:before="100" w:beforeAutospacing="1" w:after="100" w:afterAutospacing="1"/>
      <w:jc w:val="left"/>
    </w:pPr>
    <w:rPr>
      <w:rFonts w:ascii="宋体" w:hAnsi="宋体" w:cs="宋体"/>
      <w:kern w:val="0"/>
      <w:sz w:val="24"/>
    </w:rPr>
  </w:style>
  <w:style w:type="paragraph" w:customStyle="1" w:styleId="153">
    <w:name w:val="公文编号 1"/>
    <w:basedOn w:val="1"/>
    <w:qFormat/>
    <w:uiPriority w:val="0"/>
    <w:pPr>
      <w:numPr>
        <w:ilvl w:val="0"/>
        <w:numId w:val="8"/>
      </w:numPr>
      <w:overflowPunct w:val="0"/>
      <w:topLinePunct/>
    </w:pPr>
    <w:rPr>
      <w:rFonts w:ascii="Times New Roman" w:hAnsi="Times New Roman" w:eastAsia="黑体"/>
      <w:sz w:val="32"/>
      <w:szCs w:val="32"/>
    </w:rPr>
  </w:style>
</w:styles>
</file>

<file path=word/_rels/document.xml.rels><?xml version="1.0" encoding="UTF-8" standalone="yes"?>
<Relationships xmlns="http://schemas.openxmlformats.org/package/2006/relationships"><Relationship Id="rId9" Type="http://schemas.openxmlformats.org/officeDocument/2006/relationships/header" Target="header5.xml"/><Relationship Id="rId8" Type="http://schemas.openxmlformats.org/officeDocument/2006/relationships/header" Target="header4.xml"/><Relationship Id="rId7" Type="http://schemas.openxmlformats.org/officeDocument/2006/relationships/header" Target="header3.xml"/><Relationship Id="rId68" Type="http://schemas.microsoft.com/office/2011/relationships/people" Target="people.xml"/><Relationship Id="rId67" Type="http://schemas.openxmlformats.org/officeDocument/2006/relationships/fontTable" Target="fontTable.xml"/><Relationship Id="rId66" Type="http://schemas.openxmlformats.org/officeDocument/2006/relationships/numbering" Target="numbering.xml"/><Relationship Id="rId65" Type="http://schemas.openxmlformats.org/officeDocument/2006/relationships/customXml" Target="../customXml/item1.xml"/><Relationship Id="rId64" Type="http://schemas.openxmlformats.org/officeDocument/2006/relationships/theme" Target="theme/theme1.xml"/><Relationship Id="rId63" Type="http://schemas.openxmlformats.org/officeDocument/2006/relationships/footer" Target="footer31.xml"/><Relationship Id="rId62" Type="http://schemas.openxmlformats.org/officeDocument/2006/relationships/footer" Target="footer30.xml"/><Relationship Id="rId61" Type="http://schemas.openxmlformats.org/officeDocument/2006/relationships/header" Target="header30.xml"/><Relationship Id="rId60" Type="http://schemas.openxmlformats.org/officeDocument/2006/relationships/footer" Target="footer29.xml"/><Relationship Id="rId6" Type="http://schemas.openxmlformats.org/officeDocument/2006/relationships/footer" Target="footer2.xml"/><Relationship Id="rId59" Type="http://schemas.openxmlformats.org/officeDocument/2006/relationships/footer" Target="footer28.xml"/><Relationship Id="rId58" Type="http://schemas.openxmlformats.org/officeDocument/2006/relationships/footer" Target="footer27.xml"/><Relationship Id="rId57" Type="http://schemas.openxmlformats.org/officeDocument/2006/relationships/header" Target="header29.xml"/><Relationship Id="rId56" Type="http://schemas.openxmlformats.org/officeDocument/2006/relationships/header" Target="header28.xml"/><Relationship Id="rId55" Type="http://schemas.openxmlformats.org/officeDocument/2006/relationships/header" Target="header27.xml"/><Relationship Id="rId54" Type="http://schemas.openxmlformats.org/officeDocument/2006/relationships/footer" Target="footer26.xml"/><Relationship Id="rId53" Type="http://schemas.openxmlformats.org/officeDocument/2006/relationships/footer" Target="footer25.xml"/><Relationship Id="rId52" Type="http://schemas.openxmlformats.org/officeDocument/2006/relationships/footer" Target="footer24.xml"/><Relationship Id="rId51" Type="http://schemas.openxmlformats.org/officeDocument/2006/relationships/header" Target="header26.xml"/><Relationship Id="rId50" Type="http://schemas.openxmlformats.org/officeDocument/2006/relationships/header" Target="header25.xml"/><Relationship Id="rId5" Type="http://schemas.openxmlformats.org/officeDocument/2006/relationships/footer" Target="footer1.xml"/><Relationship Id="rId49" Type="http://schemas.openxmlformats.org/officeDocument/2006/relationships/header" Target="header24.xml"/><Relationship Id="rId48" Type="http://schemas.openxmlformats.org/officeDocument/2006/relationships/footer" Target="footer23.xml"/><Relationship Id="rId47" Type="http://schemas.openxmlformats.org/officeDocument/2006/relationships/footer" Target="footer22.xml"/><Relationship Id="rId46" Type="http://schemas.openxmlformats.org/officeDocument/2006/relationships/footer" Target="footer21.xml"/><Relationship Id="rId45" Type="http://schemas.openxmlformats.org/officeDocument/2006/relationships/header" Target="header23.xml"/><Relationship Id="rId44" Type="http://schemas.openxmlformats.org/officeDocument/2006/relationships/header" Target="header22.xml"/><Relationship Id="rId43" Type="http://schemas.openxmlformats.org/officeDocument/2006/relationships/header" Target="header21.xml"/><Relationship Id="rId42" Type="http://schemas.openxmlformats.org/officeDocument/2006/relationships/footer" Target="footer20.xml"/><Relationship Id="rId41" Type="http://schemas.openxmlformats.org/officeDocument/2006/relationships/footer" Target="footer19.xml"/><Relationship Id="rId40" Type="http://schemas.openxmlformats.org/officeDocument/2006/relationships/footer" Target="footer18.xml"/><Relationship Id="rId4" Type="http://schemas.openxmlformats.org/officeDocument/2006/relationships/header" Target="header2.xml"/><Relationship Id="rId39" Type="http://schemas.openxmlformats.org/officeDocument/2006/relationships/header" Target="header20.xml"/><Relationship Id="rId38" Type="http://schemas.openxmlformats.org/officeDocument/2006/relationships/header" Target="header19.xml"/><Relationship Id="rId37" Type="http://schemas.openxmlformats.org/officeDocument/2006/relationships/header" Target="header18.xml"/><Relationship Id="rId36" Type="http://schemas.openxmlformats.org/officeDocument/2006/relationships/footer" Target="footer17.xml"/><Relationship Id="rId35" Type="http://schemas.openxmlformats.org/officeDocument/2006/relationships/footer" Target="footer16.xml"/><Relationship Id="rId34" Type="http://schemas.openxmlformats.org/officeDocument/2006/relationships/footer" Target="footer15.xml"/><Relationship Id="rId33" Type="http://schemas.openxmlformats.org/officeDocument/2006/relationships/header" Target="header17.xml"/><Relationship Id="rId32" Type="http://schemas.openxmlformats.org/officeDocument/2006/relationships/header" Target="header16.xml"/><Relationship Id="rId31" Type="http://schemas.openxmlformats.org/officeDocument/2006/relationships/header" Target="header15.xml"/><Relationship Id="rId30" Type="http://schemas.openxmlformats.org/officeDocument/2006/relationships/footer" Target="footer14.xml"/><Relationship Id="rId3" Type="http://schemas.openxmlformats.org/officeDocument/2006/relationships/header" Target="header1.xml"/><Relationship Id="rId29" Type="http://schemas.openxmlformats.org/officeDocument/2006/relationships/footer" Target="footer13.xml"/><Relationship Id="rId28" Type="http://schemas.openxmlformats.org/officeDocument/2006/relationships/footer" Target="footer12.xml"/><Relationship Id="rId27" Type="http://schemas.openxmlformats.org/officeDocument/2006/relationships/header" Target="header14.xml"/><Relationship Id="rId26" Type="http://schemas.openxmlformats.org/officeDocument/2006/relationships/header" Target="header13.xml"/><Relationship Id="rId25" Type="http://schemas.openxmlformats.org/officeDocument/2006/relationships/header" Target="header12.xml"/><Relationship Id="rId24" Type="http://schemas.openxmlformats.org/officeDocument/2006/relationships/footer" Target="footer11.xml"/><Relationship Id="rId23" Type="http://schemas.openxmlformats.org/officeDocument/2006/relationships/footer" Target="footer10.xml"/><Relationship Id="rId22" Type="http://schemas.openxmlformats.org/officeDocument/2006/relationships/footer" Target="footer9.xml"/><Relationship Id="rId21" Type="http://schemas.openxmlformats.org/officeDocument/2006/relationships/header" Target="header11.xml"/><Relationship Id="rId20" Type="http://schemas.openxmlformats.org/officeDocument/2006/relationships/header" Target="header10.xml"/><Relationship Id="rId2" Type="http://schemas.openxmlformats.org/officeDocument/2006/relationships/settings" Target="settings.xml"/><Relationship Id="rId19" Type="http://schemas.openxmlformats.org/officeDocument/2006/relationships/header" Target="header9.xml"/><Relationship Id="rId18" Type="http://schemas.openxmlformats.org/officeDocument/2006/relationships/footer" Target="footer8.xml"/><Relationship Id="rId17" Type="http://schemas.openxmlformats.org/officeDocument/2006/relationships/footer" Target="footer7.xml"/><Relationship Id="rId16" Type="http://schemas.openxmlformats.org/officeDocument/2006/relationships/footer" Target="footer6.xml"/><Relationship Id="rId15" Type="http://schemas.openxmlformats.org/officeDocument/2006/relationships/header" Target="header8.xml"/><Relationship Id="rId14" Type="http://schemas.openxmlformats.org/officeDocument/2006/relationships/header" Target="header7.xml"/><Relationship Id="rId13" Type="http://schemas.openxmlformats.org/officeDocument/2006/relationships/header" Target="header6.xml"/><Relationship Id="rId12" Type="http://schemas.openxmlformats.org/officeDocument/2006/relationships/footer" Target="footer5.xml"/><Relationship Id="rId11" Type="http://schemas.openxmlformats.org/officeDocument/2006/relationships/footer" Target="footer4.xml"/><Relationship Id="rId10" Type="http://schemas.openxmlformats.org/officeDocument/2006/relationships/footer" Target="footer3.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74</Pages>
  <Words>30850</Words>
  <Characters>31572</Characters>
  <Lines>274</Lines>
  <Paragraphs>77</Paragraphs>
  <TotalTime>7</TotalTime>
  <ScaleCrop>false</ScaleCrop>
  <LinksUpToDate>false</LinksUpToDate>
  <CharactersWithSpaces>32240</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2022-12-21T03:08:00Z</dcterms:created>
  <dc:creator>FAN</dc:creator>
  <cp:lastModifiedBy>秦岳</cp:lastModifiedBy>
  <cp:lastPrinted>2025-11-11T11:33:00Z</cp:lastPrinted>
  <dcterms:modified xsi:type="dcterms:W3CDTF">2025-12-25T09:39:51Z</dcterms:modified>
  <dc:title>询 价 文 件</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4F35962EE6B84BC58C6A2CDF94AF25EB_13</vt:lpwstr>
  </property>
  <property fmtid="{D5CDD505-2E9C-101B-9397-08002B2CF9AE}" pid="4" name="KSOTemplateDocerSaveRecord">
    <vt:lpwstr>eyJoZGlkIjoiY2I4ZTE5ODk4OTk3ZmVlYjE4ZWI4MDA2OTY3OTZkMjQiLCJ1c2VySWQiOiIyMjkyNDk5MjAifQ==</vt:lpwstr>
  </property>
</Properties>
</file>