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GTWY2026-001</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rPr>
          <w:rFonts w:ascii="宋体" w:hAnsi="宋体" w:cs="宋体"/>
          <w:color w:val="auto"/>
          <w:sz w:val="30"/>
          <w:szCs w:val="30"/>
          <w:highlight w:val="none"/>
        </w:rPr>
      </w:pPr>
    </w:p>
    <w:p w14:paraId="0B18629C">
      <w:pPr>
        <w:ind w:firstLine="0" w:firstLineChars="0"/>
        <w:jc w:val="left"/>
        <w:rPr>
          <w:rFonts w:hint="eastAsia" w:ascii="宋体" w:hAnsi="宋体" w:cs="宋体"/>
          <w:color w:val="auto"/>
          <w:spacing w:val="0"/>
          <w:sz w:val="30"/>
          <w:szCs w:val="30"/>
          <w:highlight w:val="none"/>
          <w:u w:val="single"/>
        </w:rPr>
      </w:pPr>
      <w:r>
        <w:rPr>
          <w:rFonts w:hint="eastAsia" w:ascii="宋体" w:hAnsi="宋体" w:cs="宋体"/>
          <w:color w:val="auto"/>
          <w:sz w:val="30"/>
          <w:szCs w:val="30"/>
          <w:highlight w:val="none"/>
        </w:rPr>
        <w:t>项目名称：</w:t>
      </w:r>
      <w:r>
        <w:rPr>
          <w:rFonts w:hint="eastAsia" w:ascii="宋体" w:hAnsi="宋体" w:cs="宋体"/>
          <w:b w:val="0"/>
          <w:bCs w:val="0"/>
          <w:color w:val="auto"/>
          <w:sz w:val="30"/>
          <w:szCs w:val="30"/>
          <w:highlight w:val="none"/>
          <w:u w:val="single"/>
          <w:lang w:val="en-US" w:eastAsia="zh-CN"/>
        </w:rPr>
        <w:t>古地石指挥部及金尚菜市场项目、厦大海韵园二期项目保洁绿化服务（重新招标）</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w:t>
      </w:r>
      <w:r>
        <w:rPr>
          <w:rFonts w:hint="eastAsia" w:ascii="宋体" w:hAnsi="宋体" w:cs="宋体"/>
          <w:color w:val="auto"/>
          <w:sz w:val="30"/>
          <w:szCs w:val="30"/>
          <w:highlight w:val="none"/>
          <w:u w:val="single"/>
          <w:lang w:val="en-US" w:eastAsia="zh-CN"/>
        </w:rPr>
        <w:t>6</w:t>
      </w:r>
      <w:r>
        <w:rPr>
          <w:rFonts w:hint="eastAsia" w:ascii="宋体" w:hAnsi="宋体" w:cs="宋体"/>
          <w:color w:val="auto"/>
          <w:sz w:val="30"/>
          <w:szCs w:val="30"/>
          <w:highlight w:val="none"/>
          <w:u w:val="single"/>
        </w:rPr>
        <w:t>年</w:t>
      </w:r>
      <w:r>
        <w:rPr>
          <w:rFonts w:hint="eastAsia" w:ascii="宋体" w:hAnsi="宋体" w:cs="宋体"/>
          <w:color w:val="auto"/>
          <w:sz w:val="30"/>
          <w:szCs w:val="30"/>
          <w:highlight w:val="none"/>
          <w:u w:val="single"/>
          <w:lang w:val="en-US" w:eastAsia="zh-CN"/>
        </w:rPr>
        <w:t>1</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19</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_Toc2025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43</w:t>
      </w:r>
      <w:r>
        <w:rPr>
          <w:rFonts w:hint="eastAsia" w:ascii="宋体" w:hAnsi="宋体" w:cs="宋体"/>
          <w:b w:val="0"/>
          <w:bCs w:val="0"/>
          <w:color w:val="auto"/>
          <w:sz w:val="28"/>
          <w:szCs w:val="28"/>
          <w:highlight w:val="none"/>
        </w:rPr>
        <w:fldChar w:fldCharType="end"/>
      </w:r>
      <w:r>
        <w:rPr>
          <w:color w:val="auto"/>
          <w:highlight w:val="none"/>
        </w:rPr>
        <w:fldChar w:fldCharType="end"/>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1845124"/>
      <w:bookmarkStart w:id="2" w:name="_Toc185762835"/>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85762836"/>
      <w:bookmarkStart w:id="4" w:name="_Toc323555866"/>
      <w:bookmarkStart w:id="5" w:name="_Toc11845125"/>
      <w:r>
        <w:rPr>
          <w:rFonts w:hint="eastAsia" w:ascii="宋体" w:hAnsi="宋体" w:cs="宋体"/>
          <w:b w:val="0"/>
          <w:bCs w:val="0"/>
          <w:color w:val="auto"/>
          <w:kern w:val="0"/>
          <w:sz w:val="24"/>
          <w:szCs w:val="24"/>
          <w:highlight w:val="none"/>
          <w:u w:val="single"/>
        </w:rPr>
        <w:t>厦门湖里国投物业服务有限公司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古地石指挥部及金尚菜市场项目、厦大海韵园二期项目保洁绿化服务（重新招标）</w:t>
      </w:r>
      <w:r>
        <w:rPr>
          <w:rFonts w:hint="eastAsia" w:ascii="宋体" w:hAnsi="宋体" w:cs="宋体"/>
          <w:color w:val="auto"/>
          <w:kern w:val="0"/>
          <w:sz w:val="24"/>
          <w:szCs w:val="24"/>
          <w:highlight w:val="none"/>
          <w:u w:val="single"/>
        </w:rPr>
        <w:t xml:space="preserve"> </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GTWY2026-001</w:t>
      </w:r>
      <w:r>
        <w:rPr>
          <w:rFonts w:hint="eastAsia" w:ascii="宋体" w:hAnsi="宋体" w:cs="宋体"/>
          <w:color w:val="auto"/>
          <w:sz w:val="24"/>
          <w:highlight w:val="none"/>
        </w:rPr>
        <w:t xml:space="preserve">  </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r>
        <w:rPr>
          <w:rFonts w:hint="eastAsia" w:ascii="宋体" w:hAnsi="宋体" w:cs="宋体"/>
          <w:color w:val="auto"/>
          <w:sz w:val="24"/>
          <w:highlight w:val="none"/>
        </w:rPr>
        <w:t>：</w:t>
      </w:r>
    </w:p>
    <w:tbl>
      <w:tblPr>
        <w:tblStyle w:val="42"/>
        <w:tblpPr w:leftFromText="180" w:rightFromText="180" w:vertAnchor="text" w:horzAnchor="page" w:tblpX="1365" w:tblpY="194"/>
        <w:tblOverlap w:val="never"/>
        <w:tblW w:w="959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2167"/>
      </w:tblGrid>
      <w:tr w14:paraId="68DCFD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499D62A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5AA0616E">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2FA8026D">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4A8A3CE6">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4651CC4F">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2167" w:type="dxa"/>
            <w:tcBorders>
              <w:top w:val="outset" w:color="auto" w:sz="6" w:space="0"/>
              <w:left w:val="outset" w:color="auto" w:sz="6" w:space="0"/>
              <w:bottom w:val="outset" w:color="auto" w:sz="6" w:space="0"/>
              <w:right w:val="outset" w:color="auto" w:sz="6" w:space="0"/>
            </w:tcBorders>
            <w:vAlign w:val="center"/>
          </w:tcPr>
          <w:p w14:paraId="75183403">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3A064A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6824EB91">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152FC448">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none"/>
                <w:lang w:val="en-US" w:eastAsia="zh-CN"/>
              </w:rPr>
              <w:t>古地石指挥部及金尚菜市场项目、厦大海韵园二期项目保洁绿化服务（重新招标）</w:t>
            </w:r>
            <w:r>
              <w:rPr>
                <w:rFonts w:hint="eastAsia" w:ascii="宋体" w:hAnsi="宋体" w:cs="宋体"/>
                <w:color w:val="auto"/>
                <w:kern w:val="0"/>
                <w:sz w:val="24"/>
                <w:szCs w:val="24"/>
                <w:highlight w:val="none"/>
                <w:u w:val="non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2F3131E8">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448999元</w:t>
            </w:r>
          </w:p>
        </w:tc>
        <w:tc>
          <w:tcPr>
            <w:tcW w:w="1217" w:type="dxa"/>
            <w:tcBorders>
              <w:top w:val="outset" w:color="auto" w:sz="6" w:space="0"/>
              <w:left w:val="outset" w:color="auto" w:sz="6" w:space="0"/>
              <w:bottom w:val="outset" w:color="auto" w:sz="6" w:space="0"/>
              <w:right w:val="outset" w:color="auto" w:sz="6" w:space="0"/>
            </w:tcBorders>
            <w:vAlign w:val="center"/>
          </w:tcPr>
          <w:p w14:paraId="2AA56892">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4EA5383D">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2167" w:type="dxa"/>
            <w:tcBorders>
              <w:top w:val="outset" w:color="auto" w:sz="6" w:space="0"/>
              <w:left w:val="outset" w:color="auto" w:sz="6" w:space="0"/>
              <w:bottom w:val="outset" w:color="auto" w:sz="6" w:space="0"/>
              <w:right w:val="outset" w:color="auto" w:sz="6" w:space="0"/>
            </w:tcBorders>
            <w:vAlign w:val="center"/>
          </w:tcPr>
          <w:p w14:paraId="122ED723">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2026年2月1日至2027年1月31日</w:t>
            </w:r>
          </w:p>
        </w:tc>
      </w:tr>
    </w:tbl>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6A79056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291ACE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7B6C93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2"/>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担保函复印件。</w:t>
      </w:r>
    </w:p>
    <w:p w14:paraId="113B8F83">
      <w:pPr>
        <w:spacing w:line="440" w:lineRule="exact"/>
        <w:ind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2"/>
          <w:sz w:val="24"/>
          <w:szCs w:val="24"/>
          <w:highlight w:val="none"/>
          <w:lang w:eastAsia="zh-CN"/>
        </w:rPr>
        <w:t>。</w:t>
      </w:r>
    </w:p>
    <w:p w14:paraId="73BB6F4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kern w:val="2"/>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50E6DC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106E7C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val="0"/>
          <w:bCs w:val="0"/>
          <w:color w:val="auto"/>
          <w:sz w:val="24"/>
          <w:szCs w:val="24"/>
          <w:highlight w:val="none"/>
          <w:lang w:val="en-US" w:eastAsia="zh-CN"/>
        </w:rPr>
        <w:t>十七</w:t>
      </w:r>
      <w:r>
        <w:rPr>
          <w:rFonts w:hint="eastAsia" w:ascii="宋体" w:hAnsi="宋体" w:eastAsia="宋体" w:cs="宋体"/>
          <w:b w:val="0"/>
          <w:bCs w:val="0"/>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b/>
          <w:bCs/>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无需提交</w:t>
      </w:r>
      <w:r>
        <w:rPr>
          <w:rFonts w:hint="eastAsia" w:ascii="宋体" w:hAnsi="宋体" w:cs="宋体"/>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上午9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spacing w:line="470" w:lineRule="exact"/>
        <w:ind w:firstLine="241" w:firstLineChars="100"/>
        <w:jc w:val="left"/>
        <w:outlineLvl w:val="2"/>
        <w:rPr>
          <w:rFonts w:hint="default" w:ascii="宋体" w:hAnsi="宋体" w:cs="宋体"/>
          <w:b/>
          <w:bCs/>
          <w:color w:val="auto"/>
          <w:sz w:val="24"/>
          <w:highlight w:val="none"/>
        </w:rPr>
      </w:pPr>
      <w:r>
        <w:rPr>
          <w:rFonts w:hint="eastAsia" w:ascii="宋体" w:hAnsi="宋体" w:eastAsia="宋体" w:cs="宋体"/>
          <w:b/>
          <w:bCs/>
          <w:color w:val="auto"/>
          <w:sz w:val="24"/>
          <w:highlight w:val="none"/>
        </w:rPr>
        <w:t>8、询价时间及地点：</w:t>
      </w:r>
      <w:r>
        <w:rPr>
          <w:rFonts w:hint="eastAsia" w:ascii="宋体" w:hAnsi="宋体" w:cs="宋体"/>
          <w:b w:val="0"/>
          <w:bCs w:val="0"/>
          <w:color w:val="auto"/>
          <w:sz w:val="24"/>
          <w:highlight w:val="none"/>
          <w:lang w:val="en-US" w:eastAsia="zh-CN"/>
        </w:rPr>
        <w:t xml:space="preserve">询价时间2026年1月15日上午9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spacing w:line="470" w:lineRule="exact"/>
        <w:ind w:firstLine="241" w:firstLineChars="100"/>
        <w:jc w:val="left"/>
        <w:outlineLvl w:val="2"/>
        <w:rPr>
          <w:rFonts w:hint="eastAsia" w:ascii="宋体" w:hAnsi="宋体" w:cs="宋体"/>
          <w:b/>
          <w:bCs/>
          <w:color w:val="auto"/>
          <w:sz w:val="24"/>
          <w:highlight w:val="none"/>
        </w:rPr>
      </w:pPr>
      <w:r>
        <w:rPr>
          <w:rFonts w:hint="eastAsia" w:ascii="宋体" w:hAnsi="宋体" w:eastAsia="宋体" w:cs="宋体"/>
          <w:b/>
          <w:bCs/>
          <w:color w:val="auto"/>
          <w:sz w:val="24"/>
          <w:highlight w:val="none"/>
        </w:rPr>
        <w:t>9、公告期限</w:t>
      </w:r>
    </w:p>
    <w:p w14:paraId="759FA96B">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9.1询价公告的公告期限：自发布公告之日起3个工作日。</w:t>
      </w:r>
    </w:p>
    <w:p w14:paraId="5B07C2D4">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w:t>
      </w:r>
    </w:p>
    <w:p w14:paraId="2CEFE873">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9CD77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63112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223C1C5E">
      <w:pPr>
        <w:pStyle w:val="3"/>
        <w:spacing w:before="0" w:after="0" w:line="240" w:lineRule="auto"/>
        <w:jc w:val="both"/>
        <w:rPr>
          <w:rFonts w:hint="eastAsia"/>
          <w:color w:val="auto"/>
          <w:lang w:val="en-US" w:eastAsia="zh-CN"/>
        </w:rPr>
      </w:pPr>
      <w:bookmarkStart w:id="6" w:name="_Toc185762837"/>
      <w:bookmarkStart w:id="7" w:name="_Toc11845126"/>
    </w:p>
    <w:p w14:paraId="2CAA3CDF">
      <w:pPr>
        <w:jc w:val="both"/>
        <w:rPr>
          <w:rFonts w:hint="eastAsia"/>
          <w:color w:val="auto"/>
          <w:lang w:val="en-US" w:eastAsia="zh-CN"/>
        </w:rPr>
      </w:pPr>
    </w:p>
    <w:p w14:paraId="3E152D18">
      <w:pPr>
        <w:jc w:val="both"/>
        <w:rPr>
          <w:rFonts w:hint="eastAsia"/>
          <w:color w:val="auto"/>
          <w:lang w:val="en-US" w:eastAsia="zh-CN"/>
        </w:rPr>
      </w:pPr>
    </w:p>
    <w:p w14:paraId="6BEDA3B4">
      <w:pPr>
        <w:jc w:val="both"/>
        <w:rPr>
          <w:rFonts w:hint="eastAsia"/>
          <w:color w:val="auto"/>
          <w:lang w:val="en-US" w:eastAsia="zh-CN"/>
        </w:rPr>
      </w:pPr>
    </w:p>
    <w:p w14:paraId="102E978F">
      <w:pPr>
        <w:jc w:val="both"/>
        <w:rPr>
          <w:rFonts w:hint="eastAsia"/>
          <w:color w:val="auto"/>
          <w:lang w:val="en-US" w:eastAsia="zh-CN"/>
        </w:rPr>
      </w:pPr>
    </w:p>
    <w:p w14:paraId="3A5E1525">
      <w:pPr>
        <w:jc w:val="both"/>
        <w:rPr>
          <w:rFonts w:hint="eastAsia"/>
          <w:color w:val="auto"/>
          <w:lang w:val="en-US" w:eastAsia="zh-CN"/>
        </w:rPr>
      </w:pPr>
    </w:p>
    <w:p w14:paraId="16FC75A0">
      <w:pPr>
        <w:jc w:val="both"/>
        <w:rPr>
          <w:rFonts w:hint="eastAsia"/>
          <w:color w:val="auto"/>
          <w:lang w:val="en-US" w:eastAsia="zh-CN"/>
        </w:rPr>
      </w:pPr>
    </w:p>
    <w:p w14:paraId="252B3E16">
      <w:pPr>
        <w:jc w:val="both"/>
        <w:rPr>
          <w:rFonts w:hint="eastAsia"/>
          <w:color w:val="auto"/>
          <w:lang w:val="en-US" w:eastAsia="zh-CN"/>
        </w:rPr>
      </w:pPr>
    </w:p>
    <w:p w14:paraId="30DB6425">
      <w:pPr>
        <w:jc w:val="both"/>
        <w:rPr>
          <w:rFonts w:hint="eastAsia"/>
          <w:color w:val="auto"/>
          <w:lang w:val="en-US" w:eastAsia="zh-CN"/>
        </w:rPr>
      </w:pPr>
    </w:p>
    <w:p w14:paraId="21831807">
      <w:pPr>
        <w:jc w:val="both"/>
        <w:rPr>
          <w:rFonts w:hint="eastAsia"/>
          <w:color w:val="auto"/>
          <w:lang w:val="en-US" w:eastAsia="zh-CN"/>
        </w:rPr>
      </w:pPr>
    </w:p>
    <w:p w14:paraId="223DD86F">
      <w:pPr>
        <w:jc w:val="both"/>
        <w:rPr>
          <w:rFonts w:hint="eastAsia"/>
          <w:color w:val="auto"/>
          <w:lang w:val="en-US" w:eastAsia="zh-CN"/>
        </w:rPr>
      </w:pPr>
    </w:p>
    <w:p w14:paraId="6A0E2C9B">
      <w:pPr>
        <w:jc w:val="both"/>
        <w:rPr>
          <w:rFonts w:hint="eastAsia"/>
          <w:color w:val="auto"/>
          <w:lang w:val="en-US" w:eastAsia="zh-CN"/>
        </w:rPr>
      </w:pPr>
    </w:p>
    <w:p w14:paraId="3D66D8F8">
      <w:pPr>
        <w:jc w:val="both"/>
        <w:rPr>
          <w:rFonts w:hint="eastAsia"/>
          <w:color w:val="auto"/>
          <w:lang w:val="en-US" w:eastAsia="zh-CN"/>
        </w:rPr>
      </w:pPr>
    </w:p>
    <w:p w14:paraId="1145B11F">
      <w:pPr>
        <w:jc w:val="both"/>
        <w:rPr>
          <w:rFonts w:hint="eastAsia"/>
          <w:color w:val="auto"/>
          <w:lang w:val="en-US" w:eastAsia="zh-CN"/>
        </w:rPr>
      </w:pPr>
    </w:p>
    <w:p w14:paraId="70BECDB8">
      <w:pPr>
        <w:jc w:val="both"/>
        <w:rPr>
          <w:rFonts w:hint="eastAsia"/>
          <w:color w:val="auto"/>
          <w:lang w:val="en-US" w:eastAsia="zh-CN"/>
        </w:rPr>
      </w:pPr>
    </w:p>
    <w:p w14:paraId="0C97974F">
      <w:pPr>
        <w:jc w:val="both"/>
        <w:rPr>
          <w:rFonts w:hint="eastAsia"/>
          <w:color w:val="auto"/>
          <w:lang w:val="en-US" w:eastAsia="zh-CN"/>
        </w:rPr>
      </w:pPr>
    </w:p>
    <w:p w14:paraId="543F4B85">
      <w:pPr>
        <w:jc w:val="both"/>
        <w:rPr>
          <w:rFonts w:hint="eastAsia"/>
          <w:color w:val="auto"/>
          <w:lang w:val="en-US" w:eastAsia="zh-CN"/>
        </w:rPr>
      </w:pPr>
    </w:p>
    <w:p w14:paraId="667A70EB">
      <w:pPr>
        <w:jc w:val="both"/>
        <w:rPr>
          <w:rFonts w:hint="eastAsia"/>
          <w:color w:val="auto"/>
          <w:lang w:val="en-US" w:eastAsia="zh-CN"/>
        </w:rPr>
      </w:pPr>
    </w:p>
    <w:p w14:paraId="3A07303E">
      <w:pPr>
        <w:jc w:val="both"/>
        <w:rPr>
          <w:rFonts w:hint="eastAsia"/>
          <w:color w:val="auto"/>
          <w:lang w:val="en-US" w:eastAsia="zh-CN"/>
        </w:rPr>
      </w:pPr>
    </w:p>
    <w:p w14:paraId="3368D509">
      <w:pPr>
        <w:jc w:val="both"/>
        <w:rPr>
          <w:rFonts w:hint="eastAsia"/>
          <w:color w:val="auto"/>
          <w:lang w:val="en-US" w:eastAsia="zh-CN"/>
        </w:rPr>
      </w:pPr>
    </w:p>
    <w:p w14:paraId="568E3711">
      <w:pPr>
        <w:jc w:val="both"/>
        <w:rPr>
          <w:rFonts w:hint="eastAsia"/>
          <w:color w:val="auto"/>
          <w:lang w:val="en-US" w:eastAsia="zh-CN"/>
        </w:rPr>
      </w:pPr>
    </w:p>
    <w:p w14:paraId="5BE37408">
      <w:pPr>
        <w:pStyle w:val="3"/>
        <w:spacing w:before="0" w:after="0" w:line="240" w:lineRule="auto"/>
        <w:jc w:val="center"/>
        <w:rPr>
          <w:rFonts w:hint="eastAsia"/>
          <w:color w:val="auto"/>
        </w:rPr>
      </w:pPr>
    </w:p>
    <w:p w14:paraId="14FD0E58">
      <w:pPr>
        <w:pStyle w:val="3"/>
        <w:spacing w:before="0" w:after="0" w:line="240" w:lineRule="auto"/>
        <w:ind w:firstLine="0" w:firstLineChars="0"/>
        <w:jc w:val="center"/>
        <w:rPr>
          <w:rFonts w:hint="eastAsia" w:ascii="宋体" w:hAnsi="宋体" w:cs="宋体"/>
          <w:color w:val="auto"/>
          <w:highlight w:val="none"/>
        </w:rPr>
      </w:pPr>
      <w:r>
        <w:rPr>
          <w:rFonts w:hint="eastAsia"/>
          <w:color w:val="auto"/>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GTWY2026-001</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val="en-US" w:eastAsia="zh-CN"/>
              </w:rPr>
              <w:t>古地石指挥部及金尚菜市场项目、厦大海韵园二期项目保洁绿化服务（重新招标）</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448999</w:t>
            </w:r>
            <w:r>
              <w:rPr>
                <w:rFonts w:hint="eastAsia" w:ascii="宋体" w:hAnsi="宋体" w:cs="宋体"/>
                <w:color w:val="auto"/>
                <w:sz w:val="24"/>
                <w:szCs w:val="24"/>
                <w:highlight w:val="none"/>
              </w:rPr>
              <w:t>元。</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44"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52AC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shd w:val="clear" w:color="auto" w:fill="auto"/>
            <w:tcMar>
              <w:top w:w="0" w:type="dxa"/>
              <w:left w:w="108" w:type="dxa"/>
              <w:bottom w:w="0" w:type="dxa"/>
              <w:right w:w="108" w:type="dxa"/>
            </w:tcMar>
            <w:vAlign w:val="center"/>
          </w:tcPr>
          <w:p w14:paraId="53282A99">
            <w:pPr>
              <w:spacing w:line="440" w:lineRule="exact"/>
              <w:jc w:val="center"/>
              <w:rPr>
                <w:rFonts w:hint="eastAsia" w:ascii="宋体" w:hAnsi="宋体" w:eastAsia="宋体" w:cs="宋体"/>
                <w:color w:val="auto"/>
                <w:kern w:val="2"/>
                <w:sz w:val="24"/>
                <w:szCs w:val="24"/>
                <w:highlight w:val="none"/>
                <w:lang w:val="en-US" w:eastAsia="zh-CN" w:bidi="ar-SA"/>
              </w:rPr>
            </w:pPr>
            <w:bookmarkStart w:id="9" w:name="_Toc526873902"/>
            <w:bookmarkStart w:id="10" w:name="_Toc398504591"/>
            <w:bookmarkStart w:id="11" w:name="_Toc398284535"/>
            <w:bookmarkStart w:id="12" w:name="_Toc431190639"/>
            <w:r>
              <w:rPr>
                <w:rFonts w:hint="eastAsia" w:ascii="宋体" w:hAnsi="宋体" w:cs="宋体"/>
                <w:color w:val="auto"/>
                <w:sz w:val="24"/>
                <w:szCs w:val="24"/>
                <w:highlight w:val="none"/>
              </w:rPr>
              <w:t>11</w:t>
            </w:r>
          </w:p>
        </w:tc>
        <w:tc>
          <w:tcPr>
            <w:tcW w:w="1020" w:type="dxa"/>
            <w:shd w:val="clear" w:color="auto" w:fill="auto"/>
            <w:tcMar>
              <w:top w:w="0" w:type="dxa"/>
              <w:left w:w="108" w:type="dxa"/>
              <w:bottom w:w="0" w:type="dxa"/>
              <w:right w:w="108" w:type="dxa"/>
            </w:tcMar>
            <w:vAlign w:val="center"/>
          </w:tcPr>
          <w:p w14:paraId="26A29D79">
            <w:pPr>
              <w:spacing w:line="440" w:lineRule="exact"/>
              <w:jc w:val="center"/>
              <w:rPr>
                <w:rFonts w:ascii="宋体" w:hAnsi="宋体" w:eastAsia="宋体" w:cs="宋体"/>
                <w:color w:val="auto"/>
                <w:kern w:val="2"/>
                <w:sz w:val="24"/>
                <w:szCs w:val="24"/>
                <w:highlight w:val="none"/>
                <w:lang w:val="en-US" w:eastAsia="zh-CN" w:bidi="ar-SA"/>
              </w:rPr>
            </w:pPr>
          </w:p>
        </w:tc>
        <w:tc>
          <w:tcPr>
            <w:tcW w:w="7813" w:type="dxa"/>
            <w:shd w:val="clear" w:color="auto" w:fill="auto"/>
            <w:tcMar>
              <w:top w:w="0" w:type="dxa"/>
              <w:left w:w="108" w:type="dxa"/>
              <w:bottom w:w="0" w:type="dxa"/>
              <w:right w:w="108" w:type="dxa"/>
            </w:tcMar>
            <w:vAlign w:val="center"/>
          </w:tcPr>
          <w:p w14:paraId="77F748F8">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7BFCFC5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0229E3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7D4E9B9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5E40340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40E4176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4A009C0F">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5570EDAB">
            <w:pPr>
              <w:pStyle w:val="23"/>
              <w:adjustRightInd w:val="0"/>
              <w:snapToGrid w:val="0"/>
              <w:spacing w:line="360" w:lineRule="auto"/>
              <w:ind w:right="-42" w:firstLine="48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13AB5164">
            <w:pPr>
              <w:pStyle w:val="23"/>
              <w:adjustRightInd w:val="0"/>
              <w:snapToGrid w:val="0"/>
              <w:spacing w:line="360" w:lineRule="auto"/>
              <w:ind w:right="-42" w:rightChars="0" w:firstLine="480" w:firstLineChars="0"/>
              <w:rPr>
                <w:rFonts w:hint="eastAsia" w:ascii="宋体" w:hAnsi="宋体" w:eastAsia="宋体" w:cs="宋体"/>
                <w:b/>
                <w:bCs/>
                <w:color w:val="auto"/>
                <w:kern w:val="0"/>
                <w:sz w:val="24"/>
                <w:szCs w:val="24"/>
                <w:highlight w:val="none"/>
                <w:lang w:val="en-US" w:eastAsia="zh-CN" w:bidi="ar-SA"/>
              </w:rPr>
            </w:pPr>
          </w:p>
        </w:tc>
      </w:tr>
      <w:tr w14:paraId="7AAA5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1F81CAF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240E88E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64ADF0C0">
            <w:pPr>
              <w:pStyle w:val="23"/>
              <w:adjustRightInd w:val="0"/>
              <w:snapToGrid w:val="0"/>
              <w:spacing w:line="360" w:lineRule="auto"/>
              <w:ind w:right="-42" w:firstLineChars="0"/>
              <w:jc w:val="left"/>
              <w:rPr>
                <w:rFonts w:hint="eastAsia" w:ascii="宋体" w:hAnsi="宋体" w:cs="宋体"/>
                <w:color w:val="auto"/>
                <w:sz w:val="24"/>
                <w:szCs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0658EFF">
            <w:pPr>
              <w:pStyle w:val="23"/>
              <w:adjustRightInd w:val="0"/>
              <w:snapToGrid w:val="0"/>
              <w:spacing w:line="360" w:lineRule="auto"/>
              <w:ind w:right="-42" w:firstLine="0" w:firstLineChars="0"/>
              <w:jc w:val="left"/>
              <w:rPr>
                <w:rFonts w:hint="eastAsia" w:ascii="宋体" w:hAnsi="宋体" w:cs="宋体"/>
                <w:b/>
                <w:bCs/>
                <w:color w:val="auto"/>
                <w:kern w:val="0"/>
                <w:sz w:val="24"/>
                <w:highlight w:val="none"/>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284536"/>
            <w:bookmarkStart w:id="14" w:name="_Toc431190640"/>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7378782C">
            <w:pPr>
              <w:numPr>
                <w:ilvl w:val="0"/>
                <w:numId w:val="9"/>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7513F362">
            <w:pPr>
              <w:numPr>
                <w:ilvl w:val="0"/>
                <w:numId w:val="9"/>
              </w:num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3、财务状况报告：</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应提供上一年度（</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截止时间为1-6月的也可提供上上年度）财务报告复印件或银行资信证明复印件或</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担保函复印件。</w:t>
            </w:r>
          </w:p>
          <w:p w14:paraId="6E986F9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4、依法缴纳税收证明材料：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截止时间前六个月（不含</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5、依法缴纳社会保障资金证明材料：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截止时间前六个月（不含</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应提供具备履行合同所必需设备和专业技术能力的声明函；</w:t>
            </w:r>
          </w:p>
          <w:p w14:paraId="34EF344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肆拾肆万捌仟玖佰玖拾玖</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448999</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古地石指挥部项目保洁最高限价49199元，金尚菜市场项目保洁最高限价140000元，厦大海韵园二期项目保洁、绿化最高限价259800元。</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66F6004B">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报价相同的，</w:t>
            </w:r>
            <w:r>
              <w:rPr>
                <w:rFonts w:hint="eastAsia" w:ascii="宋体" w:hAnsi="宋体" w:cs="宋体"/>
                <w:color w:val="auto"/>
                <w:sz w:val="24"/>
                <w:szCs w:val="24"/>
                <w:highlight w:val="none"/>
                <w:lang w:val="en-US" w:eastAsia="zh-CN"/>
              </w:rPr>
              <w:t>则通过随机抽取确认中标单位</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3211"/>
      <w:bookmarkStart w:id="18" w:name="_Toc36973998"/>
      <w:bookmarkStart w:id="19" w:name="_Toc36974302"/>
      <w:bookmarkStart w:id="20" w:name="_Toc36867053"/>
      <w:bookmarkStart w:id="21" w:name="_Toc36974064"/>
      <w:bookmarkStart w:id="22" w:name="_Toc36885867"/>
      <w:bookmarkStart w:id="23" w:name="_Toc36974353"/>
      <w:bookmarkStart w:id="24" w:name="_Toc36974220"/>
      <w:bookmarkStart w:id="25" w:name="_Toc37236853"/>
      <w:bookmarkStart w:id="26" w:name="_Toc32815552"/>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526873905"/>
      <w:bookmarkStart w:id="29" w:name="_Toc160543033"/>
      <w:bookmarkStart w:id="30" w:name="_Toc341650736"/>
      <w:bookmarkStart w:id="31" w:name="_Toc381261946"/>
      <w:bookmarkStart w:id="32" w:name="_Toc341834116"/>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526873906"/>
      <w:bookmarkStart w:id="35" w:name="_Toc381261947"/>
      <w:bookmarkStart w:id="36" w:name="_Toc341650737"/>
      <w:bookmarkStart w:id="37" w:name="_Toc341834117"/>
      <w:bookmarkStart w:id="38" w:name="_Toc160543034"/>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526873907"/>
      <w:bookmarkStart w:id="41" w:name="_Toc339898485"/>
      <w:bookmarkStart w:id="42" w:name="_Toc381261948"/>
      <w:bookmarkStart w:id="43" w:name="_Toc341650738"/>
      <w:bookmarkStart w:id="44" w:name="_Toc34183411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381261949"/>
      <w:bookmarkStart w:id="46" w:name="_Toc526873908"/>
      <w:bookmarkStart w:id="47" w:name="_Toc341834119"/>
      <w:bookmarkStart w:id="48" w:name="_Toc34165073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526873909"/>
      <w:bookmarkStart w:id="50" w:name="_Toc341650740"/>
      <w:bookmarkStart w:id="51" w:name="_Toc160543036"/>
      <w:bookmarkStart w:id="52" w:name="_Toc265590439"/>
      <w:bookmarkStart w:id="53" w:name="_Toc206557773"/>
      <w:bookmarkStart w:id="54" w:name="_Toc340069172"/>
      <w:bookmarkStart w:id="55" w:name="_Toc381261950"/>
      <w:bookmarkStart w:id="56" w:name="_Toc22987880"/>
      <w:bookmarkStart w:id="57" w:name="_Toc341834120"/>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41650741"/>
      <w:bookmarkStart w:id="59" w:name="_Toc340069173"/>
      <w:bookmarkStart w:id="60" w:name="_Toc381261951"/>
      <w:bookmarkStart w:id="61" w:name="_Toc327281477"/>
      <w:bookmarkStart w:id="62" w:name="_Toc526873910"/>
      <w:bookmarkStart w:id="63" w:name="_Toc34183412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41834122"/>
      <w:bookmarkStart w:id="65" w:name="_Toc340069174"/>
      <w:bookmarkStart w:id="66" w:name="_Toc341650742"/>
      <w:bookmarkStart w:id="67" w:name="_Toc381261952"/>
      <w:bookmarkStart w:id="68" w:name="_Toc327281478"/>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40069176"/>
      <w:bookmarkStart w:id="71" w:name="_Toc341650744"/>
      <w:bookmarkStart w:id="72" w:name="_Toc341834124"/>
      <w:bookmarkStart w:id="73" w:name="_Toc381261954"/>
      <w:bookmarkStart w:id="74" w:name="_Toc526873912"/>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22987881"/>
      <w:bookmarkStart w:id="76" w:name="_Toc526873913"/>
      <w:bookmarkStart w:id="77" w:name="_Toc341834125"/>
      <w:bookmarkStart w:id="78" w:name="_Toc381261955"/>
      <w:bookmarkStart w:id="79" w:name="_Toc340069177"/>
      <w:bookmarkStart w:id="80" w:name="_Toc341650745"/>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381261956"/>
      <w:bookmarkStart w:id="82" w:name="_Toc327281482"/>
      <w:bookmarkStart w:id="83" w:name="_Toc278294202"/>
      <w:bookmarkStart w:id="84" w:name="_Toc272852366"/>
      <w:bookmarkStart w:id="85" w:name="_Toc341834126"/>
      <w:bookmarkStart w:id="86" w:name="_Toc273453817"/>
      <w:bookmarkStart w:id="87" w:name="_Toc340069178"/>
      <w:bookmarkStart w:id="88" w:name="_Toc341650746"/>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81261957"/>
      <w:bookmarkStart w:id="91" w:name="_Toc340069179"/>
      <w:bookmarkStart w:id="92" w:name="_Toc341650747"/>
      <w:bookmarkStart w:id="93" w:name="_Toc526873915"/>
      <w:bookmarkStart w:id="94" w:name="_Toc22987882"/>
      <w:bookmarkStart w:id="95" w:name="_Toc341834127"/>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1834128"/>
      <w:bookmarkStart w:id="98" w:name="_Toc340069180"/>
      <w:bookmarkStart w:id="99" w:name="_Toc22987883"/>
      <w:bookmarkStart w:id="100" w:name="_Toc381261958"/>
      <w:bookmarkStart w:id="101" w:name="_Toc341650748"/>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0069184"/>
      <w:bookmarkStart w:id="104" w:name="_Toc526873919"/>
      <w:bookmarkStart w:id="105" w:name="_Toc160543043"/>
      <w:bookmarkStart w:id="106" w:name="_Toc206557780"/>
      <w:bookmarkStart w:id="107" w:name="_Toc341834132"/>
      <w:bookmarkStart w:id="108" w:name="_Toc381261962"/>
      <w:bookmarkStart w:id="109" w:name="_Toc265590446"/>
      <w:bookmarkStart w:id="110" w:name="_Toc341650752"/>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81368240"/>
      <w:bookmarkStart w:id="113" w:name="_Toc340069188"/>
      <w:bookmarkStart w:id="114" w:name="_Toc331171357"/>
      <w:bookmarkStart w:id="115" w:name="_Toc341650756"/>
      <w:bookmarkStart w:id="116" w:name="_Toc332720938"/>
      <w:bookmarkStart w:id="117" w:name="_Toc381261966"/>
      <w:bookmarkStart w:id="118" w:name="_Toc341834136"/>
      <w:bookmarkStart w:id="119" w:name="_Toc526873921"/>
      <w:bookmarkStart w:id="120" w:name="_Toc265590453"/>
      <w:bookmarkStart w:id="121" w:name="_Toc206557786"/>
      <w:bookmarkStart w:id="122" w:name="_Toc160543049"/>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32720939"/>
      <w:bookmarkStart w:id="124" w:name="_Toc341650757"/>
      <w:bookmarkStart w:id="125" w:name="_Toc331171358"/>
      <w:bookmarkStart w:id="126" w:name="_Toc340069189"/>
      <w:bookmarkStart w:id="127" w:name="_Toc341834137"/>
      <w:bookmarkStart w:id="128" w:name="_Toc381368241"/>
      <w:bookmarkStart w:id="129" w:name="_Toc381261967"/>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0"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评</w:t>
      </w: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526873927"/>
      <w:bookmarkStart w:id="135" w:name="_Toc398504622"/>
      <w:bookmarkStart w:id="136" w:name="_Toc398284566"/>
      <w:bookmarkStart w:id="137" w:name="_Toc431190669"/>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32184"/>
      <w:bookmarkStart w:id="139" w:name="_Toc526873928"/>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BF52100">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0AA537">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C4580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E8E71F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0F761F5">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D2F3602">
      <w:pPr>
        <w:pStyle w:val="41"/>
        <w:rPr>
          <w:rFonts w:ascii="宋体" w:hAnsi="宋体" w:cs="宋体"/>
          <w:color w:val="auto"/>
          <w:sz w:val="24"/>
          <w:szCs w:val="24"/>
          <w:highlight w:val="none"/>
        </w:rPr>
      </w:pPr>
    </w:p>
    <w:p w14:paraId="130D49C6">
      <w:pPr>
        <w:rPr>
          <w:rFonts w:ascii="宋体" w:hAnsi="宋体" w:cs="宋体"/>
          <w:color w:val="auto"/>
          <w:sz w:val="24"/>
          <w:szCs w:val="24"/>
          <w:highlight w:val="none"/>
        </w:rPr>
      </w:pPr>
    </w:p>
    <w:p w14:paraId="59A2FF2D">
      <w:pPr>
        <w:pStyle w:val="41"/>
        <w:rPr>
          <w:color w:val="auto"/>
          <w:highlight w:val="none"/>
        </w:rPr>
      </w:pPr>
    </w:p>
    <w:p w14:paraId="1C2B298F">
      <w:pPr>
        <w:pStyle w:val="41"/>
        <w:rPr>
          <w:rFonts w:ascii="宋体" w:hAnsi="宋体" w:cs="宋体"/>
          <w:color w:val="auto"/>
          <w:sz w:val="24"/>
          <w:szCs w:val="24"/>
          <w:highlight w:val="none"/>
        </w:rPr>
      </w:pPr>
    </w:p>
    <w:p w14:paraId="3FF49EA6">
      <w:pPr>
        <w:rPr>
          <w:color w:val="auto"/>
          <w:highlight w:val="none"/>
        </w:rPr>
      </w:pPr>
    </w:p>
    <w:p w14:paraId="24940D21">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9077A61">
      <w:pPr>
        <w:jc w:val="center"/>
        <w:rPr>
          <w:rFonts w:hint="eastAsia" w:ascii="宋体" w:hAnsi="宋体" w:cs="宋体"/>
          <w:color w:val="auto"/>
          <w:highlight w:val="none"/>
        </w:rPr>
      </w:pPr>
      <w:r>
        <w:rPr>
          <w:rFonts w:hint="eastAsia" w:ascii="宋体" w:hAnsi="宋体" w:cs="宋体"/>
          <w:color w:val="auto"/>
          <w:highlight w:val="none"/>
        </w:rPr>
        <w:br w:type="page"/>
      </w: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526873935"/>
      <w:bookmarkStart w:id="141" w:name="_Toc1174"/>
      <w:bookmarkStart w:id="142" w:name="_Toc160934185"/>
      <w:bookmarkStart w:id="143" w:name="_Toc160876913"/>
      <w:bookmarkStart w:id="144" w:name="_Toc376615126"/>
      <w:bookmarkStart w:id="145" w:name="_Toc32815586"/>
      <w:bookmarkStart w:id="146" w:name="_Toc160543052"/>
      <w:bookmarkStart w:id="147" w:name="_Toc51489361"/>
      <w:r>
        <w:rPr>
          <w:rFonts w:hint="eastAsia"/>
          <w:b/>
          <w:bCs/>
          <w:color w:val="auto"/>
          <w:sz w:val="24"/>
          <w:szCs w:val="24"/>
          <w:highlight w:val="none"/>
          <w:lang w:val="en-US" w:eastAsia="zh-CN" w:bidi="ar-SA"/>
        </w:rPr>
        <w:t>一、项目情况</w:t>
      </w:r>
    </w:p>
    <w:p w14:paraId="075DC35B">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cs="宋体" w:asciiTheme="minorEastAsia" w:hAnsiTheme="minorEastAsia" w:eastAsiaTheme="minorEastAsia"/>
          <w:color w:val="auto"/>
          <w:sz w:val="24"/>
          <w:highlight w:val="none"/>
          <w:u w:val="single"/>
          <w:lang w:val="en-US" w:eastAsia="zh-CN"/>
        </w:rPr>
        <w:t>古地石指挥部及金尚菜市场项目、厦大海韵园二期项目保洁绿化服务（重新招标）</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（1）古地石指挥部项目保洁总面积1500</w:t>
      </w:r>
      <w:r>
        <w:rPr>
          <w:rFonts w:hint="eastAsia" w:ascii="宋体" w:hAnsi="宋体" w:eastAsia="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，包含绿化垃圾、保洁垃圾、生活垃圾分类等工作；</w:t>
      </w:r>
    </w:p>
    <w:p w14:paraId="230AED08">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（2）金尚菜市场项目保洁总面积2360㎡，包含绿化垃圾、保洁垃圾、生活垃圾分类等工作；</w:t>
      </w:r>
    </w:p>
    <w:p w14:paraId="45F8DB7F">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（3）厦大海韵园二期项目：保洁总面积37406.42㎡，绿化总面积7300㎡，包含绿化垃圾、保洁垃圾、生活垃圾分类等工作。</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工作内容</w:t>
      </w:r>
    </w:p>
    <w:p w14:paraId="6E2A248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基本要求：</w:t>
      </w:r>
      <w:r>
        <w:rPr>
          <w:rFonts w:hint="eastAsia" w:asciiTheme="minorEastAsia" w:hAnsiTheme="minorEastAsia" w:eastAsiaTheme="minorEastAsia"/>
          <w:color w:val="auto"/>
          <w:sz w:val="24"/>
          <w:highlight w:val="none"/>
        </w:rPr>
        <w:t>（1）负责制定保洁工作计划，并组织实施。</w:t>
      </w:r>
    </w:p>
    <w:p w14:paraId="3D6014C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（2）服务质量标准严格，质量管理制度健全。</w:t>
      </w:r>
    </w:p>
    <w:p w14:paraId="7056D0C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（3）专业操作人员按照国家有关规定取得岗位证书。从业人员必须身体健康体态端庄，并具有相关的工作岗位素质。</w:t>
      </w:r>
    </w:p>
    <w:p w14:paraId="68846C9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（4）服务人员统一服装，佩戴标志，精神饱满，行为规范，服务热情。</w:t>
      </w:r>
    </w:p>
    <w:p w14:paraId="53026C69">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（5）建立完善人员工作和业绩考核制度。</w:t>
      </w:r>
    </w:p>
    <w:p w14:paraId="6E6EF23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（6）根据业主需求，提供特约服务的，公示服务项目与收费价目。</w:t>
      </w:r>
    </w:p>
    <w:p w14:paraId="3A4DFEFF">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保洁服务：</w:t>
      </w:r>
      <w:r>
        <w:rPr>
          <w:rFonts w:hint="eastAsia" w:asciiTheme="minorEastAsia" w:hAnsiTheme="minorEastAsia" w:eastAsiaTheme="minorEastAsia"/>
          <w:color w:val="auto"/>
          <w:sz w:val="24"/>
          <w:highlight w:val="none"/>
          <w:lang w:val="en-US" w:eastAsia="zh-CN"/>
        </w:rPr>
        <w:t>（1）有各区域保洁质量标准和检查、考核办法。</w:t>
      </w:r>
    </w:p>
    <w:p w14:paraId="500F7BA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（2）负责物业管理区域内共用场所、绿地、主次干道、楼内共用部位的保洁。</w:t>
      </w:r>
    </w:p>
    <w:p w14:paraId="3F28686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（3）负责垃圾的收集、清运，做到日产日清。</w:t>
      </w:r>
    </w:p>
    <w:p w14:paraId="38735E6B">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（4）加强管道疏通，确保区内雨、污水管道通畅。</w:t>
      </w:r>
    </w:p>
    <w:p w14:paraId="7DA1425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（5）加强鼠、蟑、蝇、蚊、白蚁消杀和其它虫害预防以及按卫生防疫部门要求做好防疫消毒工作。</w:t>
      </w:r>
    </w:p>
    <w:p w14:paraId="149F14E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绿化养护管理：</w:t>
      </w:r>
      <w:r>
        <w:rPr>
          <w:rFonts w:hint="eastAsia" w:asciiTheme="minorEastAsia" w:hAnsiTheme="minorEastAsia" w:eastAsiaTheme="minorEastAsia"/>
          <w:color w:val="auto"/>
          <w:sz w:val="24"/>
          <w:highlight w:val="none"/>
          <w:lang w:val="en-US" w:eastAsia="zh-CN"/>
        </w:rPr>
        <w:t>（1）有专业人员实施绿化养护管理，包括水分管理、施肥、修剪、补苗、病虫害防治、中耕除草、绿化保洁等。</w:t>
      </w:r>
    </w:p>
    <w:p w14:paraId="630BE9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（2）对老化、死亡、非人为损坏植物及时补栽补种或更换。</w:t>
      </w:r>
    </w:p>
    <w:p w14:paraId="7073C57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（3）维护园林小品，保证绿化设施完好。</w:t>
      </w:r>
    </w:p>
    <w:p w14:paraId="58F552B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（4）绿化服务范围</w:t>
      </w:r>
    </w:p>
    <w:p w14:paraId="155C834D">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①负责地块内绿化植物的养护和管理。</w:t>
      </w:r>
    </w:p>
    <w:p w14:paraId="69EFBB33">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②养护、修剪、浇灌服务区内的各种树木、花草，补种部分花草、树木。</w:t>
      </w:r>
    </w:p>
    <w:p w14:paraId="73018053">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 地块内的所有植物的养护，含乔木、灌木、草坪、草花、地被植物、藤本植物。</w:t>
      </w:r>
    </w:p>
    <w:p w14:paraId="552BEFE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④提供绿化设备、肥料、除草剂。</w:t>
      </w:r>
    </w:p>
    <w:p w14:paraId="194EAE7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绿化的内容及标准：</w:t>
      </w:r>
      <w:r>
        <w:rPr>
          <w:rFonts w:hint="eastAsia" w:asciiTheme="minorEastAsia" w:hAnsiTheme="minorEastAsia" w:eastAsiaTheme="minorEastAsia"/>
          <w:color w:val="auto"/>
          <w:sz w:val="24"/>
          <w:highlight w:val="none"/>
          <w:lang w:val="en-US" w:eastAsia="zh-CN"/>
        </w:rPr>
        <w:t>①按园林绿化要求，不能有黄土裸露现象，做好绿化草坪、植被养护、修剪工作清除有害杂草、消杀虫害。</w:t>
      </w:r>
    </w:p>
    <w:p w14:paraId="484FF14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按园林园艺要求，做好盆花、盆景栽培、桩景的培育、塑造、绿篱改造、整形修剪。要求树木生长茂盛、无枯枝；树形美观完整、无倾斜；绿篱修剪整齐、无缺枝；花坛土壤疏松、无垃圾；草坪平整清洁、无杂草。</w:t>
      </w:r>
    </w:p>
    <w:p w14:paraId="6977BFF6">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③监测地块内较大灌木、乔木的虫害，开展有效消杀、剪枝、除枯枝、除主杆嫩芽消杀白蚁侵蚀树主杆。</w:t>
      </w:r>
    </w:p>
    <w:p w14:paraId="6E33165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④在服务期内，发现有小部分枯死、缺裸、地被、草坪踩死应及时申报服务处补植补种。</w:t>
      </w:r>
    </w:p>
    <w:p w14:paraId="62935399">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⑤有计划、有步骤、科学规范管理绿化，精心养护。</w:t>
      </w:r>
    </w:p>
    <w:p w14:paraId="361CA33F">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⑥根据绿地、草坪、绿篱、乔灌木等植物的生长特点，进行松土、施肥、培土。</w:t>
      </w:r>
    </w:p>
    <w:p w14:paraId="537176D0">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⑦灌木、草坪、花坛，绿篱植物浇水要适时，如因缺水造成死亡，要追究责任，严重的要赔偿。</w:t>
      </w:r>
    </w:p>
    <w:p w14:paraId="33F07A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⑧绿化带内的枯枝，落叶杂物要及时清理，杂草要及时拔除。</w:t>
      </w:r>
    </w:p>
    <w:p w14:paraId="47E657D9">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⑨绿化围栏设施无缺损；绿地整洁，无砖块、纸张、垃圾；</w:t>
      </w:r>
    </w:p>
    <w:p w14:paraId="75DB4208">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⑩按建设部物业管理绿化养护的一级水平定期施肥和进行必要的病虫害治；</w:t>
      </w:r>
    </w:p>
    <w:p w14:paraId="45A34A2D">
      <w:pPr>
        <w:adjustRightInd w:val="0"/>
        <w:snapToGrid w:val="0"/>
        <w:spacing w:before="0" w:after="0" w:line="360" w:lineRule="auto"/>
        <w:ind w:firstLine="480" w:firstLineChars="200"/>
        <w:jc w:val="left"/>
        <w:rPr>
          <w:rFonts w:hint="eastAsia" w:ascii="宋体" w:hAnsi="宋体" w:cs="宋体"/>
          <w:color w:val="auto"/>
          <w:sz w:val="24"/>
          <w:szCs w:val="24"/>
          <w:highlight w:val="none"/>
          <w:lang w:eastAsia="zh-CN"/>
        </w:rPr>
      </w:pPr>
      <w:r>
        <w:rPr>
          <w:rFonts w:hint="eastAsia" w:asciiTheme="minorEastAsia" w:hAnsiTheme="minorEastAsia" w:eastAsiaTheme="minorEastAsia"/>
          <w:color w:val="auto"/>
          <w:sz w:val="24"/>
          <w:highlight w:val="none"/>
          <w:lang w:val="en-US" w:eastAsia="zh-CN"/>
        </w:rPr>
        <w:t xml:space="preserve"> ⑪整穴每年至少2-3次，以改善土壤通透性及花草生长环境，可配合施服及中耕除草进行除草，采用人工除草地、生物防治与化学除草相结合，抑制杂草生长。</w:t>
      </w:r>
    </w:p>
    <w:p w14:paraId="2DE5EFDD">
      <w:pPr>
        <w:pStyle w:val="41"/>
        <w:numPr>
          <w:ilvl w:val="0"/>
          <w:numId w:val="14"/>
        </w:numPr>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2026年2月1日至2027年1月31日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三</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5777DD02">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四</w:t>
      </w:r>
      <w:r>
        <w:rPr>
          <w:rFonts w:hint="eastAsia" w:ascii="宋体" w:hAnsi="宋体" w:eastAsia="宋体" w:cs="宋体"/>
          <w:b w:val="0"/>
          <w:color w:val="auto"/>
          <w:sz w:val="24"/>
          <w:szCs w:val="24"/>
          <w:highlight w:val="none"/>
        </w:rPr>
        <w:t>）技术响应要求</w:t>
      </w:r>
    </w:p>
    <w:p w14:paraId="4980E83A">
      <w:pPr>
        <w:adjustRightInd w:val="0"/>
        <w:snapToGrid w:val="0"/>
        <w:spacing w:before="0" w:after="0" w:line="360" w:lineRule="auto"/>
        <w:ind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投标人应针对本项目提供整体服务方案；突发事件处理应急方案；垃圾收集处理、垃圾分类方案；保洁方案；日常消毒方案（至少包括消毒物品、消毒方式、消毒时间安排等方面）；“四害”消杀方案；绿化养护方案；服务人员培训方案；工作交接过渡及人员接收方案；节假日及重大活动组织保证措施方案[至少包括：应急预案、管理制度、人员（包含临时保洁员）组织保障、服务承诺等]；突击性任务配合保障措施方案（至少包括：相关突击性任务配合保障措施、服务承诺等）；检查评比配合保障措施方案（至少包括：相关检查评比配合保障措施、服务承诺等）等。</w:t>
      </w:r>
      <w:r>
        <w:rPr>
          <w:rFonts w:hint="eastAsia" w:ascii="宋体" w:hAnsi="宋体" w:cs="宋体"/>
          <w:color w:val="auto"/>
          <w:sz w:val="24"/>
          <w:szCs w:val="24"/>
          <w:highlight w:val="none"/>
          <w:lang w:eastAsia="zh-CN"/>
        </w:rPr>
        <w:t>（格式自拟）</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2026年2月1日至2027年1</w:t>
      </w:r>
      <w:bookmarkStart w:id="207" w:name="_GoBack"/>
      <w:bookmarkEnd w:id="207"/>
      <w:r>
        <w:rPr>
          <w:rFonts w:hint="eastAsia" w:ascii="宋体" w:hAnsi="宋体" w:cs="宋体"/>
          <w:b w:val="0"/>
          <w:bCs w:val="0"/>
          <w:color w:val="auto"/>
          <w:sz w:val="24"/>
          <w:szCs w:val="24"/>
          <w:highlight w:val="none"/>
          <w:lang w:val="en-US" w:eastAsia="zh-CN"/>
        </w:rPr>
        <w:t>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41847066"/>
      <w:bookmarkStart w:id="149" w:name="_Toc189832470"/>
      <w:bookmarkStart w:id="150" w:name="_Toc152583389"/>
      <w:bookmarkStart w:id="151" w:name="_Toc11845138"/>
      <w:bookmarkStart w:id="152" w:name="_Toc146679241"/>
      <w:bookmarkStart w:id="153" w:name="_Toc146679650"/>
      <w:bookmarkStart w:id="154" w:name="_Toc169944023"/>
      <w:bookmarkStart w:id="155" w:name="_Toc150852805"/>
      <w:bookmarkStart w:id="156" w:name="_Toc144818372"/>
      <w:bookmarkStart w:id="157" w:name="_Toc90180873"/>
      <w:bookmarkStart w:id="158" w:name="_Toc148496351"/>
      <w:bookmarkStart w:id="159" w:name="_Toc169877476"/>
      <w:bookmarkStart w:id="160" w:name="_Toc145393563"/>
      <w:bookmarkStart w:id="161" w:name="_Toc150163485"/>
      <w:bookmarkStart w:id="162" w:name="_Toc116895408"/>
      <w:bookmarkStart w:id="163" w:name="_Toc89791698"/>
      <w:bookmarkStart w:id="164" w:name="_Toc116869901"/>
      <w:bookmarkStart w:id="165" w:name="_Toc168037533"/>
      <w:bookmarkStart w:id="166" w:name="_Toc105315000"/>
      <w:bookmarkStart w:id="167" w:name="_Toc89791596"/>
      <w:bookmarkStart w:id="168" w:name="_Toc148496402"/>
      <w:bookmarkStart w:id="169" w:name="_Toc36867048"/>
      <w:bookmarkStart w:id="170" w:name="_Toc36973985"/>
      <w:bookmarkStart w:id="171" w:name="_Toc34471344"/>
      <w:bookmarkStart w:id="172" w:name="_Toc36973198"/>
      <w:bookmarkStart w:id="173" w:name="_Toc36974289"/>
      <w:bookmarkStart w:id="174" w:name="_Toc36974207"/>
      <w:bookmarkStart w:id="175" w:name="_Toc36974051"/>
      <w:bookmarkStart w:id="176" w:name="_Toc36974340"/>
      <w:bookmarkStart w:id="177" w:name="_Toc32815547"/>
      <w:bookmarkStart w:id="178" w:name="_Toc36885854"/>
      <w:bookmarkStart w:id="179" w:name="_Toc37236847"/>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保洁费用（含消杀，保洁所需用品、易耗品）、绿化养护费、办公费用、交通费、劳动保护费、其他物料消耗费、保险费、垃圾清运费用、服装费、工具设备费、税费、管理费及不可预见费等所有费用。</w:t>
      </w:r>
    </w:p>
    <w:p w14:paraId="639D7872">
      <w:pPr>
        <w:numPr>
          <w:ilvl w:val="0"/>
          <w:numId w:val="0"/>
        </w:numPr>
        <w:tabs>
          <w:tab w:val="left" w:pos="1050"/>
        </w:tabs>
        <w:spacing w:line="360" w:lineRule="auto"/>
        <w:ind w:leftChars="200"/>
        <w:rPr>
          <w:rFonts w:hint="default" w:eastAsia="宋体"/>
          <w:color w:val="auto"/>
          <w:highlight w:val="none"/>
          <w:lang w:val="en-US" w:eastAsia="zh-CN"/>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3DB16779">
      <w:pPr>
        <w:adjustRightInd w:val="0"/>
        <w:snapToGrid w:val="0"/>
        <w:spacing w:line="360" w:lineRule="auto"/>
        <w:ind w:firstLine="4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本采购项目的采购预算为人民币肆拾肆万捌仟玖佰玖拾玖元整（￥448999），采购预算为总报价的最高限价，其中</w:t>
      </w:r>
      <w:r>
        <w:rPr>
          <w:rFonts w:hint="eastAsia" w:ascii="宋体" w:hAnsi="宋体" w:cs="宋体"/>
          <w:color w:val="auto"/>
          <w:kern w:val="0"/>
          <w:sz w:val="24"/>
          <w:highlight w:val="none"/>
          <w:lang w:val="en-US" w:eastAsia="zh-CN"/>
        </w:rPr>
        <w:t>古地石指挥部项目保洁最高限价49199元，金尚菜市场项目保洁最高限价140000元，厦大海韵园二期项目保洁最高限价216000、绿化最高限价43800元。</w:t>
      </w:r>
    </w:p>
    <w:p w14:paraId="283AB82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cs="宋体"/>
          <w:b/>
          <w:bCs/>
          <w:color w:val="auto"/>
          <w:sz w:val="24"/>
          <w:highlight w:val="none"/>
          <w:lang w:val="en-US" w:eastAsia="zh-CN"/>
        </w:rPr>
        <w:t>供应商投标总报价低于最高限价总价，且单项投标报价低于单项最高限价</w:t>
      </w:r>
      <w:r>
        <w:rPr>
          <w:rFonts w:hint="eastAsia" w:ascii="宋体" w:hAnsi="宋体" w:cs="宋体"/>
          <w:b/>
          <w:bCs/>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16869902"/>
      <w:bookmarkStart w:id="181" w:name="_Toc89791597"/>
      <w:bookmarkStart w:id="182" w:name="_Toc148496403"/>
      <w:bookmarkStart w:id="183" w:name="_Toc145393564"/>
      <w:bookmarkStart w:id="184" w:name="_Toc141847067"/>
      <w:bookmarkStart w:id="185" w:name="_Toc168037534"/>
      <w:bookmarkStart w:id="186" w:name="_Toc116895409"/>
      <w:bookmarkStart w:id="187" w:name="_Toc152583390"/>
      <w:bookmarkStart w:id="188" w:name="_Toc169877477"/>
      <w:bookmarkStart w:id="189" w:name="_Toc144818373"/>
      <w:bookmarkStart w:id="190" w:name="_Toc105315001"/>
      <w:bookmarkStart w:id="191" w:name="_Toc169944024"/>
      <w:bookmarkStart w:id="192" w:name="_Toc90180874"/>
      <w:bookmarkStart w:id="193" w:name="_Toc146679651"/>
      <w:bookmarkStart w:id="194" w:name="_Toc150163486"/>
      <w:bookmarkStart w:id="195" w:name="_Toc148496352"/>
      <w:bookmarkStart w:id="196" w:name="_Toc146679242"/>
      <w:bookmarkStart w:id="197" w:name="_Toc189832480"/>
      <w:bookmarkStart w:id="198" w:name="_Toc89791699"/>
      <w:bookmarkStart w:id="199" w:name="_Toc150852806"/>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129D6C6A">
      <w:pPr>
        <w:spacing w:line="440" w:lineRule="exact"/>
        <w:jc w:val="left"/>
        <w:rPr>
          <w:rFonts w:ascii="宋体" w:hAnsi="宋体"/>
          <w:color w:val="auto"/>
          <w:sz w:val="28"/>
          <w:szCs w:val="28"/>
          <w:highlight w:val="none"/>
        </w:rPr>
      </w:pPr>
      <w:r>
        <w:rPr>
          <w:rFonts w:hint="eastAsia" w:ascii="楷体_GB2312" w:eastAsia="楷体_GB2312"/>
          <w:color w:val="auto"/>
          <w:sz w:val="24"/>
          <w:highlight w:val="none"/>
        </w:rPr>
        <w:t>合同编号：</w:t>
      </w:r>
    </w:p>
    <w:p w14:paraId="66E7EF17">
      <w:pPr>
        <w:spacing w:line="440" w:lineRule="exact"/>
        <w:jc w:val="center"/>
        <w:rPr>
          <w:rFonts w:ascii="宋体" w:hAnsi="宋体"/>
          <w:color w:val="auto"/>
          <w:sz w:val="28"/>
          <w:szCs w:val="28"/>
          <w:highlight w:val="none"/>
        </w:rPr>
      </w:pPr>
    </w:p>
    <w:p w14:paraId="657668ED">
      <w:pPr>
        <w:jc w:val="center"/>
        <w:rPr>
          <w:rFonts w:ascii="黑体" w:hAnsi="黑体" w:eastAsia="黑体"/>
          <w:color w:val="auto"/>
          <w:sz w:val="36"/>
          <w:szCs w:val="36"/>
          <w:highlight w:val="none"/>
        </w:rPr>
      </w:pPr>
    </w:p>
    <w:p w14:paraId="13BD0E71">
      <w:pPr>
        <w:jc w:val="center"/>
        <w:rPr>
          <w:rFonts w:ascii="黑体" w:hAnsi="黑体" w:eastAsia="黑体"/>
          <w:color w:val="auto"/>
          <w:sz w:val="36"/>
          <w:szCs w:val="36"/>
          <w:highlight w:val="none"/>
        </w:rPr>
      </w:pPr>
    </w:p>
    <w:p w14:paraId="550B73E0">
      <w:pPr>
        <w:jc w:val="center"/>
        <w:rPr>
          <w:rFonts w:ascii="黑体" w:hAnsi="黑体" w:eastAsia="黑体"/>
          <w:color w:val="auto"/>
          <w:sz w:val="36"/>
          <w:szCs w:val="36"/>
          <w:highlight w:val="none"/>
        </w:rPr>
      </w:pPr>
    </w:p>
    <w:p w14:paraId="4E7C17F8">
      <w:pPr>
        <w:jc w:val="center"/>
        <w:rPr>
          <w:b/>
          <w:bCs/>
          <w:color w:val="auto"/>
          <w:sz w:val="36"/>
          <w:highlight w:val="none"/>
        </w:rPr>
      </w:pPr>
      <w:r>
        <w:rPr>
          <w:rFonts w:hint="eastAsia" w:ascii="黑体" w:hAnsi="宋体" w:eastAsia="黑体"/>
          <w:bCs/>
          <w:color w:val="auto"/>
          <w:sz w:val="96"/>
          <w:szCs w:val="96"/>
          <w:highlight w:val="none"/>
        </w:rPr>
        <w:t>环境服务合同</w:t>
      </w:r>
    </w:p>
    <w:p w14:paraId="04DDE35C">
      <w:pPr>
        <w:jc w:val="center"/>
        <w:rPr>
          <w:b/>
          <w:bCs/>
          <w:color w:val="auto"/>
          <w:sz w:val="36"/>
          <w:highlight w:val="none"/>
        </w:rPr>
      </w:pPr>
      <w:r>
        <w:rPr>
          <w:rFonts w:hint="eastAsia"/>
          <w:b/>
          <w:bCs/>
          <w:color w:val="auto"/>
          <w:sz w:val="36"/>
          <w:highlight w:val="none"/>
        </w:rPr>
        <w:t>□ 保洁   □ 绿化</w:t>
      </w:r>
    </w:p>
    <w:p w14:paraId="23262087">
      <w:pPr>
        <w:jc w:val="center"/>
        <w:rPr>
          <w:b/>
          <w:bCs/>
          <w:color w:val="auto"/>
          <w:sz w:val="36"/>
          <w:highlight w:val="none"/>
        </w:rPr>
      </w:pPr>
    </w:p>
    <w:p w14:paraId="624A37F9">
      <w:pPr>
        <w:pStyle w:val="15"/>
        <w:rPr>
          <w:b/>
          <w:bCs/>
          <w:color w:val="auto"/>
          <w:sz w:val="36"/>
          <w:highlight w:val="none"/>
        </w:rPr>
      </w:pPr>
    </w:p>
    <w:p w14:paraId="0405D6AB">
      <w:pPr>
        <w:rPr>
          <w:b/>
          <w:bCs/>
          <w:color w:val="auto"/>
          <w:sz w:val="36"/>
          <w:highlight w:val="none"/>
        </w:rPr>
      </w:pPr>
    </w:p>
    <w:p w14:paraId="45D39DF1">
      <w:pPr>
        <w:pStyle w:val="15"/>
        <w:rPr>
          <w:b/>
          <w:bCs/>
          <w:color w:val="auto"/>
          <w:sz w:val="36"/>
          <w:highlight w:val="none"/>
        </w:rPr>
      </w:pPr>
    </w:p>
    <w:p w14:paraId="64AB7999">
      <w:pPr>
        <w:rPr>
          <w:color w:val="auto"/>
          <w:highlight w:val="none"/>
        </w:rPr>
      </w:pPr>
    </w:p>
    <w:p w14:paraId="00616145">
      <w:pPr>
        <w:adjustRightInd w:val="0"/>
        <w:snapToGrid w:val="0"/>
        <w:spacing w:line="460" w:lineRule="exact"/>
        <w:ind w:firstLine="1280" w:firstLineChars="400"/>
        <w:rPr>
          <w:color w:val="auto"/>
          <w:sz w:val="32"/>
          <w:szCs w:val="32"/>
          <w:highlight w:val="none"/>
        </w:rPr>
      </w:pPr>
      <w:r>
        <w:rPr>
          <w:rFonts w:hint="eastAsia"/>
          <w:color w:val="auto"/>
          <w:sz w:val="32"/>
          <w:szCs w:val="32"/>
          <w:highlight w:val="none"/>
        </w:rPr>
        <w:t>项目名称：</w:t>
      </w:r>
      <w:r>
        <w:rPr>
          <w:rFonts w:hint="eastAsia"/>
          <w:color w:val="auto"/>
          <w:sz w:val="32"/>
          <w:szCs w:val="32"/>
          <w:highlight w:val="none"/>
          <w:u w:val="single"/>
        </w:rPr>
        <w:t xml:space="preserve">                            </w:t>
      </w:r>
    </w:p>
    <w:p w14:paraId="5549CFF5">
      <w:pPr>
        <w:adjustRightInd w:val="0"/>
        <w:snapToGrid w:val="0"/>
        <w:spacing w:line="460" w:lineRule="exact"/>
        <w:ind w:firstLine="640" w:firstLineChars="200"/>
        <w:rPr>
          <w:rFonts w:ascii="宋体" w:hAnsi="宋体"/>
          <w:color w:val="auto"/>
          <w:sz w:val="32"/>
          <w:szCs w:val="32"/>
          <w:highlight w:val="none"/>
        </w:rPr>
      </w:pPr>
    </w:p>
    <w:p w14:paraId="1F94286B">
      <w:pPr>
        <w:tabs>
          <w:tab w:val="left" w:pos="547"/>
        </w:tabs>
        <w:spacing w:line="900" w:lineRule="exact"/>
        <w:ind w:firstLine="1280" w:firstLineChars="400"/>
        <w:rPr>
          <w:color w:val="auto"/>
          <w:sz w:val="32"/>
          <w:szCs w:val="32"/>
          <w:highlight w:val="none"/>
        </w:rPr>
      </w:pPr>
      <w:r>
        <w:rPr>
          <w:rFonts w:hint="eastAsia"/>
          <w:color w:val="auto"/>
          <w:sz w:val="32"/>
          <w:szCs w:val="32"/>
          <w:highlight w:val="none"/>
        </w:rPr>
        <w:t>项目甲方：</w:t>
      </w:r>
      <w:r>
        <w:rPr>
          <w:rFonts w:hint="eastAsia"/>
          <w:color w:val="auto"/>
          <w:sz w:val="32"/>
          <w:szCs w:val="32"/>
          <w:highlight w:val="none"/>
          <w:lang w:val="en-US" w:eastAsia="zh-CN"/>
        </w:rPr>
        <w:t xml:space="preserve">                            </w:t>
      </w:r>
      <w:r>
        <w:rPr>
          <w:rFonts w:hint="eastAsia"/>
          <w:color w:val="auto"/>
          <w:sz w:val="32"/>
          <w:szCs w:val="32"/>
          <w:highlight w:val="none"/>
        </w:rPr>
        <w:t>（盖章）</w:t>
      </w:r>
    </w:p>
    <w:p w14:paraId="4E64F2E1">
      <w:pPr>
        <w:spacing w:line="400" w:lineRule="exact"/>
        <w:ind w:firstLine="640" w:firstLineChars="200"/>
        <w:rPr>
          <w:color w:val="auto"/>
          <w:sz w:val="32"/>
          <w:szCs w:val="32"/>
          <w:highlight w:val="none"/>
          <w:u w:val="single"/>
        </w:rPr>
      </w:pPr>
    </w:p>
    <w:p w14:paraId="53195395">
      <w:pPr>
        <w:spacing w:line="900" w:lineRule="exact"/>
        <w:ind w:firstLine="1280" w:firstLineChars="400"/>
        <w:rPr>
          <w:color w:val="auto"/>
          <w:sz w:val="32"/>
          <w:szCs w:val="32"/>
          <w:highlight w:val="none"/>
        </w:rPr>
      </w:pPr>
      <w:r>
        <w:rPr>
          <w:rFonts w:hint="eastAsia"/>
          <w:color w:val="auto"/>
          <w:sz w:val="32"/>
          <w:szCs w:val="32"/>
          <w:highlight w:val="none"/>
        </w:rPr>
        <w:t>项目乙方：</w:t>
      </w:r>
      <w:r>
        <w:rPr>
          <w:rFonts w:hint="eastAsia"/>
          <w:color w:val="auto"/>
          <w:sz w:val="32"/>
          <w:szCs w:val="32"/>
          <w:highlight w:val="none"/>
          <w:u w:val="single"/>
        </w:rPr>
        <w:t xml:space="preserve">                            </w:t>
      </w:r>
      <w:r>
        <w:rPr>
          <w:rFonts w:hint="eastAsia"/>
          <w:color w:val="auto"/>
          <w:sz w:val="32"/>
          <w:szCs w:val="32"/>
          <w:highlight w:val="none"/>
        </w:rPr>
        <w:t>（盖章）</w:t>
      </w:r>
    </w:p>
    <w:p w14:paraId="5E87C546">
      <w:pPr>
        <w:spacing w:line="900" w:lineRule="exact"/>
        <w:ind w:firstLine="640" w:firstLineChars="200"/>
        <w:rPr>
          <w:color w:val="auto"/>
          <w:sz w:val="32"/>
          <w:szCs w:val="32"/>
          <w:highlight w:val="none"/>
        </w:rPr>
      </w:pPr>
    </w:p>
    <w:p w14:paraId="75C0FC62">
      <w:pPr>
        <w:jc w:val="center"/>
        <w:rPr>
          <w:color w:val="auto"/>
          <w:sz w:val="32"/>
          <w:szCs w:val="32"/>
          <w:highlight w:val="none"/>
        </w:rPr>
      </w:pPr>
      <w:r>
        <w:rPr>
          <w:rFonts w:hint="eastAsia"/>
          <w:color w:val="auto"/>
          <w:sz w:val="32"/>
          <w:szCs w:val="32"/>
          <w:highlight w:val="none"/>
        </w:rPr>
        <w:t xml:space="preserve">编 制 日 期 ：  </w:t>
      </w:r>
      <w:r>
        <w:rPr>
          <w:rFonts w:hint="eastAsia"/>
          <w:color w:val="auto"/>
          <w:sz w:val="32"/>
          <w:szCs w:val="32"/>
          <w:highlight w:val="none"/>
          <w:lang w:val="en-US" w:eastAsia="zh-CN"/>
        </w:rPr>
        <w:t xml:space="preserve">  </w:t>
      </w:r>
      <w:r>
        <w:rPr>
          <w:rFonts w:hint="eastAsia"/>
          <w:color w:val="auto"/>
          <w:sz w:val="32"/>
          <w:szCs w:val="32"/>
          <w:highlight w:val="none"/>
        </w:rPr>
        <w:t xml:space="preserve">   年   月</w:t>
      </w:r>
    </w:p>
    <w:p w14:paraId="263A01F6">
      <w:pPr>
        <w:spacing w:line="520" w:lineRule="exact"/>
        <w:jc w:val="both"/>
        <w:rPr>
          <w:rFonts w:hint="eastAsia" w:ascii="宋体" w:hAnsi="宋体" w:cs="宋体"/>
          <w:b/>
          <w:color w:val="auto"/>
          <w:sz w:val="36"/>
          <w:szCs w:val="36"/>
          <w:highlight w:val="none"/>
        </w:rPr>
      </w:pPr>
    </w:p>
    <w:p w14:paraId="47F78C7B">
      <w:pPr>
        <w:spacing w:line="520" w:lineRule="exact"/>
        <w:jc w:val="both"/>
        <w:rPr>
          <w:rFonts w:hint="eastAsia" w:ascii="宋体" w:hAnsi="宋体" w:cs="宋体"/>
          <w:b/>
          <w:color w:val="auto"/>
          <w:sz w:val="36"/>
          <w:szCs w:val="36"/>
          <w:highlight w:val="none"/>
        </w:rPr>
      </w:pPr>
    </w:p>
    <w:p w14:paraId="04C2D8ED">
      <w:pPr>
        <w:spacing w:line="520" w:lineRule="exact"/>
        <w:jc w:val="center"/>
        <w:rPr>
          <w:rFonts w:hint="eastAsia" w:ascii="宋体" w:hAnsi="宋体" w:cs="宋体"/>
          <w:b/>
          <w:color w:val="auto"/>
          <w:sz w:val="36"/>
          <w:szCs w:val="36"/>
          <w:highlight w:val="none"/>
        </w:rPr>
      </w:pPr>
    </w:p>
    <w:p w14:paraId="64BC6E57">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环境服务合同</w:t>
      </w:r>
    </w:p>
    <w:p w14:paraId="4C995FE4">
      <w:pPr>
        <w:spacing w:line="520" w:lineRule="exact"/>
        <w:rPr>
          <w:rFonts w:ascii="宋体" w:hAnsi="宋体" w:cs="宋体"/>
          <w:color w:val="auto"/>
          <w:sz w:val="24"/>
          <w:highlight w:val="none"/>
        </w:rPr>
      </w:pPr>
      <w:r>
        <w:rPr>
          <w:rFonts w:hint="eastAsia" w:ascii="宋体" w:hAnsi="宋体" w:cs="宋体"/>
          <w:color w:val="auto"/>
          <w:sz w:val="24"/>
          <w:highlight w:val="none"/>
        </w:rPr>
        <w:t>甲方：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0EE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CE2A33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7174C267">
            <w:pPr>
              <w:spacing w:line="520" w:lineRule="exact"/>
              <w:rPr>
                <w:rFonts w:ascii="宋体" w:hAnsi="宋体" w:cs="宋体"/>
                <w:color w:val="auto"/>
                <w:sz w:val="24"/>
                <w:highlight w:val="none"/>
              </w:rPr>
            </w:pPr>
            <w:r>
              <w:rPr>
                <w:rFonts w:hint="eastAsia" w:ascii="宋体" w:hAnsi="宋体" w:cs="宋体"/>
                <w:color w:val="auto"/>
                <w:sz w:val="24"/>
                <w:highlight w:val="none"/>
              </w:rPr>
              <w:t>厦门湖里国投物业服务有限公司</w:t>
            </w:r>
          </w:p>
        </w:tc>
      </w:tr>
      <w:tr w14:paraId="08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ECC9F6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206E3320">
            <w:pPr>
              <w:spacing w:line="5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一般纳税人</w:t>
            </w:r>
          </w:p>
        </w:tc>
      </w:tr>
      <w:tr w14:paraId="468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E476F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43BFCF2">
            <w:pPr>
              <w:spacing w:line="520" w:lineRule="exact"/>
              <w:rPr>
                <w:rFonts w:ascii="宋体" w:hAnsi="宋体" w:cs="宋体"/>
                <w:color w:val="auto"/>
                <w:sz w:val="24"/>
                <w:highlight w:val="none"/>
              </w:rPr>
            </w:pPr>
            <w:r>
              <w:rPr>
                <w:rFonts w:hint="eastAsia" w:ascii="宋体" w:hAnsi="宋体" w:cs="宋体"/>
                <w:color w:val="auto"/>
                <w:sz w:val="24"/>
                <w:highlight w:val="none"/>
              </w:rPr>
              <w:t>913502066712666862</w:t>
            </w:r>
          </w:p>
        </w:tc>
      </w:tr>
      <w:tr w14:paraId="75C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51F34AC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5C8F2235">
            <w:pPr>
              <w:spacing w:line="520" w:lineRule="exact"/>
              <w:rPr>
                <w:rFonts w:ascii="宋体" w:hAnsi="宋体" w:cs="宋体"/>
                <w:color w:val="auto"/>
                <w:sz w:val="24"/>
                <w:highlight w:val="none"/>
              </w:rPr>
            </w:pPr>
            <w:r>
              <w:rPr>
                <w:rFonts w:hint="eastAsia" w:ascii="宋体" w:hAnsi="宋体" w:cs="宋体"/>
                <w:color w:val="auto"/>
                <w:sz w:val="24"/>
                <w:highlight w:val="none"/>
              </w:rPr>
              <w:t>厦门市湖里区园山南路792号401室</w:t>
            </w:r>
          </w:p>
        </w:tc>
      </w:tr>
      <w:tr w14:paraId="6A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42D8505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1CA3268E">
            <w:pPr>
              <w:spacing w:line="520" w:lineRule="exact"/>
              <w:rPr>
                <w:rFonts w:ascii="宋体" w:hAnsi="宋体" w:cs="宋体"/>
                <w:color w:val="auto"/>
                <w:sz w:val="24"/>
                <w:highlight w:val="none"/>
              </w:rPr>
            </w:pPr>
            <w:r>
              <w:rPr>
                <w:rFonts w:hint="eastAsia" w:ascii="宋体" w:hAnsi="宋体" w:cs="宋体"/>
                <w:color w:val="auto"/>
                <w:sz w:val="24"/>
                <w:highlight w:val="none"/>
              </w:rPr>
              <w:t>中国银行枋湖支行</w:t>
            </w:r>
          </w:p>
        </w:tc>
      </w:tr>
      <w:tr w14:paraId="018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2E2FA9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84B54FC">
            <w:pPr>
              <w:spacing w:line="520" w:lineRule="exact"/>
              <w:rPr>
                <w:rFonts w:ascii="宋体" w:hAnsi="宋体" w:cs="宋体"/>
                <w:color w:val="auto"/>
                <w:sz w:val="24"/>
                <w:highlight w:val="none"/>
              </w:rPr>
            </w:pPr>
            <w:r>
              <w:rPr>
                <w:rFonts w:hint="eastAsia" w:ascii="宋体" w:hAnsi="宋体" w:cs="宋体"/>
                <w:color w:val="auto"/>
                <w:sz w:val="24"/>
                <w:highlight w:val="none"/>
              </w:rPr>
              <w:t>429967185265</w:t>
            </w:r>
          </w:p>
        </w:tc>
      </w:tr>
      <w:tr w14:paraId="613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95378E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7C7D571">
            <w:pPr>
              <w:spacing w:line="520" w:lineRule="exact"/>
              <w:rPr>
                <w:rFonts w:ascii="宋体" w:hAnsi="宋体" w:cs="宋体"/>
                <w:color w:val="auto"/>
                <w:sz w:val="24"/>
                <w:highlight w:val="none"/>
              </w:rPr>
            </w:pPr>
            <w:r>
              <w:rPr>
                <w:rFonts w:hint="eastAsia" w:ascii="宋体" w:hAnsi="宋体" w:cs="宋体"/>
                <w:color w:val="auto"/>
                <w:sz w:val="24"/>
                <w:highlight w:val="none"/>
              </w:rPr>
              <w:t>0592-5382899</w:t>
            </w:r>
          </w:p>
        </w:tc>
      </w:tr>
    </w:tbl>
    <w:p w14:paraId="726FD85D">
      <w:pPr>
        <w:spacing w:line="520" w:lineRule="exact"/>
        <w:rPr>
          <w:rFonts w:ascii="宋体" w:hAnsi="宋体" w:cs="宋体"/>
          <w:color w:val="auto"/>
          <w:sz w:val="24"/>
          <w:highlight w:val="none"/>
        </w:rPr>
      </w:pPr>
      <w:r>
        <w:rPr>
          <w:rFonts w:hint="eastAsia" w:ascii="宋体" w:hAnsi="宋体" w:cs="宋体"/>
          <w:color w:val="auto"/>
          <w:sz w:val="24"/>
          <w:highlight w:val="none"/>
        </w:rPr>
        <w:t>乙方：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214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7FE7DFA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4603BEF8">
            <w:pPr>
              <w:spacing w:line="520" w:lineRule="exact"/>
              <w:rPr>
                <w:rFonts w:ascii="宋体" w:hAnsi="宋体" w:cs="宋体"/>
                <w:color w:val="auto"/>
                <w:sz w:val="24"/>
                <w:highlight w:val="none"/>
              </w:rPr>
            </w:pPr>
          </w:p>
        </w:tc>
      </w:tr>
      <w:tr w14:paraId="0A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B3F0E3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4B1C5175">
            <w:pPr>
              <w:spacing w:line="520" w:lineRule="exact"/>
              <w:rPr>
                <w:rFonts w:ascii="宋体" w:hAnsi="宋体" w:cs="宋体"/>
                <w:color w:val="auto"/>
                <w:sz w:val="24"/>
                <w:highlight w:val="none"/>
              </w:rPr>
            </w:pPr>
          </w:p>
        </w:tc>
      </w:tr>
      <w:tr w14:paraId="0C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2688AB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E65094F">
            <w:pPr>
              <w:spacing w:line="520" w:lineRule="exact"/>
              <w:rPr>
                <w:rFonts w:ascii="宋体" w:hAnsi="宋体" w:cs="宋体"/>
                <w:color w:val="auto"/>
                <w:sz w:val="24"/>
                <w:highlight w:val="none"/>
              </w:rPr>
            </w:pPr>
          </w:p>
        </w:tc>
      </w:tr>
      <w:tr w14:paraId="63C4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11CC326">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45474602">
            <w:pPr>
              <w:spacing w:line="520" w:lineRule="exact"/>
              <w:rPr>
                <w:rFonts w:ascii="宋体" w:hAnsi="宋体" w:cs="宋体"/>
                <w:color w:val="auto"/>
                <w:sz w:val="24"/>
                <w:highlight w:val="none"/>
              </w:rPr>
            </w:pPr>
          </w:p>
        </w:tc>
      </w:tr>
      <w:tr w14:paraId="2EC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39F3BD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7A84A195">
            <w:pPr>
              <w:spacing w:line="520" w:lineRule="exact"/>
              <w:rPr>
                <w:rFonts w:ascii="宋体" w:hAnsi="宋体" w:cs="宋体"/>
                <w:color w:val="auto"/>
                <w:sz w:val="24"/>
                <w:highlight w:val="none"/>
              </w:rPr>
            </w:pPr>
          </w:p>
        </w:tc>
      </w:tr>
      <w:tr w14:paraId="037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A15F57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2E77690">
            <w:pPr>
              <w:spacing w:line="520" w:lineRule="exact"/>
              <w:rPr>
                <w:rFonts w:ascii="宋体" w:hAnsi="宋体" w:cs="宋体"/>
                <w:color w:val="auto"/>
                <w:sz w:val="24"/>
                <w:highlight w:val="none"/>
              </w:rPr>
            </w:pPr>
          </w:p>
        </w:tc>
      </w:tr>
      <w:tr w14:paraId="736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6AD80B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ECB37A0">
            <w:pPr>
              <w:spacing w:line="520" w:lineRule="exact"/>
              <w:rPr>
                <w:rFonts w:ascii="宋体" w:hAnsi="宋体" w:cs="宋体"/>
                <w:color w:val="auto"/>
                <w:sz w:val="24"/>
                <w:highlight w:val="none"/>
              </w:rPr>
            </w:pPr>
          </w:p>
        </w:tc>
      </w:tr>
    </w:tbl>
    <w:p w14:paraId="3D44E256">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甲、乙双方根据《中华人民共和国民法典》有关规定，按照</w:t>
      </w:r>
      <w:r>
        <w:rPr>
          <w:rFonts w:hint="eastAsia" w:ascii="宋体" w:hAnsi="宋体" w:cs="宋体"/>
          <w:color w:val="auto"/>
          <w:sz w:val="24"/>
          <w:highlight w:val="none"/>
          <w:lang w:eastAsia="zh-CN"/>
        </w:rPr>
        <w:t>响应供应商</w:t>
      </w:r>
      <w:r>
        <w:rPr>
          <w:rFonts w:hint="eastAsia" w:ascii="宋体" w:hAnsi="宋体" w:cs="宋体"/>
          <w:color w:val="auto"/>
          <w:sz w:val="24"/>
          <w:highlight w:val="none"/>
        </w:rPr>
        <w:t>结果并经友好协商，确定由乙方承接甲方管理的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（项目名）公共区域及办公场所的□保洁服务和□绿化养护服务，统称环境服务。为规范双方的义务并保障双方权益，特制定以下合同条款：</w:t>
      </w:r>
    </w:p>
    <w:p w14:paraId="183F49B8">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一、乙方承接甲方所管理的</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项目的环境服务业务。</w:t>
      </w:r>
    </w:p>
    <w:p w14:paraId="58290E80">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保洁服务方式：乙方包工、包料、包工具及洗涤用品（不含洗手液、卷纸、擦手纸、垃圾桶）、包质量的方式。</w:t>
      </w:r>
    </w:p>
    <w:p w14:paraId="18AF89EE">
      <w:pPr>
        <w:spacing w:line="520" w:lineRule="exact"/>
        <w:ind w:firstLine="472" w:firstLineChars="196"/>
        <w:rPr>
          <w:rFonts w:ascii="宋体" w:hAnsi="宋体" w:cs="宋体"/>
          <w:color w:val="auto"/>
          <w:spacing w:val="23"/>
          <w:sz w:val="24"/>
          <w:highlight w:val="none"/>
        </w:rPr>
      </w:pPr>
      <w:r>
        <w:rPr>
          <w:rFonts w:hint="eastAsia" w:ascii="宋体" w:hAnsi="宋体" w:cs="宋体"/>
          <w:b/>
          <w:color w:val="auto"/>
          <w:sz w:val="24"/>
          <w:highlight w:val="none"/>
        </w:rPr>
        <w:t>三、</w:t>
      </w:r>
      <w:r>
        <w:rPr>
          <w:rFonts w:hint="eastAsia" w:ascii="宋体" w:hAnsi="宋体" w:cs="宋体"/>
          <w:color w:val="auto"/>
          <w:sz w:val="24"/>
          <w:highlight w:val="none"/>
        </w:rPr>
        <w:t>□</w:t>
      </w:r>
      <w:r>
        <w:rPr>
          <w:rFonts w:hint="eastAsia" w:ascii="宋体" w:hAnsi="宋体" w:cs="宋体"/>
          <w:b/>
          <w:color w:val="auto"/>
          <w:sz w:val="24"/>
          <w:highlight w:val="none"/>
        </w:rPr>
        <w:t>绿化养护方式：乙方包工包料，包括绿化浇喷水、修剪、施肥、病虫害防治、杂草防除、中耕培土、死苗干枝清理、绿地排积水、绿地保洁、垃圾清运、刷白、喷灌系统及其它园建设施日常保护及简易修理。</w:t>
      </w:r>
    </w:p>
    <w:p w14:paraId="45374E7C">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四、甲方的权利和义务：</w:t>
      </w:r>
    </w:p>
    <w:p w14:paraId="53AC0F59">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权利：</w:t>
      </w:r>
    </w:p>
    <w:p w14:paraId="6F1E648D">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有权制定相应的管理措施，以保证乙方按照合同及其它双方协定要求运作。有权派工作人员监督乙方承接范围内的环境服务质量，发现问题及时通知乙方整改。有权随时抽查乙方现场服务人员的工作质量。</w:t>
      </w:r>
    </w:p>
    <w:p w14:paraId="2BC21D61">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要求更换乙方不合格人员，乙方应在15个工作日内给予调换至合适人选。若期限内未完成人员更换，甲方有权从应付乙方的服务费用中扣减人员从本月至更换完成当月的费用（每人每月的费用为总价除以总人数再除12个月），环境实施质量按合同约定执行不得予以降低</w:t>
      </w:r>
      <w:r>
        <w:rPr>
          <w:rFonts w:hint="eastAsia" w:ascii="宋体" w:hAnsi="宋体" w:eastAsia="宋体" w:cs="宋体"/>
          <w:color w:val="auto"/>
          <w:sz w:val="24"/>
          <w:highlight w:val="none"/>
        </w:rPr>
        <w:t>。</w:t>
      </w:r>
    </w:p>
    <w:p w14:paraId="6AD0BF7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在甲方两次书面通知整改3个工作日内，乙方仍无法按作业要求及标准整改合格的，甲方有权临时请应急队伍处理，相关费用从应付给乙方的服务费中扣除，乙方予以确认。</w:t>
      </w:r>
    </w:p>
    <w:p w14:paraId="4313D34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每月若有对乙方的投诉（特别是服务质量问题），乙方未及时正确处理和解决的，甲方有权提出书面警告。若因乙方服务质量原因造成甲方损失，乙方需承担相应赔偿责任。</w:t>
      </w:r>
    </w:p>
    <w:p w14:paraId="1798F806">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义务：</w:t>
      </w:r>
    </w:p>
    <w:p w14:paraId="6DF53317">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无偿提供环境维护使用的水电，提供贮物房间（场所）供乙方放置工具、材料等物品之用，乙方置放的工具材料应干净整洁,不得产生污染。若对上述场所进行改造或翻新，费用由乙方自理；</w:t>
      </w:r>
    </w:p>
    <w:p w14:paraId="4315F8EB">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对于乙方合理的工作协助、要求及建议，甲方应予全力支持。</w:t>
      </w:r>
    </w:p>
    <w:p w14:paraId="008B17F1">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如遇特殊环境相关工作需求时，需提前通知乙方安排人员进行作业。</w:t>
      </w:r>
    </w:p>
    <w:p w14:paraId="4D0E942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教育项目员工自觉维护乙方所承接业务范围的□清洁卫生和□绿化环境，对破坏项目环境之行为应给予及时制止与纠正，屡次违反不改者应予以相应的通告处分。</w:t>
      </w:r>
    </w:p>
    <w:p w14:paraId="7C681E1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负责提供乙方履行本合同所需的相关材料（包括甲方制定的服务标准制度等）、告知乙方相关环境服务标准，部分设备使用需要环境作业人员特殊注意的，甲方应当尽到提示义务。若甲方未提前告知导致乙方无法正常履行的，乙方有权暂缓履行相关义务，直至甲方告知为止。</w:t>
      </w:r>
    </w:p>
    <w:p w14:paraId="6BAD31AD">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在乙方无过错的情况下，甲方有义务协调乙方、乙方作业人员和业主之间的纠纷，确保能按月履行合同义务。</w:t>
      </w:r>
    </w:p>
    <w:p w14:paraId="06DA45D3">
      <w:pPr>
        <w:numPr>
          <w:ilvl w:val="255"/>
          <w:numId w:val="0"/>
        </w:numPr>
        <w:spacing w:line="520" w:lineRule="exact"/>
        <w:ind w:left="428" w:firstLine="0" w:firstLineChars="0"/>
        <w:rPr>
          <w:rFonts w:ascii="宋体" w:hAnsi="宋体" w:cs="宋体"/>
          <w:b/>
          <w:bCs/>
          <w:color w:val="auto"/>
          <w:sz w:val="24"/>
          <w:highlight w:val="none"/>
        </w:rPr>
      </w:pPr>
      <w:r>
        <w:rPr>
          <w:rFonts w:hint="eastAsia" w:ascii="宋体" w:hAnsi="宋体" w:cs="宋体"/>
          <w:b/>
          <w:color w:val="auto"/>
          <w:sz w:val="24"/>
          <w:highlight w:val="none"/>
        </w:rPr>
        <w:t>五、乙方的权利和义务：</w:t>
      </w:r>
    </w:p>
    <w:p w14:paraId="2D07AAA7">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权利：</w:t>
      </w:r>
    </w:p>
    <w:p w14:paraId="5B788557">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自行指定现场负责人，具体安排及全面督导日常环境服务工作，巡检（分自检和参与甲方联检）现场环境情况，及时处理甲方投诉，并保持与甲方相关负责人的日常联系，以便于工作配合与协调；</w:t>
      </w:r>
    </w:p>
    <w:p w14:paraId="78A06524">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乙方现场工作人员有权利向甲方反映公共设施、设备的完好状况，要求甲方及时处理，保证乙方能够进行服务；</w:t>
      </w:r>
    </w:p>
    <w:p w14:paraId="3110A8FF">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乙方有权利向甲方反映甲方现场工作人员不配合的问题，甲方应予以调查，确实存在问题的应进行协调处理。</w:t>
      </w:r>
    </w:p>
    <w:p w14:paraId="143A6D6E">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义务：</w:t>
      </w:r>
    </w:p>
    <w:p w14:paraId="570A955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严格按照双方所共同制定各项作业标准（具体参照合同附件之相关规定），指派具有相应资质的从业人员提供专业环境服务，并严格组织安全生产教育、培训和管理，承担所有安全生产责任。遵守甲方所订规章制度，保持良好的生活环境和秩序，爱护甲方的财产，维护甲方良好的形象。对有违法乱纪或违反甲方委托服务区域各项规定的乙方员工，乙方须予以严肃处理，并将处理结果通报甲方。甲方要求更换乱纪人员的，乙方应该在当日执行。</w:t>
      </w:r>
    </w:p>
    <w:p w14:paraId="4E92A09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与指派的环境人员依法订立劳动合同，并依法履行用工单位的义务，不得因劳动合同纠纷而影响本合同的履行，否则，乙方应按本合同第十条第（二）款约定承担违约责任；如对本合同履行有影响，甲方有权解除合同。</w:t>
      </w:r>
    </w:p>
    <w:p w14:paraId="0404110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按照甲乙双方协商结果，选派素质良好、服务热情、形象健康之专业人员（包括常驻现场负责人）进驻现场工作。现场服务人员应满足如下条件：</w:t>
      </w:r>
    </w:p>
    <w:p w14:paraId="4B0AD053">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具有小学以上文化；</w:t>
      </w:r>
    </w:p>
    <w:p w14:paraId="24EDC12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无犯罪或其它不良情况记录；</w:t>
      </w:r>
    </w:p>
    <w:p w14:paraId="4B981F4E">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身体健康，无传染性疾病、精神类疾病或其它重大疾病的非残疾人士；</w:t>
      </w:r>
    </w:p>
    <w:p w14:paraId="2DF35A4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有统一的制服、着装具有显眼警示标识；</w:t>
      </w:r>
    </w:p>
    <w:p w14:paraId="2579FBB8">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合同履行过程中，因人员流动或其它原因，需调换或新招员工的，在员工进场之前，需书面知会甲方。</w:t>
      </w:r>
    </w:p>
    <w:p w14:paraId="6D9703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向甲方提交项目月工作计划（必须含消杀计划），并随时接受甲方的检查。每月28日之前，根据当月现场情况，以书面形式向甲方提交下月环境作业计划，每月10日以前以书面形式向甲方提交上月工作报告及上月问题的整改措施，并接受甲方关于环境作业计划的合理建议和要求。已制定的月度及日常环境作业计划如需修正或调整必须及时书面通知甲方。</w:t>
      </w:r>
    </w:p>
    <w:p w14:paraId="409E985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10个日历日至少指派一次高层管理人员到本项目所在地检查承接范围内的环境情况，并积极征询甲方相关负责人意见、加强沟通，不断提高服务品质。若乙方未按要求执行，甲方将从上一次到访之日起算，按100元/次的标准扣除服务费，该扣款不得转嫁至项目现场工作的员工。</w:t>
      </w:r>
    </w:p>
    <w:p w14:paraId="3BE6190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负责承担乙方员工的一切费用及员工工作有关的一切法律问题，管理好员工并严格要求遵守各项规章制度。维护好甲方一切公共设施，损坏物品乙方照价赔偿。</w:t>
      </w:r>
    </w:p>
    <w:p w14:paraId="27A62C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必须对甲方所委托养护的绿化进行精心管理，保证苗木长势良好，达到甲方所要求的养护质量，修剪前养护方需对修剪人员或相关人员进行培训及交底。修剪时要做好外围警示，绿化垃圾不得影响或降低行人或车辆通行效率，绿化垃圾堆放、装车及运输等不得产生二次污染，在2-3天内清运完成 （特殊情况除外）。严格组织安全生产教育、培训和管理，承担所有安全生产责任。遵守甲方所订规章制度，保持良好的生活环境和秩序，爱护甲方的财产，维护甲方良好的形象。对有违法乱纪或违反委托服务区域各项规定的乙方员工，乙方须予以严肃处理，并将处理结果通报甲方。合同包项目对苗木浇水可结合自身情况自行购置或租赁洒水车进行浇水。</w:t>
      </w:r>
    </w:p>
    <w:p w14:paraId="6A1C140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乙方负责对协议范围内绿地的主要观赏植物进行挂牌宣传，说明品种原产地，生长特性及养护方法</w:t>
      </w:r>
      <w:r>
        <w:rPr>
          <w:rFonts w:hint="eastAsia" w:ascii="宋体" w:hAnsi="宋体" w:cs="宋体"/>
          <w:b/>
          <w:bCs/>
          <w:color w:val="auto"/>
          <w:sz w:val="24"/>
          <w:highlight w:val="none"/>
        </w:rPr>
        <w:t>（挂牌费用由甲方另行申报支付）</w:t>
      </w:r>
      <w:r>
        <w:rPr>
          <w:rFonts w:hint="eastAsia" w:ascii="宋体" w:hAnsi="宋体" w:cs="宋体"/>
          <w:color w:val="auto"/>
          <w:sz w:val="24"/>
          <w:highlight w:val="none"/>
        </w:rPr>
        <w:t>。</w:t>
      </w:r>
      <w:r>
        <w:rPr>
          <w:rFonts w:hint="eastAsia" w:ascii="宋体" w:hAnsi="宋体" w:cs="宋体"/>
          <w:b/>
          <w:bCs/>
          <w:color w:val="auto"/>
          <w:sz w:val="24"/>
          <w:highlight w:val="none"/>
        </w:rPr>
        <w:t>每年3月前</w:t>
      </w:r>
      <w:r>
        <w:rPr>
          <w:rFonts w:hint="eastAsia" w:ascii="宋体" w:hAnsi="宋体" w:cs="宋体"/>
          <w:color w:val="auto"/>
          <w:sz w:val="24"/>
          <w:highlight w:val="none"/>
        </w:rPr>
        <w:t>完成做好冬季绿化强剪、开沟追施基肥，肥料可采用磨菇土或腐质土。</w:t>
      </w:r>
      <w:r>
        <w:rPr>
          <w:rFonts w:hint="eastAsia" w:ascii="宋体" w:hAnsi="宋体" w:cs="宋体"/>
          <w:b/>
          <w:bCs/>
          <w:color w:val="auto"/>
          <w:sz w:val="24"/>
          <w:highlight w:val="none"/>
        </w:rPr>
        <w:t>每年12月前</w:t>
      </w:r>
      <w:r>
        <w:rPr>
          <w:rFonts w:hint="eastAsia" w:ascii="宋体" w:hAnsi="宋体" w:cs="宋体"/>
          <w:color w:val="auto"/>
          <w:sz w:val="24"/>
          <w:highlight w:val="none"/>
        </w:rPr>
        <w:t>完成做好乔灌木冬季涂白防虫害工作。</w:t>
      </w:r>
    </w:p>
    <w:p w14:paraId="28EF92A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按合同要求进行养护管理，在植物的正常生长情况下，保证苗木成活率100%。因管养不当等原因造成苗木死亡，设施损毁,乙方应及时无条件补植及维修，费用由乙方自行承担。乙方要加强节约绿化灌溉用水使用，如因工人违规操作产生浪费，当月费用由乙方负责。在台风多发季节乙方应对苗木采取适当修剪等保护措施，若费用不超过该项目当月养护费5%的，则由乙方负责；超过5%部分的则由甲方承担。在台风中损伤倒歪的植物，乙方应尽力扶正、抢救。</w:t>
      </w:r>
      <w:r>
        <w:rPr>
          <w:rFonts w:hint="eastAsia" w:ascii="宋体" w:hAnsi="宋体" w:cs="宋体"/>
          <w:b/>
          <w:bCs/>
          <w:color w:val="auto"/>
          <w:sz w:val="24"/>
          <w:highlight w:val="none"/>
        </w:rPr>
        <w:t>乙方有保护绿地避免遭受破坏、碾压、堆放、占用、缺损苗木及绿化设施被破坏等义务或报告，因乙方对绿地保护未尽责产生的后果由乙方承担。</w:t>
      </w:r>
    </w:p>
    <w:p w14:paraId="53E49B6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绿地需要改造（10㎡以上）和增加种植的，乙方须书面提供具体方案，经甲方书面确认批准后方可施工。</w:t>
      </w:r>
    </w:p>
    <w:p w14:paraId="567CFA7F">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遇甲方临时特殊环境工作需求时，如遇检查、节日或重要活动，根据服务处的要求，乙方负责组织人员配合服务处做好环境工作。甲方需提前通知，乙方必须安排人员进行配合工作；若有产生相应费用，由双方视具体情况商量确定。</w:t>
      </w:r>
    </w:p>
    <w:p w14:paraId="24CC798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政府部门发布（如：台风、暴雨、大气等）应急公告或突发事件，乙方必须在应急时无条件配合甲方。应急等级为一级或相应等级时，乙方必须在2小时内组织所有养护人员或物资到场进行应急抢救或应急处理；应急等级为二级或相应等级时，乙方必须在4小时内组织所有养护人员或物资到场进行应急抢救或应急处理；应急等级为三级及以上或相应等级时，乙方必须在6小时内组织所有养护人员或物资到场进行应急抢救或应急处理；现场情况及甲方同意或甲方要求，需乙方额外增加人员或应急物资时，其额外增加的相应费用，由双方视具体情况商量确定。</w:t>
      </w:r>
    </w:p>
    <w:p w14:paraId="674DACF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自行负责承接业务所需之全部工具、材料及技术，按合同规定的服务范围和工作要求，高质量完成各项工作，并严守有关安全作业规定，乙方员工在履行本合同过程中的任何安全事故（包括上下班途中交通安全）均由乙方负责。</w:t>
      </w:r>
    </w:p>
    <w:p w14:paraId="7B33E4B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公司派到甲方的所有工作人员，在工作时间内必须统一身着乙方作业工作服、佩带乙方的工号牌，着装整齐有序，严格遵守甲方之相关管理规定，在工作时间内不得随意离开其工作岗位；非工作时间不在甲方管理区域内私自逗留。</w:t>
      </w:r>
    </w:p>
    <w:p w14:paraId="15857E7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乙方工作人员在进入放置或张贴有甲方规章制度、信息资料等文件的办公场所、会议室等房间进行室内清洁时，不得翻阅、查看上述资料，如因特殊原因获悉上述信息，应严守秘密，不得向外传述/传阅。</w:t>
      </w:r>
    </w:p>
    <w:p w14:paraId="2AB7D18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乙方派驻甲方的工作人员，应接受甲方主管人员的监督和指导，并接受甲方按双方确定的清洁工作检验标准对其工作进行检查和改正。</w:t>
      </w:r>
    </w:p>
    <w:p w14:paraId="3A8B3F4C">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未经甲方许可，乙方不得在上班期间有收集可售卖物品等其它未经允许的行为。保洁员下班后如有收集可售卖物品应注意场合，回避业主，严禁在垃圾桶/车内翻捡可售卖物品，发现一次按一个严重不合格项处理。</w:t>
      </w:r>
    </w:p>
    <w:p w14:paraId="78A75DE7">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乙方严禁在上下班高峰时段清理和清运垃圾，不得与客户抢道通行，发现一次按一个严重不合格项处理。</w:t>
      </w:r>
    </w:p>
    <w:p w14:paraId="60816E3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乙方积极听取甲方对清洁工作的意见，认真配合并完成其它特殊清洁事项。如遇台风、水浸等意外情况，有义务在甲方的统一指挥下参加抢险工作。</w:t>
      </w:r>
    </w:p>
    <w:p w14:paraId="287BDE9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乙方应按照法律法规做好清洁卫生及垃圾分类工作，如遇有关部门的工作检查，乙方必须配合做好工作并保证检查合格。</w:t>
      </w:r>
    </w:p>
    <w:p w14:paraId="423A194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责任向甲方反映公共设施、设备的完好状况，在甲方管辖范围内发现安全隐患及可疑人员时，应及时通知甲方安全员，配合甲方做好安全防范工作。乙方现场工作人员不得向项目服务对象索取小费及财物，因此造成的投诉或负面影响由乙方负责，甲方将视情节轻重做出相应的</w:t>
      </w:r>
      <w:r>
        <w:rPr>
          <w:rFonts w:hint="eastAsia" w:ascii="宋体" w:hAnsi="宋体" w:eastAsia="宋体" w:cs="宋体"/>
          <w:color w:val="auto"/>
          <w:sz w:val="24"/>
          <w:highlight w:val="none"/>
        </w:rPr>
        <w:t>处罚</w:t>
      </w:r>
      <w:r>
        <w:rPr>
          <w:rFonts w:hint="eastAsia" w:ascii="宋体" w:hAnsi="宋体" w:cs="宋体"/>
          <w:color w:val="auto"/>
          <w:sz w:val="24"/>
          <w:highlight w:val="none"/>
        </w:rPr>
        <w:t>，且有权解除本合同。</w:t>
      </w:r>
    </w:p>
    <w:p w14:paraId="0EF4637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乙方须定期对员工进行消防知识培训，并有义务参与甲方组织的消防演习。</w:t>
      </w:r>
    </w:p>
    <w:p w14:paraId="2B7BD21D">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乙方应每周组织保洁员开展不少于二次的工作效果讲评，对保洁员每周不少于一次进行业务培训，并保存相关讲评和培训记录备查。</w:t>
      </w:r>
    </w:p>
    <w:p w14:paraId="39586D8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控制老鼠、苍蝇、蚊子、蟑螂的密度(简称"四害"),营造良好的工作和生活环境，乙方需指定专人负责消杀工作及所需药品的管理工作，乙方每次消杀前必须把消杀时间、范围及所用药品提供给甲方现场管理人员进行登记造册，并且在消杀区域作明显标示，以保证消杀工作的安全性、有效性。</w:t>
      </w:r>
    </w:p>
    <w:p w14:paraId="20BC9F83">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年要定期对绿化进行全面施肥及病虫害防治，乔木每年施有机肥料一次，追肥（复合肥、混尿素）一次。灌木每年施基肥一次，追肥（复合肥、混尿素）二次；草坪每年追肥（复合肥、混尿素）二次，病虫害防治应根据植物生长规律及季节性气候坚持“以防为主、综合防治”的原则，病虫害防治所使用的药品成份及配比应按国家规定的要求实施，防治前应把当次需要防治内容提前三天书面报送到服务处，以便服务处做好告知业主的通知，施肥、药前乙方需对操作人员或相关人员进行培训及交底，且需向甲方报备肥料（药剂）品种、数量、施用范围、施用时间、操作人员等数据或资料，肥料（药剂）达到现场时必须经甲方验收合格，乙方必须立即组织人员进行施肥、药。所防治的药品及药品容器应按国家规定储存和回收。若不按国家相关规定所产生一切责任由乙方自行承担。</w:t>
      </w:r>
    </w:p>
    <w:p w14:paraId="5922A14D">
      <w:pPr>
        <w:spacing w:line="520" w:lineRule="exact"/>
        <w:rPr>
          <w:rFonts w:ascii="宋体" w:hAnsi="宋体" w:cs="宋体"/>
          <w:b/>
          <w:color w:val="auto"/>
          <w:sz w:val="24"/>
          <w:highlight w:val="none"/>
        </w:rPr>
      </w:pPr>
      <w:r>
        <w:rPr>
          <w:rFonts w:hint="eastAsia" w:ascii="宋体" w:hAnsi="宋体" w:cs="宋体"/>
          <w:b/>
          <w:color w:val="auto"/>
          <w:sz w:val="24"/>
          <w:highlight w:val="none"/>
        </w:rPr>
        <w:t>六、清洁服务范围：</w:t>
      </w:r>
    </w:p>
    <w:p w14:paraId="4F322C89">
      <w:pPr>
        <w:pStyle w:val="23"/>
        <w:spacing w:line="520" w:lineRule="exact"/>
        <w:ind w:firstLine="560" w:firstLineChars="200"/>
        <w:rPr>
          <w:rFonts w:ascii="宋体" w:hAnsi="宋体" w:eastAsia="宋体" w:cs="宋体"/>
          <w:color w:val="auto"/>
          <w:highlight w:val="none"/>
        </w:rPr>
      </w:pPr>
      <w:r>
        <w:rPr>
          <w:rFonts w:hint="eastAsia" w:ascii="宋体" w:hAnsi="宋体" w:eastAsia="宋体" w:cs="宋体"/>
          <w:color w:val="auto"/>
          <w:highlight w:val="none"/>
        </w:rPr>
        <w:t>总体服务范围：甲方管理的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红线范围内公共区域的环境服务。</w:t>
      </w:r>
    </w:p>
    <w:p w14:paraId="07373E08">
      <w:pPr>
        <w:spacing w:line="520" w:lineRule="exact"/>
        <w:rPr>
          <w:rFonts w:ascii="宋体" w:hAnsi="宋体" w:cs="宋体"/>
          <w:b/>
          <w:color w:val="auto"/>
          <w:sz w:val="24"/>
          <w:highlight w:val="none"/>
        </w:rPr>
      </w:pPr>
      <w:r>
        <w:rPr>
          <w:rFonts w:hint="eastAsia" w:ascii="宋体" w:hAnsi="宋体" w:cs="宋体"/>
          <w:b/>
          <w:color w:val="auto"/>
          <w:sz w:val="24"/>
          <w:highlight w:val="none"/>
        </w:rPr>
        <w:t>七、工作人员安排、工作要求和工作质量标准：</w:t>
      </w:r>
    </w:p>
    <w:p w14:paraId="6F57391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（一）乙方从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安排人员开始进驻甲方现场。其中现场负责人为1人。为有效确保环境服务质量即管理的延续性，该人选需由乙方总部派出，在协议期内需更换现场负责人时，乙方应提前七天书面告知甲方，在征得甲方项目服务处的同意后方可更换现场负责人，否则甲方有权扣除乙方当月服务费20%作为违约金。</w:t>
      </w:r>
    </w:p>
    <w:p w14:paraId="2B3D8FE5">
      <w:pPr>
        <w:spacing w:line="5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（二）乙方正常保洁服务时间为每日</w:t>
      </w:r>
      <w:r>
        <w:rPr>
          <w:rFonts w:hint="eastAsia" w:ascii="宋体" w:hAnsi="宋体" w:cs="宋体"/>
          <w:color w:val="auto"/>
          <w:sz w:val="24"/>
          <w:highlight w:val="none"/>
          <w:u w:val="single"/>
        </w:rPr>
        <w:t>8个小时</w:t>
      </w:r>
      <w:r>
        <w:rPr>
          <w:rFonts w:hint="eastAsia" w:ascii="宋体" w:hAnsi="宋体" w:cs="宋体"/>
          <w:color w:val="auto"/>
          <w:sz w:val="24"/>
          <w:highlight w:val="none"/>
        </w:rPr>
        <w:t>。如甲方根据项目需对保洁时间进行调整时，乙方应尽力配合甲方的工作共同协商解决。</w:t>
      </w:r>
    </w:p>
    <w:p w14:paraId="10A981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（三）根据项目现场的实际情况，乙方应负责每天清理、收集</w:t>
      </w:r>
      <w:r>
        <w:rPr>
          <w:rFonts w:hint="eastAsia" w:ascii="宋体" w:hAnsi="宋体" w:cs="宋体"/>
          <w:color w:val="auto"/>
          <w:sz w:val="24"/>
          <w:highlight w:val="none"/>
          <w:u w:val="single"/>
        </w:rPr>
        <w:t>二</w:t>
      </w:r>
      <w:r>
        <w:rPr>
          <w:rFonts w:hint="eastAsia" w:ascii="宋体" w:hAnsi="宋体" w:cs="宋体"/>
          <w:color w:val="auto"/>
          <w:sz w:val="24"/>
          <w:highlight w:val="none"/>
        </w:rPr>
        <w:t>次垃圾，具体情况具体安排。生活垃圾清运至市政清洁楼或甲方指定地点，因特殊项目垃圾清运双方另行协商所增加相关人员及费用。同时，须根据甲方项目特点，制订环境管理相关制度和应急措施，报甲方备案。其中必须涉及内容如下：</w:t>
      </w:r>
    </w:p>
    <w:p w14:paraId="706F56B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禁止将垃圾存放在垃圾中转站以外，中转站内垃圾分类处理、按时清运并按相关规定存放，做到不渗漏、不挥发、不扬洒。制订严格、科学的清洗垃圾桶、清洁器具的方法，避免在此过程中对环境造成二次污染，清洁方法须经甲方书面确认；</w:t>
      </w:r>
    </w:p>
    <w:p w14:paraId="16F31F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2、乙方所使用的设备及清洁中使用一些毒性和各种可燃性清洁剂，按要求存放在固定区域。做好相关标识、标签，并向甲方报告存放品种、数量，甲方有权随时检查；</w:t>
      </w:r>
    </w:p>
    <w:p w14:paraId="4B0CF954">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3、乙方应严格遵守国家法律法规要求，不使用相关规定中禁止使用或限制使用的药品；</w:t>
      </w:r>
    </w:p>
    <w:p w14:paraId="7ADB49F8">
      <w:pPr>
        <w:numPr>
          <w:ilvl w:val="0"/>
          <w:numId w:val="20"/>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乙方清洁废水不可随意倾倒，只能倒入指定的管道中；</w:t>
      </w:r>
    </w:p>
    <w:p w14:paraId="02882F2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5、垃圾统一收集到指定的垃圾桶内，由乙方每日二次（上午10点开始，下午2点30分开始）负责清运到政府的垃圾中转站。乙方负责车辆和驾驶员以及在产生过程中产生的一切人身损害和其他安全事故；</w:t>
      </w:r>
    </w:p>
    <w:p w14:paraId="3D99C22C">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6、乙方需为地库及外围岗人员配置多功能清洁车,员工工具配置详见附件三；</w:t>
      </w:r>
    </w:p>
    <w:p w14:paraId="7AC0B8F7">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7、要求配备专业的石材护理人员定点轮回的对大堂石材进行护理（定员定岗）。</w:t>
      </w:r>
    </w:p>
    <w:p w14:paraId="557350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（四）除非双方另行议定，乙方派出的环境服务人员不能向甲方以外的任何单位和个人提供环境服务。</w:t>
      </w:r>
    </w:p>
    <w:p w14:paraId="59C0B9A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（五）具体按环境作业标准书、环境服务质量评审细则等事项详见合同附件。</w:t>
      </w:r>
    </w:p>
    <w:p w14:paraId="2BBDB4A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（六）乔灌木养护内容：浇水、施肥、整穴、中耕除草、松土、修剪塑型、防治病虫害等；</w:t>
      </w:r>
    </w:p>
    <w:p w14:paraId="009BC8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（七）草坪养护内容：施肥、修剪、除杂草、病虫害防治等；</w:t>
      </w:r>
    </w:p>
    <w:p w14:paraId="42F07B9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（八）花坛、花境养护内容：布置、灌排水、补种、修剪塑型、施肥、病虫害防治；</w:t>
      </w:r>
    </w:p>
    <w:p w14:paraId="6B013B3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（九）清理剪草、修枝等养护作业产生的垃圾，乙方须先放在指定地点，养护完成后应及时清运。</w:t>
      </w:r>
    </w:p>
    <w:p w14:paraId="093940B9">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八、合同金额及发票事宜</w:t>
      </w:r>
    </w:p>
    <w:p w14:paraId="6AFDE17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1、环境服务费标准：</w:t>
      </w:r>
      <w:r>
        <w:rPr>
          <w:rFonts w:hint="eastAsia" w:ascii="宋体" w:hAnsi="宋体" w:cs="宋体"/>
          <w:color w:val="auto"/>
          <w:sz w:val="24"/>
          <w:highlight w:val="none"/>
          <w:u w:val="single"/>
        </w:rPr>
        <w:t>（含税）         元/年（平均人民币:        /月）；</w:t>
      </w:r>
    </w:p>
    <w:p w14:paraId="5B764790">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2、乙方应向甲方开具正规增值税专用发票,税率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FD2A04">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3、甲乙双方在本合同签订时均应向对方提供开票信息。</w:t>
      </w:r>
    </w:p>
    <w:p w14:paraId="4B0659D4">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九、付款方式：</w:t>
      </w:r>
    </w:p>
    <w:p w14:paraId="44FB61A6">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乙方应在合同签订前向甲方提供合同金额总额的5%的金额作为保证金，如因乙方自身原因在服务期间单方面终止合同或无法继续履行合同义务或服务标准达不到甲方要求的，甲方有权没收履约保证金；如乙方无违约行为，甲方无息无条件退还；</w:t>
      </w:r>
    </w:p>
    <w:p w14:paraId="62C94BEB">
      <w:pPr>
        <w:spacing w:line="520" w:lineRule="exact"/>
        <w:ind w:firstLine="422" w:firstLineChars="175"/>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环境服务费每期付款时间为每季度考核结束后，根据考核结果，乙方向甲方提交正式有效发票。甲方于收到发票之日起10个工作日内，将应付乙方上季度之环境服务费转划到乙方指定账户,账户若有变更乙方需提前一个月以书面形式通知甲方。（考核标准有异议，乙方有权提请重新考核）：</w:t>
      </w:r>
    </w:p>
    <w:p w14:paraId="7B3B16AD">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（1）环境考核评分≥90分的为优秀，按合同及时付款；</w:t>
      </w:r>
    </w:p>
    <w:p w14:paraId="7263CF0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（2）环境考核评分在90(不含)-70分(含)的，每减少一分，扣除□保洁、□绿化所占合同月结款一个百分点；</w:t>
      </w:r>
    </w:p>
    <w:p w14:paraId="1ED90C11">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（3）环境考核连续二个月考核分数低于70分（不含）的视为服务质量严重不合格，甲方有权单方终止合同，不予支付任何费用；</w:t>
      </w:r>
    </w:p>
    <w:p w14:paraId="197693F9">
      <w:pPr>
        <w:spacing w:line="5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4.乙方应提供银行账号、开户行及正式发票，甲方以转账方式支付服务费用。</w:t>
      </w:r>
    </w:p>
    <w:p w14:paraId="6EF3A792">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32FA8ED8">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6D1FFFB7">
      <w:pPr>
        <w:spacing w:line="520" w:lineRule="exact"/>
        <w:ind w:firstLine="354" w:firstLineChars="147"/>
        <w:rPr>
          <w:rFonts w:ascii="宋体" w:hAnsi="宋体" w:cs="宋体"/>
          <w:b/>
          <w:color w:val="auto"/>
          <w:sz w:val="24"/>
          <w:highlight w:val="none"/>
        </w:rPr>
      </w:pPr>
      <w:r>
        <w:rPr>
          <w:rFonts w:hint="eastAsia" w:ascii="宋体" w:hAnsi="宋体" w:cs="宋体"/>
          <w:b/>
          <w:color w:val="auto"/>
          <w:sz w:val="24"/>
          <w:highlight w:val="none"/>
        </w:rPr>
        <w:t>十、合同期限及违约责任：</w:t>
      </w:r>
    </w:p>
    <w:p w14:paraId="210BAFD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（一）本合同有效期自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w:t>
      </w:r>
    </w:p>
    <w:p w14:paraId="226A7A05">
      <w:pPr>
        <w:spacing w:line="520" w:lineRule="exact"/>
        <w:ind w:firstLine="417" w:firstLineChars="174"/>
        <w:rPr>
          <w:rFonts w:ascii="宋体" w:hAnsi="宋体" w:cs="宋体"/>
          <w:color w:val="auto"/>
          <w:sz w:val="24"/>
          <w:highlight w:val="none"/>
        </w:rPr>
      </w:pPr>
      <w:r>
        <w:rPr>
          <w:rFonts w:hint="eastAsia" w:ascii="宋体" w:hAnsi="宋体" w:cs="宋体"/>
          <w:color w:val="auto"/>
          <w:sz w:val="24"/>
          <w:highlight w:val="none"/>
        </w:rPr>
        <w:t>（二）甲乙双方共同约定，本合同生效之日后前三个月为承接试用期，在此期间内因乙方服务质量不合格时甲方可随时解除合约，甲方不承担任何合同责任。试用期过后，任何一方一般不得无故单方面终止合同，如因甲乙任何一方因故无法履行合同时，需提前两个月以书面形式通知对方，在取得对方同意后方可终止合同，否则均需赔偿对方一个月环境服务费作为违约金。唯如下情况发生，则一方可单独解除合同。</w:t>
      </w:r>
    </w:p>
    <w:p w14:paraId="7D9AE2F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严重违反合同所规定之乙方责任，影响或导致甲方声誉、财产等方面的严重损害，经甲方三次书面警告及罚款仍无效果，甲方有权单方终止合同，并没收合同履约保证金，给甲方造成经济损失的，乙方应予以赔偿（因人力不可抗力即自然灾害、人为恶意破坏等因素所引起的环境脏污，不在此列）。</w:t>
      </w:r>
    </w:p>
    <w:p w14:paraId="61F2B816">
      <w:pPr>
        <w:spacing w:line="520" w:lineRule="exact"/>
        <w:ind w:left="1" w:firstLine="477" w:firstLineChars="199"/>
        <w:rPr>
          <w:rFonts w:ascii="宋体" w:hAnsi="宋体" w:cs="宋体"/>
          <w:color w:val="auto"/>
          <w:sz w:val="24"/>
          <w:highlight w:val="none"/>
        </w:rPr>
      </w:pPr>
      <w:r>
        <w:rPr>
          <w:rFonts w:hint="eastAsia" w:ascii="宋体" w:hAnsi="宋体" w:cs="宋体"/>
          <w:color w:val="auto"/>
          <w:sz w:val="24"/>
          <w:highlight w:val="none"/>
        </w:rPr>
        <w:t>2、甲方连续两个月及以上无故未能支付乙方清洁服务费用。</w:t>
      </w:r>
    </w:p>
    <w:p w14:paraId="6766ACD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3、若乙方保洁服务、垃圾分类工作在国家、省、市、区卫生检查中不达标，或因保洁、垃圾分类问题影响甲方其它各项达标，甲方有权解除本合同，并没收合同履约保证金。</w:t>
      </w:r>
    </w:p>
    <w:p w14:paraId="49530AA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4、乙方将业务转包给第三方的，甲方有权解除本合同，并没收合同履约保证金。</w:t>
      </w:r>
    </w:p>
    <w:p w14:paraId="17BFE91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5、若甲方按时付费后，乙方未按规定给人员发放工资超过2个月，并影响到环境工作质量的，甲方有权解除本合同，并没收合同履约保证金。</w:t>
      </w:r>
    </w:p>
    <w:p w14:paraId="7E947AA3">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（三）因甲方未如期付款，导致乙方受资金不足影响无法采购常用清洁用品，进而难以开展定期作业的，甲方在未付款期间不得对乙方进行任何罚款。</w:t>
      </w:r>
    </w:p>
    <w:p w14:paraId="3D8DD1EE">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四）如乙方向甲方开具的增值税专用发票是无效虚假发票、或者无故延迟开具增值税专用发票的情况，乙方应负责赔偿因开具虚假发票和延迟开具发票造成甲方的一切损失或损害，包括但不限于税金、附加费、罚金、滞纳金和法律费用。</w:t>
      </w:r>
    </w:p>
    <w:p w14:paraId="39761748">
      <w:pPr>
        <w:spacing w:line="520" w:lineRule="exact"/>
        <w:rPr>
          <w:rFonts w:ascii="宋体" w:hAnsi="宋体" w:cs="宋体"/>
          <w:b/>
          <w:color w:val="auto"/>
          <w:sz w:val="24"/>
          <w:highlight w:val="none"/>
        </w:rPr>
      </w:pPr>
      <w:r>
        <w:rPr>
          <w:rFonts w:hint="eastAsia" w:ascii="宋体" w:hAnsi="宋体" w:cs="宋体"/>
          <w:b/>
          <w:color w:val="auto"/>
          <w:sz w:val="24"/>
          <w:highlight w:val="none"/>
        </w:rPr>
        <w:t>十一、保密条款</w:t>
      </w:r>
    </w:p>
    <w:p w14:paraId="4A49104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应对在合同履行过程中知悉的甲方的商业秘密、技术信息、项目信息及本合同内容等承担保密义务。未经甲方书面同意，乙方不得向任何第三方泄露，且该保密义务在本合同终止后持续有效。若乙方违反本保密义务，应赔偿甲方因此遭受的全部损失，包括但不限于直接损失、间接损失及为追索损失而支出的合理费用（如律师费、诉讼费</w:t>
      </w:r>
      <w:r>
        <w:rPr>
          <w:rFonts w:hint="eastAsia" w:ascii="宋体" w:hAnsi="宋体" w:cs="宋体"/>
          <w:bCs/>
          <w:color w:val="auto"/>
          <w:sz w:val="24"/>
          <w:highlight w:val="none"/>
        </w:rPr>
        <w:t>、保全费、保全保险费、差旅费</w:t>
      </w:r>
      <w:r>
        <w:rPr>
          <w:rFonts w:hint="eastAsia" w:ascii="宋体" w:hAnsi="宋体" w:eastAsia="宋体" w:cs="宋体"/>
          <w:b w:val="0"/>
          <w:bCs/>
          <w:color w:val="auto"/>
          <w:sz w:val="24"/>
          <w:highlight w:val="none"/>
        </w:rPr>
        <w:t>等）。</w:t>
      </w:r>
    </w:p>
    <w:p w14:paraId="2AE737CF">
      <w:pPr>
        <w:spacing w:line="520" w:lineRule="exact"/>
        <w:rPr>
          <w:rFonts w:ascii="宋体" w:hAnsi="宋体" w:cs="宋体"/>
          <w:b/>
          <w:color w:val="auto"/>
          <w:sz w:val="24"/>
          <w:highlight w:val="none"/>
        </w:rPr>
      </w:pPr>
      <w:r>
        <w:rPr>
          <w:rFonts w:hint="eastAsia" w:ascii="宋体" w:hAnsi="宋体" w:cs="宋体"/>
          <w:b/>
          <w:color w:val="auto"/>
          <w:sz w:val="24"/>
          <w:highlight w:val="none"/>
        </w:rPr>
        <w:t>十二、不可抗力</w:t>
      </w:r>
    </w:p>
    <w:p w14:paraId="40311CF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任何一方由于不可抗力原因不能履行合同时，应在不可抗力事件发生后</w:t>
      </w:r>
      <w:r>
        <w:rPr>
          <w:rFonts w:ascii="宋体" w:hAnsi="宋体" w:eastAsia="宋体" w:cs="宋体"/>
          <w:b w:val="0"/>
          <w:bCs/>
          <w:color w:val="auto"/>
          <w:sz w:val="24"/>
          <w:highlight w:val="none"/>
        </w:rPr>
        <w:t>15</w:t>
      </w:r>
      <w:r>
        <w:rPr>
          <w:rFonts w:hint="eastAsia" w:ascii="宋体" w:hAnsi="宋体" w:eastAsia="宋体" w:cs="宋体"/>
          <w:b w:val="0"/>
          <w:bCs/>
          <w:color w:val="auto"/>
          <w:sz w:val="24"/>
          <w:highlight w:val="none"/>
        </w:rPr>
        <w:t>日内向对方通报，以减轻可能给对方造成的损失，在取得有关机构的不可抗力证明后，允许延期履行、部分履行或者不履行合同，并根据情况可部分或全部免予承担违约责任。</w:t>
      </w:r>
    </w:p>
    <w:p w14:paraId="315FA53F">
      <w:pPr>
        <w:numPr>
          <w:ilvl w:val="0"/>
          <w:numId w:val="21"/>
        </w:numPr>
        <w:spacing w:line="520" w:lineRule="exact"/>
        <w:rPr>
          <w:rFonts w:ascii="宋体" w:hAnsi="宋体" w:cs="宋体"/>
          <w:b/>
          <w:color w:val="auto"/>
          <w:sz w:val="24"/>
          <w:highlight w:val="none"/>
        </w:rPr>
      </w:pPr>
      <w:r>
        <w:rPr>
          <w:rFonts w:hint="eastAsia" w:ascii="宋体" w:hAnsi="宋体" w:cs="宋体"/>
          <w:b/>
          <w:color w:val="auto"/>
          <w:sz w:val="24"/>
          <w:highlight w:val="none"/>
        </w:rPr>
        <w:t>送达条款</w:t>
      </w:r>
    </w:p>
    <w:p w14:paraId="578BD12C">
      <w:pPr>
        <w:numPr>
          <w:ilvl w:val="255"/>
          <w:numId w:val="0"/>
        </w:num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任何一方或法院按对方本合同中载明的地址发出通知或文件的，在发出起</w:t>
      </w:r>
      <w:r>
        <w:rPr>
          <w:rFonts w:ascii="宋体" w:hAnsi="宋体" w:eastAsia="宋体" w:cs="宋体"/>
          <w:b w:val="0"/>
          <w:bCs/>
          <w:color w:val="auto"/>
          <w:sz w:val="24"/>
          <w:highlight w:val="none"/>
        </w:rPr>
        <w:t>24</w:t>
      </w:r>
      <w:r>
        <w:rPr>
          <w:rFonts w:hint="eastAsia" w:ascii="宋体" w:hAnsi="宋体" w:eastAsia="宋体" w:cs="宋体"/>
          <w:b w:val="0"/>
          <w:bCs/>
          <w:color w:val="auto"/>
          <w:sz w:val="24"/>
          <w:highlight w:val="none"/>
        </w:rPr>
        <w:t>小时视为已经送达；任何一方地址或电话有变更的，变更方应在变更前</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日内以书面通知对方（仅限书面方式通知），否则自行承担所有不利后果。</w:t>
      </w:r>
    </w:p>
    <w:p w14:paraId="30336E2F">
      <w:pPr>
        <w:spacing w:line="520" w:lineRule="exact"/>
        <w:rPr>
          <w:rFonts w:ascii="宋体" w:hAnsi="宋体" w:cs="宋体"/>
          <w:b/>
          <w:color w:val="auto"/>
          <w:sz w:val="24"/>
          <w:highlight w:val="none"/>
        </w:rPr>
      </w:pPr>
      <w:r>
        <w:rPr>
          <w:rFonts w:hint="eastAsia" w:ascii="宋体" w:hAnsi="宋体" w:cs="宋体"/>
          <w:b/>
          <w:color w:val="auto"/>
          <w:sz w:val="24"/>
          <w:highlight w:val="none"/>
        </w:rPr>
        <w:t>十四、其它事项：</w:t>
      </w:r>
    </w:p>
    <w:p w14:paraId="4AF54EF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（一）双方本着友好合作原则商定，乙方进驻甲方现场后，若因服务范围扩大/减少或工作增加/减少，需增加/减少费用时，由双方协商议定。</w:t>
      </w:r>
    </w:p>
    <w:p w14:paraId="31550FC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它未尽事宜，由双方协商解决，并可另行签订补充协议。若协商不成，任何一方可向甲方所在地有管辖权的人民法院提起诉讼。守约方为维护权利而支出的合理费用，包括但不限于案件受理费、保全费、保全保险费、公告费、评估费、拍卖费、律师费、差旅费等，均由违约方承担。</w:t>
      </w:r>
    </w:p>
    <w:p w14:paraId="177F420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（三）本合同一式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份，具同等法律效力，本合同自双方签字盖章之日起生效。</w:t>
      </w:r>
    </w:p>
    <w:p w14:paraId="000A626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（四）本合同附件与合同正文同为合同之组成部分，具有同等法律效力，并自合同签订之日起一并生效。</w:t>
      </w:r>
    </w:p>
    <w:p w14:paraId="7E7C4E19">
      <w:pPr>
        <w:spacing w:line="520" w:lineRule="exact"/>
        <w:rPr>
          <w:rFonts w:ascii="宋体" w:hAnsi="宋体" w:cs="宋体"/>
          <w:color w:val="auto"/>
          <w:sz w:val="24"/>
          <w:highlight w:val="none"/>
        </w:rPr>
      </w:pPr>
      <w:r>
        <w:rPr>
          <w:rFonts w:hint="eastAsia" w:ascii="宋体" w:hAnsi="宋体" w:cs="宋体"/>
          <w:color w:val="auto"/>
          <w:sz w:val="24"/>
          <w:highlight w:val="none"/>
        </w:rPr>
        <w:t>附件：1.《保洁工作内容及标准》</w:t>
      </w:r>
    </w:p>
    <w:p w14:paraId="702FDB74">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2.《环境考核量化表》</w:t>
      </w:r>
    </w:p>
    <w:p w14:paraId="3ECFE14A">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3.《员工岗位物料配备表》</w:t>
      </w:r>
    </w:p>
    <w:p w14:paraId="28EAF9F9">
      <w:pPr>
        <w:spacing w:line="520" w:lineRule="exact"/>
        <w:ind w:left="7440" w:hanging="7440" w:hangingChars="3100"/>
        <w:rPr>
          <w:rFonts w:ascii="宋体" w:hAnsi="宋体" w:cs="宋体"/>
          <w:color w:val="auto"/>
          <w:sz w:val="24"/>
          <w:highlight w:val="none"/>
        </w:rPr>
      </w:pPr>
    </w:p>
    <w:p w14:paraId="7717177F">
      <w:pPr>
        <w:spacing w:line="520" w:lineRule="exact"/>
        <w:rPr>
          <w:rFonts w:ascii="宋体" w:hAnsi="宋体" w:cs="宋体"/>
          <w:color w:val="auto"/>
          <w:sz w:val="24"/>
          <w:highlight w:val="none"/>
        </w:rPr>
      </w:pPr>
    </w:p>
    <w:p w14:paraId="5C9870E8">
      <w:pPr>
        <w:spacing w:line="520" w:lineRule="exact"/>
        <w:ind w:left="6200" w:hanging="6200" w:hangingChars="3100"/>
        <w:rPr>
          <w:rFonts w:ascii="宋体" w:hAnsi="宋体" w:cs="宋体"/>
          <w:color w:val="auto"/>
          <w:sz w:val="24"/>
          <w:highlight w:val="none"/>
          <w:u w:val="single"/>
        </w:rPr>
      </w:pPr>
      <w:r>
        <w:rPr>
          <w:rFonts w:hint="eastAsia" w:ascii="宋体" w:hAnsi="宋体" w:cs="宋体"/>
          <w:color w:val="auto"/>
          <w:spacing w:val="-20"/>
          <w:sz w:val="24"/>
          <w:highlight w:val="none"/>
        </w:rPr>
        <w:t>甲方（盖章）：</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乙方（盖章）：</w:t>
      </w:r>
    </w:p>
    <w:p w14:paraId="536F7F65">
      <w:pPr>
        <w:spacing w:line="520" w:lineRule="exact"/>
        <w:ind w:firstLine="1400" w:firstLineChars="700"/>
        <w:rPr>
          <w:rFonts w:ascii="宋体" w:hAnsi="宋体" w:cs="宋体"/>
          <w:color w:val="auto"/>
          <w:spacing w:val="-20"/>
          <w:sz w:val="24"/>
          <w:highlight w:val="none"/>
          <w:u w:val="single"/>
        </w:rPr>
      </w:pPr>
    </w:p>
    <w:p w14:paraId="7E7A5D48">
      <w:pPr>
        <w:spacing w:line="520" w:lineRule="exact"/>
        <w:ind w:firstLine="1400" w:firstLineChars="700"/>
        <w:rPr>
          <w:rFonts w:ascii="宋体" w:hAnsi="宋体" w:cs="宋体"/>
          <w:color w:val="auto"/>
          <w:spacing w:val="-20"/>
          <w:sz w:val="24"/>
          <w:highlight w:val="none"/>
          <w:u w:val="single"/>
        </w:rPr>
      </w:pPr>
    </w:p>
    <w:p w14:paraId="3AE0190A">
      <w:pPr>
        <w:spacing w:line="520" w:lineRule="exact"/>
        <w:rPr>
          <w:rFonts w:ascii="宋体" w:hAnsi="宋体" w:cs="宋体"/>
          <w:color w:val="auto"/>
          <w:sz w:val="24"/>
          <w:highlight w:val="none"/>
        </w:rPr>
      </w:pPr>
      <w:r>
        <w:rPr>
          <w:rFonts w:hint="eastAsia" w:ascii="宋体" w:hAnsi="宋体" w:cs="宋体"/>
          <w:color w:val="auto"/>
          <w:sz w:val="24"/>
          <w:highlight w:val="none"/>
        </w:rPr>
        <w:t>代表（签名）：                            代表（签名）：</w:t>
      </w:r>
      <w:r>
        <w:rPr>
          <w:rFonts w:hint="eastAsia" w:ascii="宋体" w:hAnsi="宋体" w:cs="宋体"/>
          <w:color w:val="auto"/>
          <w:sz w:val="24"/>
          <w:highlight w:val="none"/>
        </w:rPr>
        <w:tab/>
      </w:r>
      <w:r>
        <w:rPr>
          <w:rFonts w:hint="eastAsia" w:ascii="宋体" w:hAnsi="宋体" w:cs="宋体"/>
          <w:color w:val="auto"/>
          <w:sz w:val="24"/>
          <w:highlight w:val="none"/>
        </w:rPr>
        <w:tab/>
      </w:r>
    </w:p>
    <w:p w14:paraId="28B97FF3">
      <w:pPr>
        <w:spacing w:line="520" w:lineRule="exact"/>
        <w:rPr>
          <w:rFonts w:ascii="宋体" w:hAnsi="宋体" w:cs="宋体"/>
          <w:b/>
          <w:color w:val="auto"/>
          <w:sz w:val="24"/>
          <w:highlight w:val="none"/>
        </w:rPr>
        <w:sectPr>
          <w:headerReference r:id="rId7" w:type="default"/>
          <w:footerReference r:id="rId8" w:type="default"/>
          <w:footerReference r:id="rId9" w:type="even"/>
          <w:pgSz w:w="11906" w:h="16838"/>
          <w:pgMar w:top="851" w:right="1134" w:bottom="1134" w:left="1134" w:header="851" w:footer="992" w:gutter="0"/>
          <w:cols w:space="720" w:num="1"/>
          <w:docGrid w:linePitch="312" w:charSpace="855"/>
        </w:sectPr>
      </w:pPr>
      <w:r>
        <w:rPr>
          <w:rFonts w:hint="eastAsia" w:ascii="宋体" w:hAnsi="宋体" w:cs="宋体"/>
          <w:color w:val="auto"/>
          <w:sz w:val="24"/>
          <w:highlight w:val="none"/>
        </w:rPr>
        <w:t>签订日期：            年   月   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签订日期：                  年   月   日</w:t>
      </w:r>
    </w:p>
    <w:p w14:paraId="6E9C9E03">
      <w:pPr>
        <w:pStyle w:val="2"/>
        <w:spacing w:after="0" w:line="240" w:lineRule="auto"/>
        <w:rPr>
          <w:rFonts w:ascii="楷体" w:hAnsi="楷体" w:eastAsia="楷体" w:cs="楷体"/>
          <w:b w:val="0"/>
          <w:color w:val="auto"/>
          <w:sz w:val="32"/>
          <w:szCs w:val="32"/>
          <w:highlight w:val="none"/>
        </w:rPr>
      </w:pPr>
      <w:r>
        <w:rPr>
          <w:rFonts w:hint="eastAsia" w:ascii="楷体" w:hAnsi="楷体" w:eastAsia="楷体" w:cs="楷体"/>
          <w:b w:val="0"/>
          <w:color w:val="auto"/>
          <w:sz w:val="32"/>
          <w:szCs w:val="32"/>
          <w:highlight w:val="none"/>
        </w:rPr>
        <w:t>保洁工作内容及标准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97"/>
        <w:gridCol w:w="2627"/>
        <w:gridCol w:w="4704"/>
      </w:tblGrid>
      <w:tr w14:paraId="69A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7" w:type="pct"/>
            <w:vAlign w:val="center"/>
          </w:tcPr>
          <w:p w14:paraId="556AEE93">
            <w:pPr>
              <w:jc w:val="center"/>
              <w:rPr>
                <w:rFonts w:ascii="楷体_GB2312" w:eastAsia="楷体_GB2312"/>
                <w:color w:val="auto"/>
                <w:sz w:val="24"/>
                <w:highlight w:val="none"/>
              </w:rPr>
            </w:pPr>
            <w:r>
              <w:rPr>
                <w:rFonts w:hint="eastAsia" w:ascii="楷体_GB2312" w:eastAsia="楷体_GB2312"/>
                <w:color w:val="auto"/>
                <w:sz w:val="24"/>
                <w:highlight w:val="none"/>
              </w:rPr>
              <w:t>项目</w:t>
            </w:r>
          </w:p>
        </w:tc>
        <w:tc>
          <w:tcPr>
            <w:tcW w:w="495" w:type="pct"/>
            <w:vAlign w:val="center"/>
          </w:tcPr>
          <w:p w14:paraId="66A72401">
            <w:pPr>
              <w:jc w:val="center"/>
              <w:rPr>
                <w:rFonts w:ascii="楷体_GB2312" w:eastAsia="楷体_GB2312"/>
                <w:color w:val="auto"/>
                <w:sz w:val="24"/>
                <w:highlight w:val="none"/>
              </w:rPr>
            </w:pPr>
            <w:r>
              <w:rPr>
                <w:rFonts w:hint="eastAsia" w:ascii="楷体_GB2312" w:eastAsia="楷体_GB2312"/>
                <w:color w:val="auto"/>
                <w:sz w:val="24"/>
                <w:highlight w:val="none"/>
              </w:rPr>
              <w:t>序号</w:t>
            </w:r>
          </w:p>
        </w:tc>
        <w:tc>
          <w:tcPr>
            <w:tcW w:w="1450" w:type="pct"/>
            <w:vAlign w:val="center"/>
          </w:tcPr>
          <w:p w14:paraId="1CACCB51">
            <w:pPr>
              <w:rPr>
                <w:rFonts w:ascii="楷体_GB2312" w:eastAsia="楷体_GB2312"/>
                <w:color w:val="auto"/>
                <w:sz w:val="24"/>
                <w:highlight w:val="none"/>
              </w:rPr>
            </w:pPr>
            <w:r>
              <w:rPr>
                <w:rFonts w:hint="eastAsia" w:ascii="楷体_GB2312" w:eastAsia="楷体_GB2312"/>
                <w:color w:val="auto"/>
                <w:sz w:val="24"/>
                <w:highlight w:val="none"/>
              </w:rPr>
              <w:t>保洁内容</w:t>
            </w:r>
          </w:p>
        </w:tc>
        <w:tc>
          <w:tcPr>
            <w:tcW w:w="2596" w:type="pct"/>
            <w:vAlign w:val="center"/>
          </w:tcPr>
          <w:p w14:paraId="5D494E97">
            <w:pPr>
              <w:rPr>
                <w:rFonts w:ascii="楷体_GB2312" w:eastAsia="楷体_GB2312"/>
                <w:color w:val="auto"/>
                <w:sz w:val="24"/>
                <w:highlight w:val="none"/>
              </w:rPr>
            </w:pPr>
            <w:r>
              <w:rPr>
                <w:rFonts w:hint="eastAsia" w:ascii="楷体_GB2312" w:eastAsia="楷体_GB2312"/>
                <w:color w:val="auto"/>
                <w:sz w:val="24"/>
                <w:highlight w:val="none"/>
              </w:rPr>
              <w:t>标准</w:t>
            </w:r>
          </w:p>
        </w:tc>
      </w:tr>
      <w:tr w14:paraId="552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40BDA3C">
            <w:pPr>
              <w:jc w:val="center"/>
              <w:rPr>
                <w:rFonts w:ascii="楷体_GB2312" w:eastAsia="楷体_GB2312"/>
                <w:color w:val="auto"/>
                <w:sz w:val="24"/>
                <w:highlight w:val="none"/>
              </w:rPr>
            </w:pPr>
            <w:r>
              <w:rPr>
                <w:rFonts w:hint="eastAsia" w:ascii="楷体_GB2312" w:eastAsia="楷体_GB2312"/>
                <w:color w:val="auto"/>
                <w:sz w:val="24"/>
                <w:highlight w:val="none"/>
              </w:rPr>
              <w:t>生活</w:t>
            </w:r>
          </w:p>
          <w:p w14:paraId="240A60EB">
            <w:pPr>
              <w:jc w:val="center"/>
              <w:rPr>
                <w:rFonts w:ascii="楷体_GB2312" w:eastAsia="楷体_GB2312"/>
                <w:color w:val="auto"/>
                <w:sz w:val="24"/>
                <w:highlight w:val="none"/>
              </w:rPr>
            </w:pPr>
            <w:r>
              <w:rPr>
                <w:rFonts w:hint="eastAsia" w:ascii="楷体_GB2312" w:eastAsia="楷体_GB2312"/>
                <w:color w:val="auto"/>
                <w:sz w:val="24"/>
                <w:highlight w:val="none"/>
              </w:rPr>
              <w:t>垃圾</w:t>
            </w:r>
          </w:p>
          <w:p w14:paraId="04260AB0">
            <w:pPr>
              <w:jc w:val="center"/>
              <w:rPr>
                <w:rFonts w:ascii="楷体_GB2312" w:eastAsia="楷体_GB2312"/>
                <w:color w:val="auto"/>
                <w:sz w:val="24"/>
                <w:highlight w:val="none"/>
              </w:rPr>
            </w:pPr>
            <w:r>
              <w:rPr>
                <w:rFonts w:hint="eastAsia" w:ascii="楷体_GB2312" w:eastAsia="楷体_GB2312"/>
                <w:color w:val="auto"/>
                <w:sz w:val="24"/>
                <w:highlight w:val="none"/>
              </w:rPr>
              <w:t>收集</w:t>
            </w:r>
          </w:p>
        </w:tc>
        <w:tc>
          <w:tcPr>
            <w:tcW w:w="495" w:type="pct"/>
            <w:vAlign w:val="center"/>
          </w:tcPr>
          <w:p w14:paraId="723C52A9">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89CC09A">
            <w:pPr>
              <w:rPr>
                <w:rFonts w:ascii="楷体_GB2312" w:eastAsia="楷体_GB2312"/>
                <w:color w:val="auto"/>
                <w:sz w:val="24"/>
                <w:highlight w:val="none"/>
              </w:rPr>
            </w:pPr>
            <w:r>
              <w:rPr>
                <w:rFonts w:hint="eastAsia" w:ascii="楷体_GB2312" w:eastAsia="楷体_GB2312"/>
                <w:color w:val="auto"/>
                <w:sz w:val="24"/>
                <w:highlight w:val="none"/>
              </w:rPr>
              <w:t>收生活垃圾</w:t>
            </w:r>
          </w:p>
        </w:tc>
        <w:tc>
          <w:tcPr>
            <w:tcW w:w="2596" w:type="pct"/>
            <w:vAlign w:val="center"/>
          </w:tcPr>
          <w:p w14:paraId="37CDCE67">
            <w:pPr>
              <w:rPr>
                <w:rFonts w:ascii="楷体_GB2312" w:eastAsia="楷体_GB2312"/>
                <w:color w:val="auto"/>
                <w:sz w:val="24"/>
                <w:highlight w:val="none"/>
              </w:rPr>
            </w:pPr>
            <w:r>
              <w:rPr>
                <w:rFonts w:hint="eastAsia" w:ascii="楷体_GB2312" w:eastAsia="楷体_GB2312"/>
                <w:color w:val="auto"/>
                <w:sz w:val="24"/>
                <w:highlight w:val="none"/>
              </w:rPr>
              <w:t>垃圾桶无满溢</w:t>
            </w:r>
          </w:p>
        </w:tc>
      </w:tr>
      <w:tr w14:paraId="26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F0AED27">
            <w:pPr>
              <w:jc w:val="center"/>
              <w:rPr>
                <w:rFonts w:ascii="楷体_GB2312" w:eastAsia="楷体_GB2312"/>
                <w:color w:val="auto"/>
                <w:sz w:val="24"/>
                <w:highlight w:val="none"/>
              </w:rPr>
            </w:pPr>
          </w:p>
        </w:tc>
        <w:tc>
          <w:tcPr>
            <w:tcW w:w="495" w:type="pct"/>
            <w:vAlign w:val="center"/>
          </w:tcPr>
          <w:p w14:paraId="6BE2C5A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145BB19E">
            <w:pPr>
              <w:rPr>
                <w:rFonts w:ascii="楷体_GB2312" w:eastAsia="楷体_GB2312"/>
                <w:color w:val="auto"/>
                <w:sz w:val="24"/>
                <w:highlight w:val="none"/>
              </w:rPr>
            </w:pPr>
            <w:r>
              <w:rPr>
                <w:rFonts w:hint="eastAsia" w:ascii="楷体_GB2312" w:eastAsia="楷体_GB2312"/>
                <w:color w:val="auto"/>
                <w:sz w:val="24"/>
                <w:highlight w:val="none"/>
              </w:rPr>
              <w:t>洗垃圾桶</w:t>
            </w:r>
          </w:p>
        </w:tc>
        <w:tc>
          <w:tcPr>
            <w:tcW w:w="2596" w:type="pct"/>
            <w:vAlign w:val="center"/>
          </w:tcPr>
          <w:p w14:paraId="63BF34BC">
            <w:pPr>
              <w:rPr>
                <w:rFonts w:ascii="楷体_GB2312" w:eastAsia="楷体_GB2312"/>
                <w:color w:val="auto"/>
                <w:sz w:val="24"/>
                <w:highlight w:val="none"/>
              </w:rPr>
            </w:pPr>
            <w:r>
              <w:rPr>
                <w:rFonts w:hint="eastAsia" w:ascii="楷体_GB2312" w:eastAsia="楷体_GB2312"/>
                <w:color w:val="auto"/>
                <w:sz w:val="24"/>
                <w:highlight w:val="none"/>
              </w:rPr>
              <w:t>干净无臭味</w:t>
            </w:r>
          </w:p>
        </w:tc>
      </w:tr>
      <w:tr w14:paraId="515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6E572D9">
            <w:pPr>
              <w:jc w:val="center"/>
              <w:rPr>
                <w:rFonts w:ascii="楷体_GB2312" w:eastAsia="楷体_GB2312"/>
                <w:color w:val="auto"/>
                <w:sz w:val="24"/>
                <w:highlight w:val="none"/>
              </w:rPr>
            </w:pPr>
          </w:p>
        </w:tc>
        <w:tc>
          <w:tcPr>
            <w:tcW w:w="495" w:type="pct"/>
            <w:vAlign w:val="center"/>
          </w:tcPr>
          <w:p w14:paraId="372DE95E">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3134835A">
            <w:pPr>
              <w:rPr>
                <w:rFonts w:ascii="楷体_GB2312" w:eastAsia="楷体_GB2312"/>
                <w:color w:val="auto"/>
                <w:sz w:val="24"/>
                <w:highlight w:val="none"/>
              </w:rPr>
            </w:pPr>
            <w:r>
              <w:rPr>
                <w:rFonts w:hint="eastAsia" w:ascii="楷体_GB2312" w:eastAsia="楷体_GB2312"/>
                <w:color w:val="auto"/>
                <w:sz w:val="24"/>
                <w:highlight w:val="none"/>
              </w:rPr>
              <w:t>烟灰缸</w:t>
            </w:r>
          </w:p>
        </w:tc>
        <w:tc>
          <w:tcPr>
            <w:tcW w:w="2596" w:type="pct"/>
            <w:vAlign w:val="center"/>
          </w:tcPr>
          <w:p w14:paraId="62EBBCA7">
            <w:pPr>
              <w:rPr>
                <w:rFonts w:ascii="楷体_GB2312" w:eastAsia="楷体_GB2312"/>
                <w:color w:val="auto"/>
                <w:sz w:val="24"/>
                <w:highlight w:val="none"/>
              </w:rPr>
            </w:pPr>
            <w:r>
              <w:rPr>
                <w:rFonts w:hint="eastAsia" w:ascii="楷体_GB2312" w:eastAsia="楷体_GB2312"/>
                <w:color w:val="auto"/>
                <w:sz w:val="24"/>
                <w:highlight w:val="none"/>
              </w:rPr>
              <w:t>外观无尘、干净、桶无满溢</w:t>
            </w:r>
          </w:p>
        </w:tc>
      </w:tr>
      <w:tr w14:paraId="0A8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1BB1B20">
            <w:pPr>
              <w:jc w:val="center"/>
              <w:rPr>
                <w:rFonts w:ascii="楷体_GB2312" w:eastAsia="楷体_GB2312"/>
                <w:color w:val="auto"/>
                <w:sz w:val="24"/>
                <w:highlight w:val="none"/>
              </w:rPr>
            </w:pPr>
            <w:r>
              <w:rPr>
                <w:rFonts w:hint="eastAsia" w:ascii="楷体_GB2312" w:eastAsia="楷体_GB2312"/>
                <w:color w:val="auto"/>
                <w:sz w:val="24"/>
                <w:highlight w:val="none"/>
              </w:rPr>
              <w:t>大</w:t>
            </w:r>
          </w:p>
          <w:p w14:paraId="09B8A9A1">
            <w:pPr>
              <w:jc w:val="center"/>
              <w:rPr>
                <w:rFonts w:ascii="楷体_GB2312" w:eastAsia="楷体_GB2312"/>
                <w:color w:val="auto"/>
                <w:sz w:val="24"/>
                <w:highlight w:val="none"/>
              </w:rPr>
            </w:pPr>
          </w:p>
          <w:p w14:paraId="31A0A4EA">
            <w:pPr>
              <w:jc w:val="center"/>
              <w:rPr>
                <w:rFonts w:ascii="楷体_GB2312" w:eastAsia="楷体_GB2312"/>
                <w:color w:val="auto"/>
                <w:sz w:val="24"/>
                <w:highlight w:val="none"/>
              </w:rPr>
            </w:pPr>
          </w:p>
          <w:p w14:paraId="4D1E2AE5">
            <w:pPr>
              <w:jc w:val="center"/>
              <w:rPr>
                <w:rFonts w:ascii="楷体_GB2312" w:eastAsia="楷体_GB2312"/>
                <w:color w:val="auto"/>
                <w:sz w:val="24"/>
                <w:highlight w:val="none"/>
              </w:rPr>
            </w:pPr>
          </w:p>
          <w:p w14:paraId="30DE9A2B">
            <w:pPr>
              <w:jc w:val="center"/>
              <w:rPr>
                <w:rFonts w:ascii="楷体_GB2312" w:eastAsia="楷体_GB2312"/>
                <w:color w:val="auto"/>
                <w:sz w:val="24"/>
                <w:highlight w:val="none"/>
              </w:rPr>
            </w:pPr>
            <w:r>
              <w:rPr>
                <w:rFonts w:hint="eastAsia" w:ascii="楷体_GB2312" w:eastAsia="楷体_GB2312"/>
                <w:color w:val="auto"/>
                <w:sz w:val="24"/>
                <w:highlight w:val="none"/>
              </w:rPr>
              <w:t>堂</w:t>
            </w:r>
          </w:p>
        </w:tc>
        <w:tc>
          <w:tcPr>
            <w:tcW w:w="495" w:type="pct"/>
            <w:vAlign w:val="center"/>
          </w:tcPr>
          <w:p w14:paraId="49A7A8B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60DA4395">
            <w:pPr>
              <w:rPr>
                <w:rFonts w:ascii="楷体_GB2312" w:eastAsia="楷体_GB2312"/>
                <w:color w:val="auto"/>
                <w:sz w:val="24"/>
                <w:highlight w:val="none"/>
              </w:rPr>
            </w:pPr>
            <w:r>
              <w:rPr>
                <w:rFonts w:hint="eastAsia" w:ascii="楷体_GB2312" w:eastAsia="楷体_GB2312"/>
                <w:color w:val="auto"/>
                <w:sz w:val="24"/>
                <w:highlight w:val="none"/>
              </w:rPr>
              <w:t>拖洗大堂</w:t>
            </w:r>
          </w:p>
        </w:tc>
        <w:tc>
          <w:tcPr>
            <w:tcW w:w="2596" w:type="pct"/>
            <w:vAlign w:val="center"/>
          </w:tcPr>
          <w:p w14:paraId="51BF82EF">
            <w:pPr>
              <w:rPr>
                <w:rFonts w:ascii="楷体_GB2312" w:eastAsia="楷体_GB2312"/>
                <w:color w:val="auto"/>
                <w:sz w:val="24"/>
                <w:highlight w:val="none"/>
              </w:rPr>
            </w:pPr>
            <w:r>
              <w:rPr>
                <w:rFonts w:hint="eastAsia" w:ascii="楷体_GB2312" w:eastAsia="楷体_GB2312"/>
                <w:color w:val="auto"/>
                <w:sz w:val="24"/>
                <w:highlight w:val="none"/>
              </w:rPr>
              <w:t>放防滑标示、干净、整洁、无明显灰尘</w:t>
            </w:r>
          </w:p>
        </w:tc>
      </w:tr>
      <w:tr w14:paraId="7BF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27DB762">
            <w:pPr>
              <w:jc w:val="center"/>
              <w:rPr>
                <w:rFonts w:ascii="楷体_GB2312" w:eastAsia="楷体_GB2312"/>
                <w:color w:val="auto"/>
                <w:sz w:val="24"/>
                <w:highlight w:val="none"/>
              </w:rPr>
            </w:pPr>
          </w:p>
        </w:tc>
        <w:tc>
          <w:tcPr>
            <w:tcW w:w="495" w:type="pct"/>
            <w:vAlign w:val="center"/>
          </w:tcPr>
          <w:p w14:paraId="2BEB139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3027EF05">
            <w:pPr>
              <w:rPr>
                <w:rFonts w:ascii="楷体_GB2312" w:eastAsia="楷体_GB2312"/>
                <w:color w:val="auto"/>
                <w:sz w:val="24"/>
                <w:highlight w:val="none"/>
              </w:rPr>
            </w:pPr>
            <w:r>
              <w:rPr>
                <w:rFonts w:hint="eastAsia" w:ascii="楷体_GB2312" w:eastAsia="楷体_GB2312"/>
                <w:color w:val="auto"/>
                <w:sz w:val="24"/>
                <w:highlight w:val="none"/>
              </w:rPr>
              <w:t>清扫大堂</w:t>
            </w:r>
          </w:p>
        </w:tc>
        <w:tc>
          <w:tcPr>
            <w:tcW w:w="2596" w:type="pct"/>
            <w:vAlign w:val="center"/>
          </w:tcPr>
          <w:p w14:paraId="42505812">
            <w:pPr>
              <w:rPr>
                <w:rFonts w:ascii="楷体_GB2312" w:eastAsia="楷体_GB2312"/>
                <w:color w:val="auto"/>
                <w:sz w:val="24"/>
                <w:highlight w:val="none"/>
              </w:rPr>
            </w:pPr>
            <w:r>
              <w:rPr>
                <w:rFonts w:hint="eastAsia" w:ascii="楷体_GB2312" w:eastAsia="楷体_GB2312"/>
                <w:color w:val="auto"/>
                <w:sz w:val="24"/>
                <w:highlight w:val="none"/>
              </w:rPr>
              <w:t>无明显杂物</w:t>
            </w:r>
          </w:p>
        </w:tc>
      </w:tr>
      <w:tr w14:paraId="3C15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97AB202">
            <w:pPr>
              <w:jc w:val="center"/>
              <w:rPr>
                <w:rFonts w:ascii="楷体_GB2312" w:eastAsia="楷体_GB2312"/>
                <w:color w:val="auto"/>
                <w:sz w:val="24"/>
                <w:highlight w:val="none"/>
              </w:rPr>
            </w:pPr>
          </w:p>
        </w:tc>
        <w:tc>
          <w:tcPr>
            <w:tcW w:w="495" w:type="pct"/>
            <w:vAlign w:val="center"/>
          </w:tcPr>
          <w:p w14:paraId="1B3FAAB2">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6B123AFB">
            <w:pPr>
              <w:rPr>
                <w:rFonts w:ascii="楷体_GB2312" w:eastAsia="楷体_GB2312"/>
                <w:color w:val="auto"/>
                <w:sz w:val="24"/>
                <w:highlight w:val="none"/>
              </w:rPr>
            </w:pPr>
            <w:r>
              <w:rPr>
                <w:rFonts w:hint="eastAsia" w:ascii="楷体_GB2312" w:eastAsia="楷体_GB2312"/>
                <w:color w:val="auto"/>
                <w:sz w:val="24"/>
                <w:highlight w:val="none"/>
              </w:rPr>
              <w:t>擦大堂及楼梯防盗门</w:t>
            </w:r>
          </w:p>
        </w:tc>
        <w:tc>
          <w:tcPr>
            <w:tcW w:w="2596" w:type="pct"/>
            <w:vAlign w:val="center"/>
          </w:tcPr>
          <w:p w14:paraId="4DBDDB7A">
            <w:pPr>
              <w:rPr>
                <w:rFonts w:ascii="楷体_GB2312" w:eastAsia="楷体_GB2312"/>
                <w:color w:val="auto"/>
                <w:sz w:val="24"/>
                <w:highlight w:val="none"/>
              </w:rPr>
            </w:pPr>
            <w:r>
              <w:rPr>
                <w:rFonts w:hint="eastAsia" w:ascii="楷体_GB2312" w:eastAsia="楷体_GB2312"/>
                <w:color w:val="auto"/>
                <w:sz w:val="24"/>
                <w:highlight w:val="none"/>
              </w:rPr>
              <w:t>无明显灰尘、无手印</w:t>
            </w:r>
          </w:p>
        </w:tc>
      </w:tr>
      <w:tr w14:paraId="4A4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2B6FDC45">
            <w:pPr>
              <w:jc w:val="center"/>
              <w:rPr>
                <w:rFonts w:ascii="楷体_GB2312" w:eastAsia="楷体_GB2312"/>
                <w:color w:val="auto"/>
                <w:sz w:val="24"/>
                <w:highlight w:val="none"/>
              </w:rPr>
            </w:pPr>
          </w:p>
        </w:tc>
        <w:tc>
          <w:tcPr>
            <w:tcW w:w="495" w:type="pct"/>
            <w:vAlign w:val="center"/>
          </w:tcPr>
          <w:p w14:paraId="7AFCCB67">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74BBCE2">
            <w:pPr>
              <w:rPr>
                <w:rFonts w:ascii="楷体_GB2312" w:eastAsia="楷体_GB2312"/>
                <w:color w:val="auto"/>
                <w:sz w:val="24"/>
                <w:highlight w:val="none"/>
              </w:rPr>
            </w:pPr>
            <w:r>
              <w:rPr>
                <w:rFonts w:hint="eastAsia" w:ascii="楷体_GB2312" w:eastAsia="楷体_GB2312"/>
                <w:color w:val="auto"/>
                <w:sz w:val="24"/>
                <w:highlight w:val="none"/>
              </w:rPr>
              <w:t>大堂玻璃</w:t>
            </w:r>
          </w:p>
        </w:tc>
        <w:tc>
          <w:tcPr>
            <w:tcW w:w="2596" w:type="pct"/>
            <w:vAlign w:val="center"/>
          </w:tcPr>
          <w:p w14:paraId="182AF7D2">
            <w:pPr>
              <w:rPr>
                <w:rFonts w:ascii="楷体_GB2312" w:eastAsia="楷体_GB2312"/>
                <w:color w:val="auto"/>
                <w:sz w:val="24"/>
                <w:highlight w:val="none"/>
              </w:rPr>
            </w:pPr>
            <w:r>
              <w:rPr>
                <w:rFonts w:hint="eastAsia" w:ascii="楷体_GB2312" w:eastAsia="楷体_GB2312"/>
                <w:color w:val="auto"/>
                <w:sz w:val="24"/>
                <w:highlight w:val="none"/>
              </w:rPr>
              <w:t>无张贴物、光亮无明显灰尘</w:t>
            </w:r>
          </w:p>
        </w:tc>
      </w:tr>
      <w:tr w14:paraId="514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E1AFE32">
            <w:pPr>
              <w:jc w:val="center"/>
              <w:rPr>
                <w:rFonts w:ascii="楷体_GB2312" w:eastAsia="楷体_GB2312"/>
                <w:color w:val="auto"/>
                <w:sz w:val="24"/>
                <w:highlight w:val="none"/>
              </w:rPr>
            </w:pPr>
          </w:p>
        </w:tc>
        <w:tc>
          <w:tcPr>
            <w:tcW w:w="495" w:type="pct"/>
            <w:vAlign w:val="center"/>
          </w:tcPr>
          <w:p w14:paraId="54A0A1C3">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046DA292">
            <w:pPr>
              <w:rPr>
                <w:rFonts w:ascii="楷体_GB2312" w:eastAsia="楷体_GB2312"/>
                <w:color w:val="auto"/>
                <w:sz w:val="24"/>
                <w:highlight w:val="none"/>
              </w:rPr>
            </w:pPr>
            <w:r>
              <w:rPr>
                <w:rFonts w:hint="eastAsia" w:ascii="楷体_GB2312" w:eastAsia="楷体_GB2312"/>
                <w:color w:val="auto"/>
                <w:sz w:val="24"/>
                <w:highlight w:val="none"/>
              </w:rPr>
              <w:t>清理烟灰盅</w:t>
            </w:r>
          </w:p>
        </w:tc>
        <w:tc>
          <w:tcPr>
            <w:tcW w:w="2596" w:type="pct"/>
            <w:vAlign w:val="center"/>
          </w:tcPr>
          <w:p w14:paraId="1784F99B">
            <w:pPr>
              <w:rPr>
                <w:rFonts w:ascii="楷体_GB2312" w:eastAsia="楷体_GB2312"/>
                <w:color w:val="auto"/>
                <w:sz w:val="24"/>
                <w:highlight w:val="none"/>
              </w:rPr>
            </w:pPr>
            <w:r>
              <w:rPr>
                <w:rFonts w:hint="eastAsia" w:ascii="楷体_GB2312" w:eastAsia="楷体_GB2312"/>
                <w:color w:val="auto"/>
                <w:sz w:val="24"/>
                <w:highlight w:val="none"/>
              </w:rPr>
              <w:t>干净、整洁</w:t>
            </w:r>
          </w:p>
        </w:tc>
      </w:tr>
      <w:tr w14:paraId="7A48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AAC22E6">
            <w:pPr>
              <w:jc w:val="center"/>
              <w:rPr>
                <w:rFonts w:ascii="楷体_GB2312" w:eastAsia="楷体_GB2312"/>
                <w:color w:val="auto"/>
                <w:sz w:val="24"/>
                <w:highlight w:val="none"/>
              </w:rPr>
            </w:pPr>
          </w:p>
        </w:tc>
        <w:tc>
          <w:tcPr>
            <w:tcW w:w="495" w:type="pct"/>
            <w:vAlign w:val="center"/>
          </w:tcPr>
          <w:p w14:paraId="160847D5">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2E828A12">
            <w:pPr>
              <w:rPr>
                <w:rFonts w:ascii="楷体_GB2312" w:eastAsia="楷体_GB2312"/>
                <w:color w:val="auto"/>
                <w:sz w:val="24"/>
                <w:highlight w:val="none"/>
              </w:rPr>
            </w:pPr>
            <w:r>
              <w:rPr>
                <w:rFonts w:hint="eastAsia" w:ascii="楷体_GB2312" w:eastAsia="楷体_GB2312"/>
                <w:color w:val="auto"/>
                <w:sz w:val="24"/>
                <w:highlight w:val="none"/>
              </w:rPr>
              <w:t>擦公告栏、标示</w:t>
            </w:r>
          </w:p>
        </w:tc>
        <w:tc>
          <w:tcPr>
            <w:tcW w:w="2596" w:type="pct"/>
            <w:vAlign w:val="center"/>
          </w:tcPr>
          <w:p w14:paraId="6075C92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2A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4151E0B">
            <w:pPr>
              <w:jc w:val="center"/>
              <w:rPr>
                <w:rFonts w:ascii="楷体_GB2312" w:eastAsia="楷体_GB2312"/>
                <w:color w:val="auto"/>
                <w:sz w:val="24"/>
                <w:highlight w:val="none"/>
              </w:rPr>
            </w:pPr>
          </w:p>
        </w:tc>
        <w:tc>
          <w:tcPr>
            <w:tcW w:w="495" w:type="pct"/>
            <w:vAlign w:val="center"/>
          </w:tcPr>
          <w:p w14:paraId="7E6E964B">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6B11D2FB">
            <w:pPr>
              <w:rPr>
                <w:rFonts w:ascii="楷体_GB2312" w:eastAsia="楷体_GB2312"/>
                <w:color w:val="auto"/>
                <w:sz w:val="24"/>
                <w:highlight w:val="none"/>
              </w:rPr>
            </w:pPr>
            <w:r>
              <w:rPr>
                <w:rFonts w:hint="eastAsia" w:ascii="楷体_GB2312" w:eastAsia="楷体_GB2312"/>
                <w:color w:val="auto"/>
                <w:sz w:val="24"/>
                <w:highlight w:val="none"/>
              </w:rPr>
              <w:t>信报箱</w:t>
            </w:r>
          </w:p>
        </w:tc>
        <w:tc>
          <w:tcPr>
            <w:tcW w:w="2596" w:type="pct"/>
            <w:vAlign w:val="center"/>
          </w:tcPr>
          <w:p w14:paraId="317B17C2">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1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97506ED">
            <w:pPr>
              <w:jc w:val="center"/>
              <w:rPr>
                <w:rFonts w:ascii="楷体_GB2312" w:eastAsia="楷体_GB2312"/>
                <w:color w:val="auto"/>
                <w:sz w:val="24"/>
                <w:highlight w:val="none"/>
              </w:rPr>
            </w:pPr>
          </w:p>
        </w:tc>
        <w:tc>
          <w:tcPr>
            <w:tcW w:w="495" w:type="pct"/>
            <w:vAlign w:val="center"/>
          </w:tcPr>
          <w:p w14:paraId="525D73C4">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2AB3C255">
            <w:pPr>
              <w:rPr>
                <w:rFonts w:ascii="楷体_GB2312" w:eastAsia="楷体_GB2312"/>
                <w:color w:val="auto"/>
                <w:sz w:val="24"/>
                <w:highlight w:val="none"/>
              </w:rPr>
            </w:pPr>
            <w:r>
              <w:rPr>
                <w:rFonts w:hint="eastAsia" w:ascii="楷体_GB2312" w:eastAsia="楷体_GB2312"/>
                <w:color w:val="auto"/>
                <w:sz w:val="24"/>
                <w:highlight w:val="none"/>
              </w:rPr>
              <w:t>擦洗大堂墙壁</w:t>
            </w:r>
          </w:p>
        </w:tc>
        <w:tc>
          <w:tcPr>
            <w:tcW w:w="2596" w:type="pct"/>
            <w:vAlign w:val="center"/>
          </w:tcPr>
          <w:p w14:paraId="297A8A1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7486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560E12B">
            <w:pPr>
              <w:jc w:val="center"/>
              <w:rPr>
                <w:rFonts w:ascii="楷体_GB2312" w:eastAsia="楷体_GB2312"/>
                <w:color w:val="auto"/>
                <w:sz w:val="24"/>
                <w:highlight w:val="none"/>
              </w:rPr>
            </w:pPr>
          </w:p>
        </w:tc>
        <w:tc>
          <w:tcPr>
            <w:tcW w:w="495" w:type="pct"/>
            <w:vAlign w:val="center"/>
          </w:tcPr>
          <w:p w14:paraId="1F0B91C1">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29C913D4">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4E36650D">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4CF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7628F13">
            <w:pPr>
              <w:jc w:val="center"/>
              <w:rPr>
                <w:rFonts w:ascii="楷体_GB2312" w:eastAsia="楷体_GB2312"/>
                <w:color w:val="auto"/>
                <w:sz w:val="24"/>
                <w:highlight w:val="none"/>
              </w:rPr>
            </w:pPr>
            <w:r>
              <w:rPr>
                <w:rFonts w:hint="eastAsia" w:ascii="楷体_GB2312" w:eastAsia="楷体_GB2312"/>
                <w:color w:val="auto"/>
                <w:sz w:val="24"/>
                <w:highlight w:val="none"/>
              </w:rPr>
              <w:t>电</w:t>
            </w:r>
          </w:p>
          <w:p w14:paraId="4039EF21">
            <w:pPr>
              <w:jc w:val="center"/>
              <w:rPr>
                <w:rFonts w:ascii="楷体_GB2312" w:eastAsia="楷体_GB2312"/>
                <w:color w:val="auto"/>
                <w:sz w:val="24"/>
                <w:highlight w:val="none"/>
              </w:rPr>
            </w:pPr>
            <w:r>
              <w:rPr>
                <w:rFonts w:hint="eastAsia" w:ascii="楷体_GB2312" w:eastAsia="楷体_GB2312"/>
                <w:color w:val="auto"/>
                <w:sz w:val="24"/>
                <w:highlight w:val="none"/>
              </w:rPr>
              <w:t>梯</w:t>
            </w:r>
          </w:p>
        </w:tc>
        <w:tc>
          <w:tcPr>
            <w:tcW w:w="495" w:type="pct"/>
            <w:vAlign w:val="center"/>
          </w:tcPr>
          <w:p w14:paraId="1F658FD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DCA6187">
            <w:pPr>
              <w:rPr>
                <w:rFonts w:ascii="楷体_GB2312" w:eastAsia="楷体_GB2312"/>
                <w:color w:val="auto"/>
                <w:sz w:val="24"/>
                <w:highlight w:val="none"/>
              </w:rPr>
            </w:pPr>
            <w:r>
              <w:rPr>
                <w:rFonts w:hint="eastAsia" w:ascii="楷体_GB2312" w:eastAsia="楷体_GB2312"/>
                <w:color w:val="auto"/>
                <w:sz w:val="24"/>
                <w:highlight w:val="none"/>
              </w:rPr>
              <w:t>拖洗电梯踏板</w:t>
            </w:r>
          </w:p>
        </w:tc>
        <w:tc>
          <w:tcPr>
            <w:tcW w:w="2596" w:type="pct"/>
            <w:vAlign w:val="center"/>
          </w:tcPr>
          <w:p w14:paraId="597A46FA">
            <w:pPr>
              <w:rPr>
                <w:rFonts w:ascii="楷体_GB2312" w:eastAsia="楷体_GB2312"/>
                <w:color w:val="auto"/>
                <w:sz w:val="24"/>
                <w:highlight w:val="none"/>
              </w:rPr>
            </w:pPr>
            <w:r>
              <w:rPr>
                <w:rFonts w:hint="eastAsia" w:ascii="楷体_GB2312" w:eastAsia="楷体_GB2312"/>
                <w:color w:val="auto"/>
                <w:sz w:val="24"/>
                <w:highlight w:val="none"/>
              </w:rPr>
              <w:t>无明显灰尘、杂物</w:t>
            </w:r>
          </w:p>
        </w:tc>
      </w:tr>
      <w:tr w14:paraId="06E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88DC8E4">
            <w:pPr>
              <w:jc w:val="center"/>
              <w:rPr>
                <w:rFonts w:ascii="楷体_GB2312" w:eastAsia="楷体_GB2312"/>
                <w:color w:val="auto"/>
                <w:sz w:val="24"/>
                <w:highlight w:val="none"/>
              </w:rPr>
            </w:pPr>
          </w:p>
        </w:tc>
        <w:tc>
          <w:tcPr>
            <w:tcW w:w="495" w:type="pct"/>
            <w:vAlign w:val="center"/>
          </w:tcPr>
          <w:p w14:paraId="6984E3AF">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0E6150C">
            <w:pPr>
              <w:rPr>
                <w:rFonts w:ascii="楷体_GB2312" w:eastAsia="楷体_GB2312"/>
                <w:color w:val="auto"/>
                <w:sz w:val="24"/>
                <w:highlight w:val="none"/>
              </w:rPr>
            </w:pPr>
            <w:r>
              <w:rPr>
                <w:rFonts w:hint="eastAsia" w:ascii="楷体_GB2312" w:eastAsia="楷体_GB2312"/>
                <w:color w:val="auto"/>
                <w:sz w:val="24"/>
                <w:highlight w:val="none"/>
              </w:rPr>
              <w:t>擦洗电梯轿厢内壁</w:t>
            </w:r>
          </w:p>
        </w:tc>
        <w:tc>
          <w:tcPr>
            <w:tcW w:w="2596" w:type="pct"/>
            <w:vAlign w:val="center"/>
          </w:tcPr>
          <w:p w14:paraId="7EDB89B5">
            <w:pPr>
              <w:rPr>
                <w:rFonts w:ascii="楷体_GB2312" w:eastAsia="楷体_GB2312"/>
                <w:color w:val="auto"/>
                <w:sz w:val="24"/>
                <w:highlight w:val="none"/>
              </w:rPr>
            </w:pPr>
            <w:r>
              <w:rPr>
                <w:rFonts w:hint="eastAsia" w:ascii="楷体_GB2312" w:eastAsia="楷体_GB2312"/>
                <w:color w:val="auto"/>
                <w:sz w:val="24"/>
                <w:highlight w:val="none"/>
              </w:rPr>
              <w:t>光亮无灰尘</w:t>
            </w:r>
          </w:p>
        </w:tc>
      </w:tr>
      <w:tr w14:paraId="32CD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27CC3CA">
            <w:pPr>
              <w:jc w:val="center"/>
              <w:rPr>
                <w:rFonts w:ascii="楷体_GB2312" w:eastAsia="楷体_GB2312"/>
                <w:color w:val="auto"/>
                <w:sz w:val="24"/>
                <w:highlight w:val="none"/>
              </w:rPr>
            </w:pPr>
          </w:p>
        </w:tc>
        <w:tc>
          <w:tcPr>
            <w:tcW w:w="495" w:type="pct"/>
            <w:vAlign w:val="center"/>
          </w:tcPr>
          <w:p w14:paraId="47F93F04">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75AA38C">
            <w:pPr>
              <w:rPr>
                <w:rFonts w:ascii="楷体_GB2312" w:eastAsia="楷体_GB2312"/>
                <w:color w:val="auto"/>
                <w:sz w:val="24"/>
                <w:highlight w:val="none"/>
              </w:rPr>
            </w:pPr>
            <w:r>
              <w:rPr>
                <w:rFonts w:hint="eastAsia" w:ascii="楷体_GB2312" w:eastAsia="楷体_GB2312"/>
                <w:color w:val="auto"/>
                <w:sz w:val="24"/>
                <w:highlight w:val="none"/>
              </w:rPr>
              <w:t>清理电梯门地槽</w:t>
            </w:r>
          </w:p>
        </w:tc>
        <w:tc>
          <w:tcPr>
            <w:tcW w:w="2596" w:type="pct"/>
            <w:vAlign w:val="center"/>
          </w:tcPr>
          <w:p w14:paraId="529597B9">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359B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3F1B842">
            <w:pPr>
              <w:jc w:val="center"/>
              <w:rPr>
                <w:rFonts w:ascii="楷体_GB2312" w:eastAsia="楷体_GB2312"/>
                <w:color w:val="auto"/>
                <w:sz w:val="24"/>
                <w:highlight w:val="none"/>
              </w:rPr>
            </w:pPr>
          </w:p>
          <w:p w14:paraId="6A8F37B7">
            <w:pPr>
              <w:jc w:val="center"/>
              <w:rPr>
                <w:rFonts w:ascii="楷体_GB2312" w:eastAsia="楷体_GB2312"/>
                <w:color w:val="auto"/>
                <w:sz w:val="24"/>
                <w:highlight w:val="none"/>
              </w:rPr>
            </w:pPr>
            <w:r>
              <w:rPr>
                <w:rFonts w:hint="eastAsia" w:ascii="楷体_GB2312" w:eastAsia="楷体_GB2312"/>
                <w:color w:val="auto"/>
                <w:sz w:val="24"/>
                <w:highlight w:val="none"/>
              </w:rPr>
              <w:t>电梯</w:t>
            </w:r>
          </w:p>
          <w:p w14:paraId="7BB1D1D1">
            <w:pPr>
              <w:jc w:val="center"/>
              <w:rPr>
                <w:rFonts w:ascii="楷体_GB2312" w:eastAsia="楷体_GB2312"/>
                <w:color w:val="auto"/>
                <w:sz w:val="24"/>
                <w:highlight w:val="none"/>
              </w:rPr>
            </w:pPr>
            <w:r>
              <w:rPr>
                <w:rFonts w:hint="eastAsia" w:ascii="楷体_GB2312" w:eastAsia="楷体_GB2312"/>
                <w:color w:val="auto"/>
                <w:sz w:val="24"/>
                <w:highlight w:val="none"/>
              </w:rPr>
              <w:t>层及</w:t>
            </w:r>
          </w:p>
          <w:p w14:paraId="0EF949F6">
            <w:pPr>
              <w:jc w:val="center"/>
              <w:rPr>
                <w:rFonts w:ascii="楷体_GB2312" w:eastAsia="楷体_GB2312"/>
                <w:color w:val="auto"/>
                <w:sz w:val="24"/>
                <w:highlight w:val="none"/>
              </w:rPr>
            </w:pPr>
            <w:r>
              <w:rPr>
                <w:rFonts w:hint="eastAsia" w:ascii="楷体_GB2312" w:eastAsia="楷体_GB2312"/>
                <w:color w:val="auto"/>
                <w:sz w:val="24"/>
                <w:highlight w:val="none"/>
              </w:rPr>
              <w:t>楼梯走道</w:t>
            </w:r>
          </w:p>
        </w:tc>
        <w:tc>
          <w:tcPr>
            <w:tcW w:w="495" w:type="pct"/>
            <w:vAlign w:val="center"/>
          </w:tcPr>
          <w:p w14:paraId="1C8D04E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0FB421C">
            <w:pPr>
              <w:rPr>
                <w:rFonts w:ascii="楷体_GB2312" w:eastAsia="楷体_GB2312"/>
                <w:color w:val="auto"/>
                <w:sz w:val="24"/>
                <w:highlight w:val="none"/>
              </w:rPr>
            </w:pPr>
            <w:r>
              <w:rPr>
                <w:rFonts w:hint="eastAsia" w:ascii="楷体_GB2312" w:eastAsia="楷体_GB2312"/>
                <w:color w:val="auto"/>
                <w:sz w:val="24"/>
                <w:highlight w:val="none"/>
              </w:rPr>
              <w:t>清扫电梯厅及走道</w:t>
            </w:r>
          </w:p>
        </w:tc>
        <w:tc>
          <w:tcPr>
            <w:tcW w:w="2596" w:type="pct"/>
            <w:vAlign w:val="center"/>
          </w:tcPr>
          <w:p w14:paraId="65B6ECDF">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154E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DF78FB8">
            <w:pPr>
              <w:jc w:val="center"/>
              <w:rPr>
                <w:rFonts w:ascii="楷体_GB2312" w:eastAsia="楷体_GB2312"/>
                <w:color w:val="auto"/>
                <w:sz w:val="24"/>
                <w:highlight w:val="none"/>
              </w:rPr>
            </w:pPr>
          </w:p>
        </w:tc>
        <w:tc>
          <w:tcPr>
            <w:tcW w:w="495" w:type="pct"/>
            <w:vAlign w:val="center"/>
          </w:tcPr>
          <w:p w14:paraId="0DD1C975">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7E37AE7F">
            <w:pPr>
              <w:rPr>
                <w:rFonts w:ascii="楷体_GB2312" w:eastAsia="楷体_GB2312"/>
                <w:color w:val="auto"/>
                <w:sz w:val="24"/>
                <w:highlight w:val="none"/>
              </w:rPr>
            </w:pPr>
            <w:r>
              <w:rPr>
                <w:rFonts w:hint="eastAsia" w:ascii="楷体_GB2312" w:eastAsia="楷体_GB2312"/>
                <w:color w:val="auto"/>
                <w:sz w:val="24"/>
                <w:highlight w:val="none"/>
              </w:rPr>
              <w:t>拖洗电梯厅及走道</w:t>
            </w:r>
          </w:p>
        </w:tc>
        <w:tc>
          <w:tcPr>
            <w:tcW w:w="2596" w:type="pct"/>
            <w:vAlign w:val="center"/>
          </w:tcPr>
          <w:p w14:paraId="7CE92AB5">
            <w:pPr>
              <w:rPr>
                <w:rFonts w:ascii="楷体_GB2312" w:eastAsia="楷体_GB2312"/>
                <w:color w:val="auto"/>
                <w:sz w:val="24"/>
                <w:highlight w:val="none"/>
              </w:rPr>
            </w:pPr>
            <w:r>
              <w:rPr>
                <w:rFonts w:hint="eastAsia" w:ascii="楷体_GB2312" w:eastAsia="楷体_GB2312"/>
                <w:color w:val="auto"/>
                <w:sz w:val="24"/>
                <w:highlight w:val="none"/>
              </w:rPr>
              <w:t>干净、无明显灰尘、积水</w:t>
            </w:r>
          </w:p>
        </w:tc>
      </w:tr>
      <w:tr w14:paraId="5B0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E95AAD1">
            <w:pPr>
              <w:jc w:val="center"/>
              <w:rPr>
                <w:rFonts w:ascii="楷体_GB2312" w:eastAsia="楷体_GB2312"/>
                <w:color w:val="auto"/>
                <w:sz w:val="24"/>
                <w:highlight w:val="none"/>
              </w:rPr>
            </w:pPr>
          </w:p>
        </w:tc>
        <w:tc>
          <w:tcPr>
            <w:tcW w:w="495" w:type="pct"/>
            <w:vAlign w:val="center"/>
          </w:tcPr>
          <w:p w14:paraId="53C8B725">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440E94AE">
            <w:pPr>
              <w:rPr>
                <w:rFonts w:ascii="楷体_GB2312" w:eastAsia="楷体_GB2312"/>
                <w:color w:val="auto"/>
                <w:sz w:val="24"/>
                <w:highlight w:val="none"/>
              </w:rPr>
            </w:pPr>
            <w:r>
              <w:rPr>
                <w:rFonts w:hint="eastAsia" w:ascii="楷体_GB2312" w:eastAsia="楷体_GB2312"/>
                <w:color w:val="auto"/>
                <w:sz w:val="24"/>
                <w:highlight w:val="none"/>
              </w:rPr>
              <w:t>擦扶手</w:t>
            </w:r>
          </w:p>
        </w:tc>
        <w:tc>
          <w:tcPr>
            <w:tcW w:w="2596" w:type="pct"/>
            <w:vAlign w:val="center"/>
          </w:tcPr>
          <w:p w14:paraId="0F55D4A8">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45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9EFDA1D">
            <w:pPr>
              <w:jc w:val="center"/>
              <w:rPr>
                <w:rFonts w:ascii="楷体_GB2312" w:eastAsia="楷体_GB2312"/>
                <w:color w:val="auto"/>
                <w:sz w:val="24"/>
                <w:highlight w:val="none"/>
              </w:rPr>
            </w:pPr>
          </w:p>
        </w:tc>
        <w:tc>
          <w:tcPr>
            <w:tcW w:w="495" w:type="pct"/>
            <w:vAlign w:val="center"/>
          </w:tcPr>
          <w:p w14:paraId="00432254">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4DC27729">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7EC0BFB4">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07F775F0">
        <w:tblPrEx>
          <w:tblCellMar>
            <w:top w:w="0" w:type="dxa"/>
            <w:left w:w="108" w:type="dxa"/>
            <w:bottom w:w="0" w:type="dxa"/>
            <w:right w:w="108" w:type="dxa"/>
          </w:tblCellMar>
        </w:tblPrEx>
        <w:trPr>
          <w:cantSplit/>
          <w:trHeight w:val="260" w:hRule="atLeast"/>
          <w:jc w:val="center"/>
        </w:trPr>
        <w:tc>
          <w:tcPr>
            <w:tcW w:w="457" w:type="pct"/>
            <w:vMerge w:val="continue"/>
            <w:vAlign w:val="center"/>
          </w:tcPr>
          <w:p w14:paraId="3FB88F0B">
            <w:pPr>
              <w:jc w:val="center"/>
              <w:rPr>
                <w:rFonts w:ascii="楷体_GB2312" w:eastAsia="楷体_GB2312"/>
                <w:color w:val="auto"/>
                <w:sz w:val="24"/>
                <w:highlight w:val="none"/>
              </w:rPr>
            </w:pPr>
          </w:p>
        </w:tc>
        <w:tc>
          <w:tcPr>
            <w:tcW w:w="495" w:type="pct"/>
            <w:vAlign w:val="center"/>
          </w:tcPr>
          <w:p w14:paraId="507077FC">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37180F5B">
            <w:pPr>
              <w:rPr>
                <w:rFonts w:ascii="楷体_GB2312" w:eastAsia="楷体_GB2312"/>
                <w:color w:val="auto"/>
                <w:sz w:val="24"/>
                <w:highlight w:val="none"/>
              </w:rPr>
            </w:pPr>
            <w:r>
              <w:rPr>
                <w:rFonts w:hint="eastAsia" w:ascii="楷体_GB2312" w:eastAsia="楷体_GB2312"/>
                <w:color w:val="auto"/>
                <w:sz w:val="24"/>
                <w:highlight w:val="none"/>
              </w:rPr>
              <w:t>擦防盗门</w:t>
            </w:r>
          </w:p>
        </w:tc>
        <w:tc>
          <w:tcPr>
            <w:tcW w:w="2596" w:type="pct"/>
            <w:vAlign w:val="center"/>
          </w:tcPr>
          <w:p w14:paraId="01EF0E91">
            <w:pPr>
              <w:rPr>
                <w:rFonts w:ascii="楷体_GB2312" w:eastAsia="楷体_GB2312"/>
                <w:color w:val="auto"/>
                <w:sz w:val="24"/>
                <w:highlight w:val="none"/>
              </w:rPr>
            </w:pPr>
            <w:r>
              <w:rPr>
                <w:rFonts w:hint="eastAsia" w:ascii="楷体_GB2312" w:eastAsia="楷体_GB2312"/>
                <w:color w:val="auto"/>
                <w:sz w:val="24"/>
                <w:highlight w:val="none"/>
              </w:rPr>
              <w:t>干净.无明显灰尘、污渍</w:t>
            </w:r>
          </w:p>
        </w:tc>
      </w:tr>
      <w:tr w14:paraId="61C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19CA27D">
            <w:pPr>
              <w:jc w:val="center"/>
              <w:rPr>
                <w:rFonts w:ascii="楷体_GB2312" w:eastAsia="楷体_GB2312"/>
                <w:color w:val="auto"/>
                <w:sz w:val="24"/>
                <w:highlight w:val="none"/>
              </w:rPr>
            </w:pPr>
          </w:p>
        </w:tc>
        <w:tc>
          <w:tcPr>
            <w:tcW w:w="495" w:type="pct"/>
            <w:vAlign w:val="center"/>
          </w:tcPr>
          <w:p w14:paraId="6D873691">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6C7F0ABA">
            <w:pPr>
              <w:rPr>
                <w:rFonts w:ascii="楷体_GB2312" w:eastAsia="楷体_GB2312"/>
                <w:color w:val="auto"/>
                <w:sz w:val="24"/>
                <w:highlight w:val="none"/>
              </w:rPr>
            </w:pPr>
            <w:r>
              <w:rPr>
                <w:rFonts w:hint="eastAsia" w:ascii="楷体_GB2312" w:eastAsia="楷体_GB2312"/>
                <w:color w:val="auto"/>
                <w:sz w:val="24"/>
                <w:highlight w:val="none"/>
              </w:rPr>
              <w:t>擦洗电梯层及墙壁</w:t>
            </w:r>
          </w:p>
        </w:tc>
        <w:tc>
          <w:tcPr>
            <w:tcW w:w="2596" w:type="pct"/>
            <w:vAlign w:val="center"/>
          </w:tcPr>
          <w:p w14:paraId="57714F3C">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E7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0873324">
            <w:pPr>
              <w:jc w:val="center"/>
              <w:rPr>
                <w:rFonts w:ascii="楷体_GB2312" w:eastAsia="楷体_GB2312"/>
                <w:color w:val="auto"/>
                <w:sz w:val="24"/>
                <w:highlight w:val="none"/>
              </w:rPr>
            </w:pPr>
          </w:p>
        </w:tc>
        <w:tc>
          <w:tcPr>
            <w:tcW w:w="495" w:type="pct"/>
            <w:vAlign w:val="center"/>
          </w:tcPr>
          <w:p w14:paraId="51D4FC29">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79968A32">
            <w:pPr>
              <w:rPr>
                <w:rFonts w:ascii="楷体_GB2312" w:eastAsia="楷体_GB2312"/>
                <w:color w:val="auto"/>
                <w:sz w:val="24"/>
                <w:highlight w:val="none"/>
              </w:rPr>
            </w:pPr>
            <w:r>
              <w:rPr>
                <w:rFonts w:hint="eastAsia" w:ascii="楷体_GB2312" w:eastAsia="楷体_GB2312"/>
                <w:color w:val="auto"/>
                <w:sz w:val="24"/>
                <w:highlight w:val="none"/>
              </w:rPr>
              <w:t>擦楼层玻璃</w:t>
            </w:r>
          </w:p>
        </w:tc>
        <w:tc>
          <w:tcPr>
            <w:tcW w:w="2596" w:type="pct"/>
            <w:vAlign w:val="center"/>
          </w:tcPr>
          <w:p w14:paraId="455A1833">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5C8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0E138CB">
            <w:pPr>
              <w:jc w:val="center"/>
              <w:rPr>
                <w:rFonts w:ascii="楷体_GB2312" w:eastAsia="楷体_GB2312"/>
                <w:color w:val="auto"/>
                <w:sz w:val="24"/>
                <w:highlight w:val="none"/>
              </w:rPr>
            </w:pPr>
          </w:p>
        </w:tc>
        <w:tc>
          <w:tcPr>
            <w:tcW w:w="495" w:type="pct"/>
            <w:vAlign w:val="center"/>
          </w:tcPr>
          <w:p w14:paraId="0CE51C90">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4D2B23A1">
            <w:pPr>
              <w:rPr>
                <w:rFonts w:ascii="楷体_GB2312" w:eastAsia="楷体_GB2312"/>
                <w:color w:val="auto"/>
                <w:sz w:val="24"/>
                <w:highlight w:val="none"/>
              </w:rPr>
            </w:pPr>
            <w:r>
              <w:rPr>
                <w:rFonts w:hint="eastAsia" w:ascii="楷体_GB2312" w:eastAsia="楷体_GB2312"/>
                <w:color w:val="auto"/>
                <w:sz w:val="24"/>
                <w:highlight w:val="none"/>
              </w:rPr>
              <w:t>擦风口</w:t>
            </w:r>
          </w:p>
        </w:tc>
        <w:tc>
          <w:tcPr>
            <w:tcW w:w="2596" w:type="pct"/>
            <w:vAlign w:val="center"/>
          </w:tcPr>
          <w:p w14:paraId="29FCD2C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520F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D232B16">
            <w:pPr>
              <w:jc w:val="center"/>
              <w:rPr>
                <w:rFonts w:ascii="楷体_GB2312" w:eastAsia="楷体_GB2312"/>
                <w:color w:val="auto"/>
                <w:sz w:val="24"/>
                <w:highlight w:val="none"/>
              </w:rPr>
            </w:pPr>
          </w:p>
        </w:tc>
        <w:tc>
          <w:tcPr>
            <w:tcW w:w="495" w:type="pct"/>
            <w:vAlign w:val="center"/>
          </w:tcPr>
          <w:p w14:paraId="3CD50BC2">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3BFD3A0B">
            <w:pPr>
              <w:rPr>
                <w:rFonts w:ascii="楷体_GB2312" w:eastAsia="楷体_GB2312"/>
                <w:color w:val="auto"/>
                <w:sz w:val="24"/>
                <w:highlight w:val="none"/>
              </w:rPr>
            </w:pPr>
            <w:r>
              <w:rPr>
                <w:rFonts w:hint="eastAsia" w:ascii="楷体_GB2312" w:eastAsia="楷体_GB2312"/>
                <w:color w:val="auto"/>
                <w:sz w:val="24"/>
                <w:highlight w:val="none"/>
              </w:rPr>
              <w:t>擦消防设备及防火门</w:t>
            </w:r>
          </w:p>
        </w:tc>
        <w:tc>
          <w:tcPr>
            <w:tcW w:w="2596" w:type="pct"/>
            <w:vAlign w:val="center"/>
          </w:tcPr>
          <w:p w14:paraId="3087953A">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4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58059FE">
            <w:pPr>
              <w:jc w:val="center"/>
              <w:rPr>
                <w:rFonts w:ascii="楷体_GB2312" w:eastAsia="楷体_GB2312"/>
                <w:color w:val="auto"/>
                <w:sz w:val="24"/>
                <w:highlight w:val="none"/>
              </w:rPr>
            </w:pPr>
          </w:p>
        </w:tc>
        <w:tc>
          <w:tcPr>
            <w:tcW w:w="495" w:type="pct"/>
            <w:vAlign w:val="center"/>
          </w:tcPr>
          <w:p w14:paraId="1770AEAA">
            <w:pPr>
              <w:jc w:val="center"/>
              <w:rPr>
                <w:rFonts w:ascii="楷体_GB2312" w:eastAsia="楷体_GB2312"/>
                <w:color w:val="auto"/>
                <w:sz w:val="24"/>
                <w:highlight w:val="none"/>
              </w:rPr>
            </w:pPr>
            <w:r>
              <w:rPr>
                <w:rFonts w:hint="eastAsia" w:ascii="楷体_GB2312" w:eastAsia="楷体_GB2312"/>
                <w:color w:val="auto"/>
                <w:sz w:val="24"/>
                <w:highlight w:val="none"/>
              </w:rPr>
              <w:t>10</w:t>
            </w:r>
          </w:p>
        </w:tc>
        <w:tc>
          <w:tcPr>
            <w:tcW w:w="1450" w:type="pct"/>
            <w:vAlign w:val="center"/>
          </w:tcPr>
          <w:p w14:paraId="6C5657D7">
            <w:pPr>
              <w:rPr>
                <w:rFonts w:ascii="楷体_GB2312" w:eastAsia="楷体_GB2312"/>
                <w:color w:val="auto"/>
                <w:sz w:val="24"/>
                <w:highlight w:val="none"/>
              </w:rPr>
            </w:pPr>
            <w:r>
              <w:rPr>
                <w:rFonts w:hint="eastAsia" w:ascii="楷体_GB2312" w:eastAsia="楷体_GB2312"/>
                <w:color w:val="auto"/>
                <w:sz w:val="24"/>
                <w:highlight w:val="none"/>
              </w:rPr>
              <w:t>擦铁片</w:t>
            </w:r>
          </w:p>
        </w:tc>
        <w:tc>
          <w:tcPr>
            <w:tcW w:w="2596" w:type="pct"/>
            <w:vAlign w:val="center"/>
          </w:tcPr>
          <w:p w14:paraId="1BCAEB4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AE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6A8A724">
            <w:pPr>
              <w:jc w:val="center"/>
              <w:rPr>
                <w:rFonts w:ascii="楷体_GB2312" w:eastAsia="楷体_GB2312"/>
                <w:color w:val="auto"/>
                <w:sz w:val="24"/>
                <w:highlight w:val="none"/>
              </w:rPr>
            </w:pPr>
          </w:p>
        </w:tc>
        <w:tc>
          <w:tcPr>
            <w:tcW w:w="495" w:type="pct"/>
            <w:vAlign w:val="center"/>
          </w:tcPr>
          <w:p w14:paraId="0FABE3D8">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59FF89CF">
            <w:pPr>
              <w:rPr>
                <w:rFonts w:ascii="楷体_GB2312" w:eastAsia="楷体_GB2312"/>
                <w:color w:val="auto"/>
                <w:sz w:val="24"/>
                <w:highlight w:val="none"/>
              </w:rPr>
            </w:pPr>
            <w:r>
              <w:rPr>
                <w:rFonts w:hint="eastAsia" w:ascii="楷体_GB2312" w:eastAsia="楷体_GB2312"/>
                <w:color w:val="auto"/>
                <w:sz w:val="24"/>
                <w:highlight w:val="none"/>
              </w:rPr>
              <w:t>清扫灯罩灰尘</w:t>
            </w:r>
          </w:p>
        </w:tc>
        <w:tc>
          <w:tcPr>
            <w:tcW w:w="2596" w:type="pct"/>
            <w:vAlign w:val="center"/>
          </w:tcPr>
          <w:p w14:paraId="0B6EF03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1F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4E89FC3">
            <w:pPr>
              <w:jc w:val="center"/>
              <w:rPr>
                <w:rFonts w:ascii="楷体_GB2312" w:eastAsia="楷体_GB2312"/>
                <w:color w:val="auto"/>
                <w:sz w:val="24"/>
                <w:highlight w:val="none"/>
              </w:rPr>
            </w:pPr>
          </w:p>
        </w:tc>
        <w:tc>
          <w:tcPr>
            <w:tcW w:w="495" w:type="pct"/>
            <w:vAlign w:val="center"/>
          </w:tcPr>
          <w:p w14:paraId="6443390E">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6178C2D1">
            <w:pPr>
              <w:rPr>
                <w:rFonts w:ascii="楷体_GB2312" w:eastAsia="楷体_GB2312"/>
                <w:color w:val="auto"/>
                <w:sz w:val="24"/>
                <w:highlight w:val="none"/>
              </w:rPr>
            </w:pPr>
            <w:r>
              <w:rPr>
                <w:rFonts w:hint="eastAsia" w:ascii="楷体_GB2312" w:eastAsia="楷体_GB2312"/>
                <w:color w:val="auto"/>
                <w:sz w:val="24"/>
                <w:highlight w:val="none"/>
              </w:rPr>
              <w:t>擦开关面板</w:t>
            </w:r>
          </w:p>
        </w:tc>
        <w:tc>
          <w:tcPr>
            <w:tcW w:w="2596" w:type="pct"/>
            <w:vAlign w:val="center"/>
          </w:tcPr>
          <w:p w14:paraId="2C6ADA7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C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559B9B1B">
            <w:pPr>
              <w:jc w:val="center"/>
              <w:rPr>
                <w:rFonts w:ascii="楷体_GB2312" w:eastAsia="楷体_GB2312"/>
                <w:color w:val="auto"/>
                <w:sz w:val="24"/>
                <w:highlight w:val="none"/>
              </w:rPr>
            </w:pPr>
            <w:r>
              <w:rPr>
                <w:rFonts w:hint="eastAsia" w:ascii="楷体_GB2312" w:eastAsia="楷体_GB2312"/>
                <w:color w:val="auto"/>
                <w:sz w:val="24"/>
                <w:highlight w:val="none"/>
              </w:rPr>
              <w:t>楼顶</w:t>
            </w:r>
          </w:p>
        </w:tc>
        <w:tc>
          <w:tcPr>
            <w:tcW w:w="495" w:type="pct"/>
            <w:vAlign w:val="center"/>
          </w:tcPr>
          <w:p w14:paraId="4E47E8A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14815D0F">
            <w:pPr>
              <w:rPr>
                <w:rFonts w:ascii="楷体_GB2312" w:eastAsia="楷体_GB2312"/>
                <w:color w:val="auto"/>
                <w:sz w:val="24"/>
                <w:highlight w:val="none"/>
              </w:rPr>
            </w:pPr>
            <w:r>
              <w:rPr>
                <w:rFonts w:hint="eastAsia" w:ascii="楷体_GB2312" w:eastAsia="楷体_GB2312"/>
                <w:color w:val="auto"/>
                <w:sz w:val="24"/>
                <w:highlight w:val="none"/>
              </w:rPr>
              <w:t>清扫楼顶</w:t>
            </w:r>
          </w:p>
        </w:tc>
        <w:tc>
          <w:tcPr>
            <w:tcW w:w="2596" w:type="pct"/>
            <w:vAlign w:val="center"/>
          </w:tcPr>
          <w:p w14:paraId="374B834D">
            <w:pPr>
              <w:rPr>
                <w:rFonts w:ascii="楷体_GB2312" w:eastAsia="楷体_GB2312"/>
                <w:color w:val="auto"/>
                <w:sz w:val="24"/>
                <w:highlight w:val="none"/>
              </w:rPr>
            </w:pPr>
            <w:r>
              <w:rPr>
                <w:rFonts w:hint="eastAsia" w:ascii="楷体_GB2312" w:eastAsia="楷体_GB2312"/>
                <w:color w:val="auto"/>
                <w:sz w:val="24"/>
                <w:highlight w:val="none"/>
              </w:rPr>
              <w:t>干净整洁无明显杂物.地漏无堵</w:t>
            </w:r>
          </w:p>
        </w:tc>
      </w:tr>
      <w:tr w14:paraId="18B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1F0273A2">
            <w:pPr>
              <w:jc w:val="center"/>
              <w:rPr>
                <w:rFonts w:ascii="楷体_GB2312" w:eastAsia="楷体_GB2312"/>
                <w:color w:val="auto"/>
                <w:sz w:val="24"/>
                <w:highlight w:val="none"/>
              </w:rPr>
            </w:pPr>
            <w:r>
              <w:rPr>
                <w:rFonts w:hint="eastAsia" w:ascii="楷体_GB2312" w:eastAsia="楷体_GB2312"/>
                <w:color w:val="auto"/>
                <w:sz w:val="24"/>
                <w:highlight w:val="none"/>
              </w:rPr>
              <w:t>服</w:t>
            </w:r>
          </w:p>
          <w:p w14:paraId="201BA555">
            <w:pPr>
              <w:jc w:val="center"/>
              <w:rPr>
                <w:rFonts w:ascii="楷体_GB2312" w:eastAsia="楷体_GB2312"/>
                <w:color w:val="auto"/>
                <w:sz w:val="24"/>
                <w:highlight w:val="none"/>
              </w:rPr>
            </w:pPr>
            <w:r>
              <w:rPr>
                <w:rFonts w:hint="eastAsia" w:ascii="楷体_GB2312" w:eastAsia="楷体_GB2312"/>
                <w:color w:val="auto"/>
                <w:sz w:val="24"/>
                <w:highlight w:val="none"/>
              </w:rPr>
              <w:t>务</w:t>
            </w:r>
          </w:p>
          <w:p w14:paraId="4E105A1C">
            <w:pPr>
              <w:jc w:val="center"/>
              <w:rPr>
                <w:rFonts w:ascii="楷体_GB2312" w:eastAsia="楷体_GB2312"/>
                <w:color w:val="auto"/>
                <w:sz w:val="24"/>
                <w:highlight w:val="none"/>
              </w:rPr>
            </w:pPr>
            <w:r>
              <w:rPr>
                <w:rFonts w:hint="eastAsia" w:ascii="楷体_GB2312" w:eastAsia="楷体_GB2312"/>
                <w:color w:val="auto"/>
                <w:sz w:val="24"/>
                <w:highlight w:val="none"/>
              </w:rPr>
              <w:t>处</w:t>
            </w:r>
          </w:p>
        </w:tc>
        <w:tc>
          <w:tcPr>
            <w:tcW w:w="495" w:type="pct"/>
            <w:vAlign w:val="center"/>
          </w:tcPr>
          <w:p w14:paraId="539038AB">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6166383">
            <w:pPr>
              <w:rPr>
                <w:rFonts w:ascii="楷体_GB2312" w:eastAsia="楷体_GB2312"/>
                <w:color w:val="auto"/>
                <w:sz w:val="24"/>
                <w:highlight w:val="none"/>
              </w:rPr>
            </w:pPr>
            <w:r>
              <w:rPr>
                <w:rFonts w:hint="eastAsia" w:ascii="楷体_GB2312" w:eastAsia="楷体_GB2312"/>
                <w:color w:val="auto"/>
                <w:sz w:val="24"/>
                <w:highlight w:val="none"/>
              </w:rPr>
              <w:t>打扫服务处</w:t>
            </w:r>
          </w:p>
        </w:tc>
        <w:tc>
          <w:tcPr>
            <w:tcW w:w="2596" w:type="pct"/>
            <w:vAlign w:val="center"/>
          </w:tcPr>
          <w:p w14:paraId="45808A10">
            <w:pPr>
              <w:rPr>
                <w:rFonts w:ascii="楷体_GB2312" w:eastAsia="楷体_GB2312"/>
                <w:color w:val="auto"/>
                <w:sz w:val="24"/>
                <w:highlight w:val="none"/>
              </w:rPr>
            </w:pPr>
            <w:r>
              <w:rPr>
                <w:rFonts w:hint="eastAsia" w:ascii="楷体_GB2312" w:eastAsia="楷体_GB2312"/>
                <w:color w:val="auto"/>
                <w:sz w:val="24"/>
                <w:highlight w:val="none"/>
              </w:rPr>
              <w:t>干净、整洁、无明显灰尘</w:t>
            </w:r>
          </w:p>
        </w:tc>
      </w:tr>
      <w:tr w14:paraId="611B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4F47229A">
            <w:pPr>
              <w:jc w:val="center"/>
              <w:rPr>
                <w:rFonts w:ascii="楷体_GB2312" w:eastAsia="楷体_GB2312"/>
                <w:color w:val="auto"/>
                <w:sz w:val="24"/>
                <w:highlight w:val="none"/>
              </w:rPr>
            </w:pPr>
          </w:p>
        </w:tc>
        <w:tc>
          <w:tcPr>
            <w:tcW w:w="495" w:type="pct"/>
            <w:vAlign w:val="center"/>
          </w:tcPr>
          <w:p w14:paraId="09D7E8B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699F804F">
            <w:pPr>
              <w:rPr>
                <w:rFonts w:ascii="楷体_GB2312" w:eastAsia="楷体_GB2312"/>
                <w:color w:val="auto"/>
                <w:sz w:val="24"/>
                <w:highlight w:val="none"/>
              </w:rPr>
            </w:pPr>
            <w:r>
              <w:rPr>
                <w:rFonts w:hint="eastAsia" w:ascii="楷体_GB2312" w:eastAsia="楷体_GB2312"/>
                <w:color w:val="auto"/>
                <w:sz w:val="24"/>
                <w:highlight w:val="none"/>
              </w:rPr>
              <w:t>玻璃</w:t>
            </w:r>
          </w:p>
        </w:tc>
        <w:tc>
          <w:tcPr>
            <w:tcW w:w="2596" w:type="pct"/>
            <w:vAlign w:val="center"/>
          </w:tcPr>
          <w:p w14:paraId="796B9803">
            <w:pPr>
              <w:rPr>
                <w:rFonts w:ascii="楷体_GB2312" w:eastAsia="楷体_GB2312"/>
                <w:color w:val="auto"/>
                <w:sz w:val="24"/>
                <w:highlight w:val="none"/>
              </w:rPr>
            </w:pPr>
            <w:r>
              <w:rPr>
                <w:rFonts w:hint="eastAsia" w:ascii="楷体_GB2312" w:eastAsia="楷体_GB2312"/>
                <w:color w:val="auto"/>
                <w:sz w:val="24"/>
                <w:highlight w:val="none"/>
              </w:rPr>
              <w:t>干净、明亮</w:t>
            </w:r>
          </w:p>
        </w:tc>
      </w:tr>
      <w:tr w14:paraId="199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CEC95DB">
            <w:pPr>
              <w:jc w:val="center"/>
              <w:rPr>
                <w:rFonts w:ascii="楷体_GB2312" w:eastAsia="楷体_GB2312"/>
                <w:color w:val="auto"/>
                <w:sz w:val="24"/>
                <w:highlight w:val="none"/>
              </w:rPr>
            </w:pPr>
          </w:p>
        </w:tc>
        <w:tc>
          <w:tcPr>
            <w:tcW w:w="495" w:type="pct"/>
            <w:vAlign w:val="center"/>
          </w:tcPr>
          <w:p w14:paraId="0CC508ED">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3830B9C">
            <w:pPr>
              <w:rPr>
                <w:rFonts w:ascii="楷体_GB2312" w:eastAsia="楷体_GB2312"/>
                <w:color w:val="auto"/>
                <w:sz w:val="24"/>
                <w:highlight w:val="none"/>
              </w:rPr>
            </w:pPr>
            <w:r>
              <w:rPr>
                <w:rFonts w:hint="eastAsia" w:ascii="楷体_GB2312" w:eastAsia="楷体_GB2312"/>
                <w:color w:val="auto"/>
                <w:sz w:val="24"/>
                <w:highlight w:val="none"/>
              </w:rPr>
              <w:t>各类标示</w:t>
            </w:r>
          </w:p>
        </w:tc>
        <w:tc>
          <w:tcPr>
            <w:tcW w:w="2596" w:type="pct"/>
            <w:vAlign w:val="center"/>
          </w:tcPr>
          <w:p w14:paraId="086E5935">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8D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0C703D4D">
            <w:pPr>
              <w:jc w:val="center"/>
              <w:rPr>
                <w:rFonts w:ascii="楷体_GB2312" w:eastAsia="楷体_GB2312"/>
                <w:color w:val="auto"/>
                <w:sz w:val="24"/>
                <w:highlight w:val="none"/>
              </w:rPr>
            </w:pPr>
          </w:p>
          <w:p w14:paraId="57D725CA">
            <w:pPr>
              <w:jc w:val="center"/>
              <w:rPr>
                <w:rFonts w:ascii="楷体_GB2312" w:eastAsia="楷体_GB2312"/>
                <w:color w:val="auto"/>
                <w:sz w:val="24"/>
                <w:highlight w:val="none"/>
              </w:rPr>
            </w:pPr>
            <w:r>
              <w:rPr>
                <w:rFonts w:hint="eastAsia" w:ascii="楷体_GB2312" w:eastAsia="楷体_GB2312"/>
                <w:color w:val="auto"/>
                <w:sz w:val="24"/>
                <w:highlight w:val="none"/>
              </w:rPr>
              <w:t>外</w:t>
            </w:r>
          </w:p>
          <w:p w14:paraId="48902570">
            <w:pPr>
              <w:jc w:val="center"/>
              <w:rPr>
                <w:rFonts w:ascii="楷体_GB2312" w:eastAsia="楷体_GB2312"/>
                <w:color w:val="auto"/>
                <w:sz w:val="24"/>
                <w:highlight w:val="none"/>
              </w:rPr>
            </w:pPr>
            <w:r>
              <w:rPr>
                <w:rFonts w:hint="eastAsia" w:ascii="楷体_GB2312" w:eastAsia="楷体_GB2312"/>
                <w:color w:val="auto"/>
                <w:sz w:val="24"/>
                <w:highlight w:val="none"/>
              </w:rPr>
              <w:t>围</w:t>
            </w:r>
          </w:p>
          <w:p w14:paraId="6356A112">
            <w:pPr>
              <w:jc w:val="center"/>
              <w:rPr>
                <w:rFonts w:ascii="楷体_GB2312" w:eastAsia="楷体_GB2312"/>
                <w:color w:val="auto"/>
                <w:sz w:val="24"/>
                <w:highlight w:val="none"/>
              </w:rPr>
            </w:pPr>
            <w:r>
              <w:rPr>
                <w:rFonts w:hint="eastAsia" w:ascii="楷体_GB2312" w:eastAsia="楷体_GB2312"/>
                <w:color w:val="auto"/>
                <w:sz w:val="24"/>
                <w:highlight w:val="none"/>
              </w:rPr>
              <w:t>及</w:t>
            </w:r>
          </w:p>
          <w:p w14:paraId="46F8A50A">
            <w:pPr>
              <w:jc w:val="center"/>
              <w:rPr>
                <w:rFonts w:ascii="楷体_GB2312" w:eastAsia="楷体_GB2312"/>
                <w:color w:val="auto"/>
                <w:sz w:val="24"/>
                <w:highlight w:val="none"/>
              </w:rPr>
            </w:pPr>
            <w:r>
              <w:rPr>
                <w:rFonts w:hint="eastAsia" w:ascii="楷体_GB2312" w:eastAsia="楷体_GB2312"/>
                <w:color w:val="auto"/>
                <w:sz w:val="24"/>
                <w:highlight w:val="none"/>
              </w:rPr>
              <w:t>中</w:t>
            </w:r>
          </w:p>
          <w:p w14:paraId="473BE09D">
            <w:pPr>
              <w:jc w:val="center"/>
              <w:rPr>
                <w:rFonts w:ascii="楷体_GB2312" w:eastAsia="楷体_GB2312"/>
                <w:color w:val="auto"/>
                <w:sz w:val="24"/>
                <w:highlight w:val="none"/>
              </w:rPr>
            </w:pPr>
            <w:r>
              <w:rPr>
                <w:rFonts w:hint="eastAsia" w:ascii="楷体_GB2312" w:eastAsia="楷体_GB2312"/>
                <w:color w:val="auto"/>
                <w:sz w:val="24"/>
                <w:highlight w:val="none"/>
              </w:rPr>
              <w:t>庭</w:t>
            </w:r>
          </w:p>
        </w:tc>
        <w:tc>
          <w:tcPr>
            <w:tcW w:w="495" w:type="pct"/>
            <w:vAlign w:val="center"/>
          </w:tcPr>
          <w:p w14:paraId="26705AB5">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B475ED7">
            <w:pPr>
              <w:rPr>
                <w:rFonts w:ascii="楷体_GB2312" w:eastAsia="楷体_GB2312"/>
                <w:color w:val="auto"/>
                <w:sz w:val="24"/>
                <w:highlight w:val="none"/>
              </w:rPr>
            </w:pPr>
            <w:r>
              <w:rPr>
                <w:rFonts w:hint="eastAsia" w:ascii="楷体_GB2312" w:eastAsia="楷体_GB2312"/>
                <w:color w:val="auto"/>
                <w:sz w:val="24"/>
                <w:highlight w:val="none"/>
              </w:rPr>
              <w:t>清扫路面</w:t>
            </w:r>
          </w:p>
        </w:tc>
        <w:tc>
          <w:tcPr>
            <w:tcW w:w="2596" w:type="pct"/>
            <w:vAlign w:val="center"/>
          </w:tcPr>
          <w:p w14:paraId="4FCB2848">
            <w:pPr>
              <w:rPr>
                <w:rFonts w:ascii="楷体_GB2312" w:eastAsia="楷体_GB2312"/>
                <w:color w:val="auto"/>
                <w:sz w:val="24"/>
                <w:highlight w:val="none"/>
              </w:rPr>
            </w:pPr>
            <w:r>
              <w:rPr>
                <w:rFonts w:hint="eastAsia" w:ascii="楷体_GB2312" w:eastAsia="楷体_GB2312"/>
                <w:color w:val="auto"/>
                <w:sz w:val="24"/>
                <w:highlight w:val="none"/>
              </w:rPr>
              <w:t>干净、无明显杂物</w:t>
            </w:r>
          </w:p>
        </w:tc>
      </w:tr>
      <w:tr w14:paraId="3A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DC7FC08">
            <w:pPr>
              <w:jc w:val="center"/>
              <w:rPr>
                <w:rFonts w:ascii="楷体_GB2312" w:eastAsia="楷体_GB2312"/>
                <w:color w:val="auto"/>
                <w:sz w:val="24"/>
                <w:highlight w:val="none"/>
              </w:rPr>
            </w:pPr>
          </w:p>
        </w:tc>
        <w:tc>
          <w:tcPr>
            <w:tcW w:w="495" w:type="pct"/>
            <w:vAlign w:val="center"/>
          </w:tcPr>
          <w:p w14:paraId="7181B87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D16AB7E">
            <w:pPr>
              <w:rPr>
                <w:rFonts w:ascii="楷体_GB2312" w:eastAsia="楷体_GB2312"/>
                <w:color w:val="auto"/>
                <w:sz w:val="24"/>
                <w:highlight w:val="none"/>
              </w:rPr>
            </w:pPr>
            <w:r>
              <w:rPr>
                <w:rFonts w:hint="eastAsia" w:ascii="楷体_GB2312" w:eastAsia="楷体_GB2312"/>
                <w:color w:val="auto"/>
                <w:sz w:val="24"/>
                <w:highlight w:val="none"/>
              </w:rPr>
              <w:t>清理垃圾桶</w:t>
            </w:r>
          </w:p>
        </w:tc>
        <w:tc>
          <w:tcPr>
            <w:tcW w:w="2596" w:type="pct"/>
            <w:vAlign w:val="center"/>
          </w:tcPr>
          <w:p w14:paraId="7901EF6C">
            <w:pPr>
              <w:rPr>
                <w:rFonts w:ascii="楷体_GB2312" w:eastAsia="楷体_GB2312"/>
                <w:color w:val="auto"/>
                <w:sz w:val="24"/>
                <w:highlight w:val="none"/>
              </w:rPr>
            </w:pPr>
            <w:r>
              <w:rPr>
                <w:rFonts w:hint="eastAsia" w:ascii="楷体_GB2312" w:eastAsia="楷体_GB2312"/>
                <w:color w:val="auto"/>
                <w:sz w:val="24"/>
                <w:highlight w:val="none"/>
              </w:rPr>
              <w:t>干净、无明显满溢</w:t>
            </w:r>
          </w:p>
        </w:tc>
      </w:tr>
      <w:tr w14:paraId="16F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057A3BE">
            <w:pPr>
              <w:jc w:val="center"/>
              <w:rPr>
                <w:rFonts w:ascii="楷体_GB2312" w:eastAsia="楷体_GB2312"/>
                <w:color w:val="auto"/>
                <w:sz w:val="24"/>
                <w:highlight w:val="none"/>
              </w:rPr>
            </w:pPr>
          </w:p>
        </w:tc>
        <w:tc>
          <w:tcPr>
            <w:tcW w:w="495" w:type="pct"/>
            <w:vAlign w:val="center"/>
          </w:tcPr>
          <w:p w14:paraId="43C57A68">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C851BD">
            <w:pPr>
              <w:rPr>
                <w:rFonts w:ascii="楷体_GB2312" w:eastAsia="楷体_GB2312"/>
                <w:color w:val="auto"/>
                <w:sz w:val="24"/>
                <w:highlight w:val="none"/>
              </w:rPr>
            </w:pPr>
            <w:r>
              <w:rPr>
                <w:rFonts w:hint="eastAsia" w:ascii="楷体_GB2312" w:eastAsia="楷体_GB2312"/>
                <w:color w:val="auto"/>
                <w:sz w:val="24"/>
                <w:highlight w:val="none"/>
              </w:rPr>
              <w:t>擦拭垃圾桶</w:t>
            </w:r>
          </w:p>
        </w:tc>
        <w:tc>
          <w:tcPr>
            <w:tcW w:w="2596" w:type="pct"/>
            <w:vAlign w:val="center"/>
          </w:tcPr>
          <w:p w14:paraId="2BDAEC56">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123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D6EA441">
            <w:pPr>
              <w:jc w:val="center"/>
              <w:rPr>
                <w:rFonts w:ascii="楷体_GB2312" w:eastAsia="楷体_GB2312"/>
                <w:color w:val="auto"/>
                <w:sz w:val="24"/>
                <w:highlight w:val="none"/>
              </w:rPr>
            </w:pPr>
          </w:p>
        </w:tc>
        <w:tc>
          <w:tcPr>
            <w:tcW w:w="495" w:type="pct"/>
            <w:vAlign w:val="center"/>
          </w:tcPr>
          <w:p w14:paraId="3652EB79">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971A986">
            <w:pPr>
              <w:rPr>
                <w:rFonts w:ascii="楷体_GB2312" w:eastAsia="楷体_GB2312"/>
                <w:color w:val="auto"/>
                <w:sz w:val="24"/>
                <w:highlight w:val="none"/>
              </w:rPr>
            </w:pPr>
            <w:r>
              <w:rPr>
                <w:rFonts w:hint="eastAsia" w:ascii="楷体_GB2312" w:eastAsia="楷体_GB2312"/>
                <w:color w:val="auto"/>
                <w:sz w:val="24"/>
                <w:highlight w:val="none"/>
              </w:rPr>
              <w:t>擦洗各种标志</w:t>
            </w:r>
          </w:p>
        </w:tc>
        <w:tc>
          <w:tcPr>
            <w:tcW w:w="2596" w:type="pct"/>
            <w:vAlign w:val="center"/>
          </w:tcPr>
          <w:p w14:paraId="14569ED2">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7ED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9A7DD2C">
            <w:pPr>
              <w:jc w:val="center"/>
              <w:rPr>
                <w:rFonts w:ascii="楷体_GB2312" w:eastAsia="楷体_GB2312"/>
                <w:color w:val="auto"/>
                <w:sz w:val="24"/>
                <w:highlight w:val="none"/>
              </w:rPr>
            </w:pPr>
          </w:p>
        </w:tc>
        <w:tc>
          <w:tcPr>
            <w:tcW w:w="495" w:type="pct"/>
            <w:vAlign w:val="center"/>
          </w:tcPr>
          <w:p w14:paraId="30FDCE14">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61E24A36">
            <w:pPr>
              <w:rPr>
                <w:rFonts w:ascii="楷体_GB2312" w:eastAsia="楷体_GB2312"/>
                <w:color w:val="auto"/>
                <w:sz w:val="24"/>
                <w:highlight w:val="none"/>
              </w:rPr>
            </w:pPr>
            <w:r>
              <w:rPr>
                <w:rFonts w:hint="eastAsia" w:ascii="楷体_GB2312" w:eastAsia="楷体_GB2312"/>
                <w:color w:val="auto"/>
                <w:sz w:val="24"/>
                <w:highlight w:val="none"/>
              </w:rPr>
              <w:t>擦休闲座椅</w:t>
            </w:r>
          </w:p>
        </w:tc>
        <w:tc>
          <w:tcPr>
            <w:tcW w:w="2596" w:type="pct"/>
            <w:vAlign w:val="center"/>
          </w:tcPr>
          <w:p w14:paraId="3F53C3C7">
            <w:pPr>
              <w:rPr>
                <w:rFonts w:ascii="楷体_GB2312" w:eastAsia="楷体_GB2312"/>
                <w:color w:val="auto"/>
                <w:sz w:val="24"/>
                <w:highlight w:val="none"/>
              </w:rPr>
            </w:pPr>
            <w:r>
              <w:rPr>
                <w:rFonts w:hint="eastAsia" w:ascii="楷体_GB2312" w:eastAsia="楷体_GB2312"/>
                <w:color w:val="auto"/>
                <w:sz w:val="24"/>
                <w:highlight w:val="none"/>
              </w:rPr>
              <w:t>无污染物、无明显灰尘</w:t>
            </w:r>
          </w:p>
        </w:tc>
      </w:tr>
      <w:tr w14:paraId="579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0E0092A">
            <w:pPr>
              <w:jc w:val="center"/>
              <w:rPr>
                <w:rFonts w:ascii="楷体_GB2312" w:eastAsia="楷体_GB2312"/>
                <w:color w:val="auto"/>
                <w:sz w:val="24"/>
                <w:highlight w:val="none"/>
              </w:rPr>
            </w:pPr>
          </w:p>
        </w:tc>
        <w:tc>
          <w:tcPr>
            <w:tcW w:w="495" w:type="pct"/>
            <w:vAlign w:val="center"/>
          </w:tcPr>
          <w:p w14:paraId="6B0A88C7">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78555EC7">
            <w:pPr>
              <w:rPr>
                <w:rFonts w:ascii="楷体_GB2312" w:eastAsia="楷体_GB2312"/>
                <w:color w:val="auto"/>
                <w:sz w:val="24"/>
                <w:highlight w:val="none"/>
              </w:rPr>
            </w:pPr>
            <w:r>
              <w:rPr>
                <w:rFonts w:hint="eastAsia" w:ascii="楷体_GB2312" w:eastAsia="楷体_GB2312"/>
                <w:color w:val="auto"/>
                <w:sz w:val="24"/>
                <w:highlight w:val="none"/>
              </w:rPr>
              <w:t>清扫绿化带白色垃圾</w:t>
            </w:r>
          </w:p>
        </w:tc>
        <w:tc>
          <w:tcPr>
            <w:tcW w:w="2596" w:type="pct"/>
            <w:vAlign w:val="center"/>
          </w:tcPr>
          <w:p w14:paraId="19596660">
            <w:pPr>
              <w:rPr>
                <w:rFonts w:ascii="楷体_GB2312" w:eastAsia="楷体_GB2312"/>
                <w:color w:val="auto"/>
                <w:sz w:val="24"/>
                <w:highlight w:val="none"/>
              </w:rPr>
            </w:pPr>
            <w:r>
              <w:rPr>
                <w:rFonts w:hint="eastAsia" w:ascii="楷体_GB2312" w:eastAsia="楷体_GB2312"/>
                <w:color w:val="auto"/>
                <w:sz w:val="24"/>
                <w:highlight w:val="none"/>
              </w:rPr>
              <w:t>无明显白色垃圾、无明显杂物</w:t>
            </w:r>
          </w:p>
        </w:tc>
      </w:tr>
      <w:tr w14:paraId="10E1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563E39F">
            <w:pPr>
              <w:jc w:val="center"/>
              <w:rPr>
                <w:rFonts w:ascii="楷体_GB2312" w:eastAsia="楷体_GB2312"/>
                <w:color w:val="auto"/>
                <w:sz w:val="24"/>
                <w:highlight w:val="none"/>
              </w:rPr>
            </w:pPr>
          </w:p>
        </w:tc>
        <w:tc>
          <w:tcPr>
            <w:tcW w:w="495" w:type="pct"/>
            <w:vAlign w:val="center"/>
          </w:tcPr>
          <w:p w14:paraId="7E8F4E12">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36D18C11">
            <w:pPr>
              <w:rPr>
                <w:rFonts w:ascii="楷体_GB2312" w:eastAsia="楷体_GB2312"/>
                <w:color w:val="auto"/>
                <w:sz w:val="24"/>
                <w:highlight w:val="none"/>
              </w:rPr>
            </w:pPr>
            <w:r>
              <w:rPr>
                <w:rFonts w:hint="eastAsia" w:ascii="楷体_GB2312" w:eastAsia="楷体_GB2312"/>
                <w:color w:val="auto"/>
                <w:sz w:val="24"/>
                <w:highlight w:val="none"/>
              </w:rPr>
              <w:t>冲洗外围地面及中庭</w:t>
            </w:r>
          </w:p>
        </w:tc>
        <w:tc>
          <w:tcPr>
            <w:tcW w:w="2596" w:type="pct"/>
            <w:vAlign w:val="center"/>
          </w:tcPr>
          <w:p w14:paraId="156539E5">
            <w:pPr>
              <w:rPr>
                <w:rFonts w:ascii="楷体_GB2312" w:eastAsia="楷体_GB2312"/>
                <w:color w:val="auto"/>
                <w:sz w:val="24"/>
                <w:highlight w:val="none"/>
              </w:rPr>
            </w:pPr>
            <w:r>
              <w:rPr>
                <w:rFonts w:hint="eastAsia" w:ascii="楷体_GB2312" w:eastAsia="楷体_GB2312"/>
                <w:color w:val="auto"/>
                <w:sz w:val="24"/>
                <w:highlight w:val="none"/>
              </w:rPr>
              <w:t>干净、无明显污染物</w:t>
            </w:r>
          </w:p>
        </w:tc>
      </w:tr>
      <w:tr w14:paraId="73A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B8DD5E1">
            <w:pPr>
              <w:jc w:val="center"/>
              <w:rPr>
                <w:rFonts w:ascii="楷体_GB2312" w:eastAsia="楷体_GB2312"/>
                <w:color w:val="auto"/>
                <w:sz w:val="24"/>
                <w:highlight w:val="none"/>
              </w:rPr>
            </w:pPr>
          </w:p>
        </w:tc>
        <w:tc>
          <w:tcPr>
            <w:tcW w:w="495" w:type="pct"/>
            <w:vAlign w:val="center"/>
          </w:tcPr>
          <w:p w14:paraId="649B62C8">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1650D465">
            <w:pPr>
              <w:rPr>
                <w:rFonts w:ascii="楷体_GB2312" w:eastAsia="楷体_GB2312"/>
                <w:color w:val="auto"/>
                <w:sz w:val="24"/>
                <w:highlight w:val="none"/>
              </w:rPr>
            </w:pPr>
            <w:r>
              <w:rPr>
                <w:rFonts w:hint="eastAsia" w:ascii="楷体_GB2312" w:eastAsia="楷体_GB2312"/>
                <w:color w:val="auto"/>
                <w:sz w:val="24"/>
                <w:highlight w:val="none"/>
              </w:rPr>
              <w:t>擦洗外围物业标示</w:t>
            </w:r>
          </w:p>
        </w:tc>
        <w:tc>
          <w:tcPr>
            <w:tcW w:w="2596" w:type="pct"/>
            <w:vAlign w:val="center"/>
          </w:tcPr>
          <w:p w14:paraId="1EB48E10">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424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1F66F75">
            <w:pPr>
              <w:jc w:val="center"/>
              <w:rPr>
                <w:rFonts w:ascii="楷体_GB2312" w:eastAsia="楷体_GB2312"/>
                <w:color w:val="auto"/>
                <w:sz w:val="24"/>
                <w:highlight w:val="none"/>
              </w:rPr>
            </w:pPr>
          </w:p>
        </w:tc>
        <w:tc>
          <w:tcPr>
            <w:tcW w:w="495" w:type="pct"/>
            <w:vAlign w:val="center"/>
          </w:tcPr>
          <w:p w14:paraId="5C349620">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076E1B64">
            <w:pPr>
              <w:rPr>
                <w:rFonts w:ascii="楷体_GB2312" w:eastAsia="楷体_GB2312"/>
                <w:color w:val="auto"/>
                <w:sz w:val="24"/>
                <w:highlight w:val="none"/>
              </w:rPr>
            </w:pPr>
            <w:r>
              <w:rPr>
                <w:rFonts w:hint="eastAsia" w:ascii="楷体_GB2312" w:eastAsia="楷体_GB2312"/>
                <w:color w:val="auto"/>
                <w:sz w:val="24"/>
                <w:highlight w:val="none"/>
              </w:rPr>
              <w:t>擦洗外围消防设施</w:t>
            </w:r>
          </w:p>
        </w:tc>
        <w:tc>
          <w:tcPr>
            <w:tcW w:w="2596" w:type="pct"/>
            <w:vAlign w:val="center"/>
          </w:tcPr>
          <w:p w14:paraId="3CD5D0E6">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7ED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330405F5">
            <w:pPr>
              <w:jc w:val="center"/>
              <w:rPr>
                <w:rFonts w:ascii="楷体_GB2312" w:eastAsia="楷体_GB2312"/>
                <w:color w:val="auto"/>
                <w:sz w:val="24"/>
                <w:highlight w:val="none"/>
              </w:rPr>
            </w:pPr>
            <w:r>
              <w:rPr>
                <w:rFonts w:hint="eastAsia" w:ascii="楷体_GB2312" w:eastAsia="楷体_GB2312"/>
                <w:color w:val="auto"/>
                <w:sz w:val="24"/>
                <w:highlight w:val="none"/>
              </w:rPr>
              <w:t>车</w:t>
            </w:r>
          </w:p>
          <w:p w14:paraId="2AAADFD2">
            <w:pPr>
              <w:jc w:val="center"/>
              <w:rPr>
                <w:rFonts w:ascii="楷体_GB2312" w:eastAsia="楷体_GB2312"/>
                <w:color w:val="auto"/>
                <w:sz w:val="24"/>
                <w:highlight w:val="none"/>
              </w:rPr>
            </w:pPr>
            <w:r>
              <w:rPr>
                <w:rFonts w:hint="eastAsia" w:ascii="楷体_GB2312" w:eastAsia="楷体_GB2312"/>
                <w:color w:val="auto"/>
                <w:sz w:val="24"/>
                <w:highlight w:val="none"/>
              </w:rPr>
              <w:t>库</w:t>
            </w:r>
          </w:p>
          <w:p w14:paraId="249C6998">
            <w:pPr>
              <w:jc w:val="center"/>
              <w:rPr>
                <w:rFonts w:ascii="楷体_GB2312" w:eastAsia="楷体_GB2312"/>
                <w:color w:val="auto"/>
                <w:sz w:val="24"/>
                <w:highlight w:val="none"/>
              </w:rPr>
            </w:pPr>
          </w:p>
        </w:tc>
        <w:tc>
          <w:tcPr>
            <w:tcW w:w="495" w:type="pct"/>
            <w:vAlign w:val="center"/>
          </w:tcPr>
          <w:p w14:paraId="2815AFA2">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CB63BAE">
            <w:pPr>
              <w:rPr>
                <w:rFonts w:ascii="楷体_GB2312" w:eastAsia="楷体_GB2312"/>
                <w:color w:val="auto"/>
                <w:sz w:val="24"/>
                <w:highlight w:val="none"/>
              </w:rPr>
            </w:pPr>
            <w:r>
              <w:rPr>
                <w:rFonts w:hint="eastAsia" w:ascii="楷体_GB2312" w:eastAsia="楷体_GB2312"/>
                <w:color w:val="auto"/>
                <w:sz w:val="24"/>
                <w:highlight w:val="none"/>
              </w:rPr>
              <w:t>清扫地面</w:t>
            </w:r>
          </w:p>
        </w:tc>
        <w:tc>
          <w:tcPr>
            <w:tcW w:w="2596" w:type="pct"/>
            <w:vAlign w:val="center"/>
          </w:tcPr>
          <w:p w14:paraId="04EFC4FC">
            <w:pPr>
              <w:rPr>
                <w:rFonts w:ascii="楷体_GB2312" w:eastAsia="楷体_GB2312"/>
                <w:color w:val="auto"/>
                <w:sz w:val="24"/>
                <w:highlight w:val="none"/>
              </w:rPr>
            </w:pPr>
            <w:r>
              <w:rPr>
                <w:rFonts w:hint="eastAsia" w:ascii="楷体_GB2312" w:eastAsia="楷体_GB2312"/>
                <w:color w:val="auto"/>
                <w:sz w:val="24"/>
                <w:highlight w:val="none"/>
              </w:rPr>
              <w:t>干净、整洁、无明显杂物、无明显污染物</w:t>
            </w:r>
          </w:p>
        </w:tc>
      </w:tr>
      <w:tr w14:paraId="0E6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122F589">
            <w:pPr>
              <w:jc w:val="center"/>
              <w:rPr>
                <w:rFonts w:ascii="楷体_GB2312" w:eastAsia="楷体_GB2312"/>
                <w:color w:val="auto"/>
                <w:sz w:val="24"/>
                <w:highlight w:val="none"/>
              </w:rPr>
            </w:pPr>
          </w:p>
        </w:tc>
        <w:tc>
          <w:tcPr>
            <w:tcW w:w="495" w:type="pct"/>
            <w:vAlign w:val="center"/>
          </w:tcPr>
          <w:p w14:paraId="7E0961BB">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26A7EB13">
            <w:pPr>
              <w:rPr>
                <w:rFonts w:ascii="楷体_GB2312" w:eastAsia="楷体_GB2312"/>
                <w:color w:val="auto"/>
                <w:sz w:val="24"/>
                <w:highlight w:val="none"/>
              </w:rPr>
            </w:pPr>
            <w:r>
              <w:rPr>
                <w:rFonts w:hint="eastAsia" w:ascii="楷体_GB2312" w:eastAsia="楷体_GB2312"/>
                <w:color w:val="auto"/>
                <w:sz w:val="24"/>
                <w:highlight w:val="none"/>
              </w:rPr>
              <w:t>冲洗地面</w:t>
            </w:r>
          </w:p>
        </w:tc>
        <w:tc>
          <w:tcPr>
            <w:tcW w:w="2596" w:type="pct"/>
            <w:vAlign w:val="center"/>
          </w:tcPr>
          <w:p w14:paraId="1DA0B793">
            <w:pPr>
              <w:rPr>
                <w:rFonts w:ascii="楷体_GB2312" w:eastAsia="楷体_GB2312"/>
                <w:color w:val="auto"/>
                <w:sz w:val="24"/>
                <w:highlight w:val="none"/>
              </w:rPr>
            </w:pPr>
            <w:r>
              <w:rPr>
                <w:rFonts w:hint="eastAsia" w:ascii="楷体_GB2312" w:eastAsia="楷体_GB2312"/>
                <w:color w:val="auto"/>
                <w:sz w:val="24"/>
                <w:highlight w:val="none"/>
              </w:rPr>
              <w:t>干净、明亮、无明显污染物</w:t>
            </w:r>
          </w:p>
        </w:tc>
      </w:tr>
      <w:tr w14:paraId="27D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0458DE6D">
            <w:pPr>
              <w:jc w:val="center"/>
              <w:rPr>
                <w:rFonts w:ascii="楷体_GB2312" w:eastAsia="楷体_GB2312"/>
                <w:color w:val="auto"/>
                <w:sz w:val="24"/>
                <w:highlight w:val="none"/>
              </w:rPr>
            </w:pPr>
          </w:p>
        </w:tc>
        <w:tc>
          <w:tcPr>
            <w:tcW w:w="495" w:type="pct"/>
            <w:vAlign w:val="center"/>
          </w:tcPr>
          <w:p w14:paraId="4DF338DB">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30B7A8">
            <w:pPr>
              <w:rPr>
                <w:rFonts w:ascii="楷体_GB2312" w:eastAsia="楷体_GB2312"/>
                <w:color w:val="auto"/>
                <w:sz w:val="24"/>
                <w:highlight w:val="none"/>
              </w:rPr>
            </w:pPr>
            <w:r>
              <w:rPr>
                <w:rFonts w:hint="eastAsia" w:ascii="楷体_GB2312" w:eastAsia="楷体_GB2312"/>
                <w:color w:val="auto"/>
                <w:sz w:val="24"/>
                <w:highlight w:val="none"/>
              </w:rPr>
              <w:t>清扫管网及设施设备</w:t>
            </w:r>
          </w:p>
        </w:tc>
        <w:tc>
          <w:tcPr>
            <w:tcW w:w="2596" w:type="pct"/>
            <w:vAlign w:val="center"/>
          </w:tcPr>
          <w:p w14:paraId="7C48B38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316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6F92635B">
            <w:pPr>
              <w:jc w:val="center"/>
              <w:rPr>
                <w:rFonts w:ascii="楷体_GB2312" w:eastAsia="楷体_GB2312"/>
                <w:color w:val="auto"/>
                <w:sz w:val="24"/>
                <w:highlight w:val="none"/>
              </w:rPr>
            </w:pPr>
          </w:p>
        </w:tc>
        <w:tc>
          <w:tcPr>
            <w:tcW w:w="495" w:type="pct"/>
            <w:vAlign w:val="center"/>
          </w:tcPr>
          <w:p w14:paraId="27B4B1CE">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33608397">
            <w:pPr>
              <w:rPr>
                <w:rFonts w:ascii="楷体_GB2312" w:eastAsia="楷体_GB2312"/>
                <w:color w:val="auto"/>
                <w:sz w:val="24"/>
                <w:highlight w:val="none"/>
              </w:rPr>
            </w:pPr>
            <w:r>
              <w:rPr>
                <w:rFonts w:hint="eastAsia" w:ascii="楷体_GB2312" w:eastAsia="楷体_GB2312"/>
                <w:color w:val="auto"/>
                <w:sz w:val="24"/>
                <w:highlight w:val="none"/>
              </w:rPr>
              <w:t>擦洗管网及设施设备</w:t>
            </w:r>
          </w:p>
        </w:tc>
        <w:tc>
          <w:tcPr>
            <w:tcW w:w="2596" w:type="pct"/>
            <w:vAlign w:val="center"/>
          </w:tcPr>
          <w:p w14:paraId="58932EB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0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7" w:type="pct"/>
            <w:vMerge w:val="continue"/>
            <w:vAlign w:val="center"/>
          </w:tcPr>
          <w:p w14:paraId="28406ABD">
            <w:pPr>
              <w:jc w:val="center"/>
              <w:rPr>
                <w:rFonts w:ascii="楷体_GB2312" w:eastAsia="楷体_GB2312"/>
                <w:color w:val="auto"/>
                <w:sz w:val="24"/>
                <w:highlight w:val="none"/>
              </w:rPr>
            </w:pPr>
          </w:p>
        </w:tc>
        <w:tc>
          <w:tcPr>
            <w:tcW w:w="495" w:type="pct"/>
            <w:vAlign w:val="center"/>
          </w:tcPr>
          <w:p w14:paraId="657699EB">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280FA39F">
            <w:pPr>
              <w:rPr>
                <w:rFonts w:ascii="楷体_GB2312" w:eastAsia="楷体_GB2312"/>
                <w:color w:val="auto"/>
                <w:sz w:val="24"/>
                <w:highlight w:val="none"/>
              </w:rPr>
            </w:pPr>
            <w:r>
              <w:rPr>
                <w:rFonts w:hint="eastAsia" w:ascii="楷体_GB2312" w:eastAsia="楷体_GB2312"/>
                <w:color w:val="auto"/>
                <w:sz w:val="24"/>
                <w:highlight w:val="none"/>
              </w:rPr>
              <w:t>擦洗标示、标志及消防设备</w:t>
            </w:r>
          </w:p>
        </w:tc>
        <w:tc>
          <w:tcPr>
            <w:tcW w:w="2596" w:type="pct"/>
            <w:vAlign w:val="center"/>
          </w:tcPr>
          <w:p w14:paraId="44B2956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35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69B3C4E">
            <w:pPr>
              <w:jc w:val="center"/>
              <w:rPr>
                <w:rFonts w:ascii="楷体_GB2312" w:eastAsia="楷体_GB2312"/>
                <w:color w:val="auto"/>
                <w:sz w:val="24"/>
                <w:highlight w:val="none"/>
              </w:rPr>
            </w:pPr>
          </w:p>
        </w:tc>
        <w:tc>
          <w:tcPr>
            <w:tcW w:w="495" w:type="pct"/>
            <w:vAlign w:val="center"/>
          </w:tcPr>
          <w:p w14:paraId="30512620">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174F4788">
            <w:pPr>
              <w:rPr>
                <w:rFonts w:ascii="楷体_GB2312" w:eastAsia="楷体_GB2312"/>
                <w:color w:val="auto"/>
                <w:sz w:val="24"/>
                <w:highlight w:val="none"/>
              </w:rPr>
            </w:pPr>
            <w:r>
              <w:rPr>
                <w:rFonts w:hint="eastAsia" w:ascii="楷体_GB2312" w:eastAsia="楷体_GB2312"/>
                <w:color w:val="auto"/>
                <w:sz w:val="24"/>
                <w:highlight w:val="none"/>
              </w:rPr>
              <w:t>清扫蜘蛛网</w:t>
            </w:r>
          </w:p>
        </w:tc>
        <w:tc>
          <w:tcPr>
            <w:tcW w:w="2596" w:type="pct"/>
            <w:vAlign w:val="center"/>
          </w:tcPr>
          <w:p w14:paraId="4FE83E28">
            <w:pPr>
              <w:rPr>
                <w:rFonts w:ascii="楷体_GB2312" w:eastAsia="楷体_GB2312"/>
                <w:color w:val="auto"/>
                <w:sz w:val="24"/>
                <w:highlight w:val="none"/>
              </w:rPr>
            </w:pPr>
            <w:r>
              <w:rPr>
                <w:rFonts w:hint="eastAsia" w:ascii="楷体_GB2312" w:eastAsia="楷体_GB2312"/>
                <w:color w:val="auto"/>
                <w:sz w:val="24"/>
                <w:highlight w:val="none"/>
              </w:rPr>
              <w:t>无蜘蛛网</w:t>
            </w:r>
          </w:p>
        </w:tc>
      </w:tr>
      <w:tr w14:paraId="10C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3C1B299F">
            <w:pPr>
              <w:jc w:val="center"/>
              <w:rPr>
                <w:rFonts w:ascii="楷体_GB2312" w:eastAsia="楷体_GB2312"/>
                <w:color w:val="auto"/>
                <w:sz w:val="24"/>
                <w:highlight w:val="none"/>
              </w:rPr>
            </w:pPr>
            <w:r>
              <w:rPr>
                <w:rFonts w:hint="eastAsia" w:ascii="楷体_GB2312" w:eastAsia="楷体_GB2312"/>
                <w:color w:val="auto"/>
                <w:sz w:val="24"/>
                <w:highlight w:val="none"/>
              </w:rPr>
              <w:t>消杀</w:t>
            </w:r>
          </w:p>
        </w:tc>
        <w:tc>
          <w:tcPr>
            <w:tcW w:w="495" w:type="pct"/>
            <w:vAlign w:val="center"/>
          </w:tcPr>
          <w:p w14:paraId="184F982A">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72FBED9">
            <w:pPr>
              <w:rPr>
                <w:rFonts w:ascii="楷体_GB2312" w:eastAsia="楷体_GB2312"/>
                <w:color w:val="auto"/>
                <w:sz w:val="24"/>
                <w:highlight w:val="none"/>
              </w:rPr>
            </w:pPr>
            <w:r>
              <w:rPr>
                <w:rFonts w:hint="eastAsia" w:ascii="楷体_GB2312" w:eastAsia="楷体_GB2312"/>
                <w:color w:val="auto"/>
                <w:sz w:val="24"/>
                <w:highlight w:val="none"/>
              </w:rPr>
              <w:t>除四害</w:t>
            </w:r>
          </w:p>
        </w:tc>
        <w:tc>
          <w:tcPr>
            <w:tcW w:w="2596" w:type="pct"/>
            <w:vAlign w:val="center"/>
          </w:tcPr>
          <w:p w14:paraId="71821213">
            <w:pPr>
              <w:rPr>
                <w:rFonts w:ascii="楷体_GB2312" w:eastAsia="楷体_GB2312"/>
                <w:color w:val="auto"/>
                <w:sz w:val="24"/>
                <w:highlight w:val="none"/>
              </w:rPr>
            </w:pPr>
            <w:r>
              <w:rPr>
                <w:rFonts w:hint="eastAsia" w:ascii="楷体_GB2312" w:eastAsia="楷体_GB2312"/>
                <w:color w:val="auto"/>
                <w:sz w:val="24"/>
                <w:highlight w:val="none"/>
              </w:rPr>
              <w:t>因季节可适当增加频率</w:t>
            </w:r>
          </w:p>
        </w:tc>
      </w:tr>
    </w:tbl>
    <w:p w14:paraId="25323870">
      <w:pPr>
        <w:jc w:val="both"/>
        <w:rPr>
          <w:rFonts w:ascii="仿宋" w:hAnsi="仿宋" w:eastAsia="仿宋" w:cs="仿宋"/>
          <w:b/>
          <w:bCs/>
          <w:color w:val="auto"/>
          <w:sz w:val="28"/>
          <w:szCs w:val="28"/>
          <w:highlight w:val="none"/>
        </w:rPr>
      </w:pPr>
    </w:p>
    <w:p w14:paraId="7F9EF29D">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环境考核量化表</w:t>
      </w:r>
    </w:p>
    <w:tbl>
      <w:tblPr>
        <w:tblStyle w:val="42"/>
        <w:tblW w:w="4971" w:type="pct"/>
        <w:jc w:val="center"/>
        <w:tblLayout w:type="autofit"/>
        <w:tblCellMar>
          <w:top w:w="0" w:type="dxa"/>
          <w:left w:w="108" w:type="dxa"/>
          <w:bottom w:w="0" w:type="dxa"/>
          <w:right w:w="108" w:type="dxa"/>
        </w:tblCellMar>
      </w:tblPr>
      <w:tblGrid>
        <w:gridCol w:w="787"/>
        <w:gridCol w:w="1666"/>
        <w:gridCol w:w="796"/>
        <w:gridCol w:w="1675"/>
        <w:gridCol w:w="834"/>
        <w:gridCol w:w="1216"/>
        <w:gridCol w:w="773"/>
        <w:gridCol w:w="1260"/>
      </w:tblGrid>
      <w:tr w14:paraId="20A4BA72">
        <w:tblPrEx>
          <w:tblCellMar>
            <w:top w:w="0" w:type="dxa"/>
            <w:left w:w="108" w:type="dxa"/>
            <w:bottom w:w="0" w:type="dxa"/>
            <w:right w:w="108" w:type="dxa"/>
          </w:tblCellMar>
        </w:tblPrEx>
        <w:trPr>
          <w:trHeight w:val="454"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2936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序号</w:t>
            </w:r>
          </w:p>
        </w:tc>
        <w:tc>
          <w:tcPr>
            <w:tcW w:w="925" w:type="pct"/>
            <w:tcBorders>
              <w:top w:val="single" w:color="000000" w:sz="4" w:space="0"/>
              <w:left w:val="single" w:color="000000" w:sz="4" w:space="0"/>
              <w:bottom w:val="single" w:color="000000" w:sz="4" w:space="0"/>
              <w:right w:val="single" w:color="000000" w:sz="4" w:space="0"/>
            </w:tcBorders>
            <w:vAlign w:val="center"/>
          </w:tcPr>
          <w:p w14:paraId="30D62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工作要求</w:t>
            </w:r>
          </w:p>
        </w:tc>
        <w:tc>
          <w:tcPr>
            <w:tcW w:w="440" w:type="pct"/>
            <w:tcBorders>
              <w:top w:val="single" w:color="000000" w:sz="4" w:space="0"/>
              <w:left w:val="single" w:color="000000" w:sz="4" w:space="0"/>
              <w:bottom w:val="single" w:color="000000" w:sz="4" w:space="0"/>
              <w:right w:val="single" w:color="000000" w:sz="4" w:space="0"/>
            </w:tcBorders>
            <w:vAlign w:val="center"/>
          </w:tcPr>
          <w:p w14:paraId="646E7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分值</w:t>
            </w:r>
          </w:p>
        </w:tc>
        <w:tc>
          <w:tcPr>
            <w:tcW w:w="930" w:type="pct"/>
            <w:tcBorders>
              <w:top w:val="single" w:color="000000" w:sz="4" w:space="0"/>
              <w:left w:val="single" w:color="000000" w:sz="4" w:space="0"/>
              <w:bottom w:val="single" w:color="000000" w:sz="4" w:space="0"/>
              <w:right w:val="single" w:color="000000" w:sz="4" w:space="0"/>
            </w:tcBorders>
            <w:vAlign w:val="center"/>
          </w:tcPr>
          <w:p w14:paraId="6B75FB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细项</w:t>
            </w:r>
          </w:p>
        </w:tc>
        <w:tc>
          <w:tcPr>
            <w:tcW w:w="463" w:type="pct"/>
            <w:tcBorders>
              <w:top w:val="single" w:color="000000" w:sz="4" w:space="0"/>
              <w:left w:val="single" w:color="000000" w:sz="4" w:space="0"/>
              <w:bottom w:val="single" w:color="000000" w:sz="4" w:space="0"/>
              <w:right w:val="single" w:color="000000" w:sz="4" w:space="0"/>
            </w:tcBorders>
            <w:vAlign w:val="center"/>
          </w:tcPr>
          <w:p w14:paraId="70CF26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频次</w:t>
            </w:r>
          </w:p>
        </w:tc>
        <w:tc>
          <w:tcPr>
            <w:tcW w:w="675" w:type="pct"/>
            <w:tcBorders>
              <w:top w:val="single" w:color="000000" w:sz="4" w:space="0"/>
              <w:left w:val="single" w:color="000000" w:sz="4" w:space="0"/>
              <w:bottom w:val="single" w:color="000000" w:sz="4" w:space="0"/>
              <w:right w:val="single" w:color="000000" w:sz="4" w:space="0"/>
            </w:tcBorders>
            <w:vAlign w:val="center"/>
          </w:tcPr>
          <w:p w14:paraId="6F86A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标准</w:t>
            </w:r>
          </w:p>
        </w:tc>
        <w:tc>
          <w:tcPr>
            <w:tcW w:w="429" w:type="pct"/>
            <w:tcBorders>
              <w:top w:val="single" w:color="000000" w:sz="4" w:space="0"/>
              <w:left w:val="single" w:color="000000" w:sz="4" w:space="0"/>
              <w:bottom w:val="single" w:color="000000" w:sz="4" w:space="0"/>
              <w:right w:val="single" w:color="000000" w:sz="4" w:space="0"/>
            </w:tcBorders>
            <w:vAlign w:val="center"/>
          </w:tcPr>
          <w:p w14:paraId="4640E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评分</w:t>
            </w:r>
          </w:p>
        </w:tc>
        <w:tc>
          <w:tcPr>
            <w:tcW w:w="698" w:type="pct"/>
            <w:tcBorders>
              <w:top w:val="single" w:color="000000" w:sz="4" w:space="0"/>
              <w:left w:val="single" w:color="000000" w:sz="4" w:space="0"/>
              <w:bottom w:val="single" w:color="000000" w:sz="4" w:space="0"/>
              <w:right w:val="single" w:color="000000" w:sz="4" w:space="0"/>
            </w:tcBorders>
            <w:vAlign w:val="center"/>
          </w:tcPr>
          <w:p w14:paraId="7EDB0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情况记录</w:t>
            </w:r>
          </w:p>
        </w:tc>
      </w:tr>
      <w:tr w14:paraId="65BC16F8">
        <w:tblPrEx>
          <w:tblCellMar>
            <w:top w:w="0" w:type="dxa"/>
            <w:left w:w="108" w:type="dxa"/>
            <w:bottom w:w="0" w:type="dxa"/>
            <w:right w:w="108" w:type="dxa"/>
          </w:tblCellMar>
        </w:tblPrEx>
        <w:trPr>
          <w:trHeight w:val="4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21E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保洁</w:t>
            </w:r>
          </w:p>
        </w:tc>
      </w:tr>
      <w:tr w14:paraId="1251C61A">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52E49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w:t>
            </w:r>
          </w:p>
        </w:tc>
        <w:tc>
          <w:tcPr>
            <w:tcW w:w="925" w:type="pct"/>
            <w:vMerge w:val="restart"/>
            <w:tcBorders>
              <w:top w:val="single" w:color="000000" w:sz="4" w:space="0"/>
              <w:left w:val="single" w:color="000000" w:sz="4" w:space="0"/>
              <w:right w:val="single" w:color="000000" w:sz="4" w:space="0"/>
            </w:tcBorders>
            <w:vAlign w:val="center"/>
          </w:tcPr>
          <w:p w14:paraId="67C345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电梯轿厢整洁明亮，无污渍、无印痕</w:t>
            </w:r>
          </w:p>
        </w:tc>
        <w:tc>
          <w:tcPr>
            <w:tcW w:w="440" w:type="pct"/>
            <w:vMerge w:val="restart"/>
            <w:tcBorders>
              <w:top w:val="single" w:color="000000" w:sz="4" w:space="0"/>
              <w:left w:val="single" w:color="000000" w:sz="4" w:space="0"/>
              <w:right w:val="single" w:color="000000" w:sz="4" w:space="0"/>
            </w:tcBorders>
            <w:vAlign w:val="center"/>
          </w:tcPr>
          <w:p w14:paraId="7E491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轿厢壁清洗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3970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0A505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390F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3C67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7B3770F4">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2EF3F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B48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EC36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天花板清洗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0765B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0869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6CD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09BF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42792A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CEC8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C20D3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3468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上油保养</w:t>
            </w:r>
          </w:p>
        </w:tc>
        <w:tc>
          <w:tcPr>
            <w:tcW w:w="463" w:type="pct"/>
            <w:tcBorders>
              <w:top w:val="single" w:color="000000" w:sz="4" w:space="0"/>
              <w:left w:val="single" w:color="000000" w:sz="4" w:space="0"/>
              <w:bottom w:val="single" w:color="000000" w:sz="4" w:space="0"/>
              <w:right w:val="single" w:color="000000" w:sz="4" w:space="0"/>
            </w:tcBorders>
            <w:vAlign w:val="center"/>
          </w:tcPr>
          <w:p w14:paraId="679FB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A57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0FB3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978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238DF1A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vAlign w:val="center"/>
          </w:tcPr>
          <w:p w14:paraId="4732D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4B069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3522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BE7B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459D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39579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7410E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B4CA743">
        <w:tblPrEx>
          <w:tblCellMar>
            <w:top w:w="0" w:type="dxa"/>
            <w:left w:w="108" w:type="dxa"/>
            <w:bottom w:w="0" w:type="dxa"/>
            <w:right w:w="108" w:type="dxa"/>
          </w:tblCellMar>
        </w:tblPrEx>
        <w:trPr>
          <w:trHeight w:val="454" w:hRule="atLeast"/>
          <w:jc w:val="center"/>
        </w:trPr>
        <w:tc>
          <w:tcPr>
            <w:tcW w:w="437" w:type="pct"/>
            <w:vMerge w:val="restart"/>
            <w:tcBorders>
              <w:left w:val="single" w:color="000000" w:sz="4" w:space="0"/>
              <w:right w:val="single" w:color="000000" w:sz="4" w:space="0"/>
            </w:tcBorders>
            <w:vAlign w:val="center"/>
          </w:tcPr>
          <w:p w14:paraId="53B4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w:t>
            </w:r>
          </w:p>
        </w:tc>
        <w:tc>
          <w:tcPr>
            <w:tcW w:w="925" w:type="pct"/>
            <w:vMerge w:val="restart"/>
            <w:tcBorders>
              <w:left w:val="single" w:color="000000" w:sz="4" w:space="0"/>
              <w:right w:val="single" w:color="000000" w:sz="4" w:space="0"/>
            </w:tcBorders>
            <w:vAlign w:val="center"/>
          </w:tcPr>
          <w:p w14:paraId="5ED161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天台屋顶保持清洁无垃圾、无杂物</w:t>
            </w:r>
          </w:p>
        </w:tc>
        <w:tc>
          <w:tcPr>
            <w:tcW w:w="440" w:type="pct"/>
            <w:vMerge w:val="restart"/>
            <w:tcBorders>
              <w:left w:val="single" w:color="000000" w:sz="4" w:space="0"/>
              <w:right w:val="single" w:color="000000" w:sz="4" w:space="0"/>
            </w:tcBorders>
            <w:vAlign w:val="center"/>
          </w:tcPr>
          <w:p w14:paraId="4FCBD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8A3B9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left w:val="single" w:color="000000" w:sz="4" w:space="0"/>
              <w:right w:val="single" w:color="000000" w:sz="4" w:space="0"/>
            </w:tcBorders>
            <w:vAlign w:val="center"/>
          </w:tcPr>
          <w:p w14:paraId="62668B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left w:val="single" w:color="000000" w:sz="4" w:space="0"/>
              <w:right w:val="single" w:color="000000" w:sz="4" w:space="0"/>
            </w:tcBorders>
            <w:vAlign w:val="center"/>
          </w:tcPr>
          <w:p w14:paraId="671C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left w:val="single" w:color="000000" w:sz="4" w:space="0"/>
              <w:right w:val="single" w:color="000000" w:sz="4" w:space="0"/>
            </w:tcBorders>
            <w:vAlign w:val="center"/>
          </w:tcPr>
          <w:p w14:paraId="1CFB0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04424077">
        <w:tblPrEx>
          <w:tblCellMar>
            <w:top w:w="0" w:type="dxa"/>
            <w:left w:w="108" w:type="dxa"/>
            <w:bottom w:w="0" w:type="dxa"/>
            <w:right w:w="108" w:type="dxa"/>
          </w:tblCellMar>
        </w:tblPrEx>
        <w:trPr>
          <w:trHeight w:val="454" w:hRule="atLeast"/>
          <w:jc w:val="center"/>
        </w:trPr>
        <w:tc>
          <w:tcPr>
            <w:tcW w:w="437" w:type="pct"/>
            <w:vMerge w:val="continue"/>
            <w:tcBorders>
              <w:left w:val="single" w:color="000000" w:sz="4" w:space="0"/>
              <w:bottom w:val="single" w:color="000000" w:sz="4" w:space="0"/>
              <w:right w:val="single" w:color="000000" w:sz="4" w:space="0"/>
            </w:tcBorders>
            <w:vAlign w:val="center"/>
          </w:tcPr>
          <w:p w14:paraId="4ACC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B540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309E4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F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25FF0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6DCE2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F502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461E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2B6953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533AA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25" w:type="pct"/>
            <w:vMerge w:val="restart"/>
            <w:tcBorders>
              <w:top w:val="single" w:color="000000" w:sz="4" w:space="0"/>
              <w:left w:val="single" w:color="000000" w:sz="4" w:space="0"/>
              <w:right w:val="single" w:color="000000" w:sz="4" w:space="0"/>
            </w:tcBorders>
            <w:vAlign w:val="center"/>
          </w:tcPr>
          <w:p w14:paraId="426BF836">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大堂、门厅石材有护理、有光泽、干净无破损</w:t>
            </w:r>
          </w:p>
          <w:p w14:paraId="45A9D97B">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楼内天花板、公共灯具目视基本无灰尘、无蜘蛛网</w:t>
            </w:r>
          </w:p>
          <w:p w14:paraId="071E6A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楼内门、窗等玻璃目视无灰尘、无污渍水迹</w:t>
            </w:r>
          </w:p>
        </w:tc>
        <w:tc>
          <w:tcPr>
            <w:tcW w:w="440" w:type="pct"/>
            <w:vMerge w:val="restart"/>
            <w:tcBorders>
              <w:top w:val="single" w:color="000000" w:sz="4" w:space="0"/>
              <w:left w:val="single" w:color="000000" w:sz="4" w:space="0"/>
              <w:right w:val="single" w:color="000000" w:sz="4" w:space="0"/>
            </w:tcBorders>
            <w:vAlign w:val="center"/>
          </w:tcPr>
          <w:p w14:paraId="61BEB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B22B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6F1E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40E7D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F76C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0924C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6570DEF">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306FE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A4B6B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96A7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A565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前台沙发</w:t>
            </w:r>
          </w:p>
        </w:tc>
        <w:tc>
          <w:tcPr>
            <w:tcW w:w="463" w:type="pct"/>
            <w:tcBorders>
              <w:top w:val="single" w:color="000000" w:sz="4" w:space="0"/>
              <w:left w:val="single" w:color="000000" w:sz="4" w:space="0"/>
              <w:bottom w:val="single" w:color="000000" w:sz="4" w:space="0"/>
              <w:right w:val="single" w:color="000000" w:sz="4" w:space="0"/>
            </w:tcBorders>
            <w:vAlign w:val="center"/>
          </w:tcPr>
          <w:p w14:paraId="21C38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9BBB9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8EF8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E01C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5F203D">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4594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19842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81619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404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1245A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7628D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1DCF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038C8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137D7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A28D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1B68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8254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688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玻璃清洗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9002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BCE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4315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3E906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8DE3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8C6A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60B8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D66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525D8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EBE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2D0D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469A1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79FD23">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585F2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E792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256C5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9EFF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配饰擦拭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5B5B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1D45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7EBC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F6E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9E385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652A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7761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FA4B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592CF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门擦拭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F2F2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246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ABA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68EF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C2D209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57BF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0BD74B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13D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D8F0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墙面擦拭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1F2A4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22E21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7C31F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E43B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377B3B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73954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4</w:t>
            </w:r>
          </w:p>
        </w:tc>
        <w:tc>
          <w:tcPr>
            <w:tcW w:w="925" w:type="pct"/>
            <w:vMerge w:val="restart"/>
            <w:tcBorders>
              <w:top w:val="single" w:color="000000" w:sz="4" w:space="0"/>
              <w:left w:val="single" w:color="000000" w:sz="4" w:space="0"/>
              <w:right w:val="single" w:color="000000" w:sz="4" w:space="0"/>
            </w:tcBorders>
            <w:vAlign w:val="center"/>
          </w:tcPr>
          <w:p w14:paraId="4D314FB9">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楼内楼梯扶手、栏杆、窗台目视无灰尘、无污渍</w:t>
            </w:r>
          </w:p>
          <w:p w14:paraId="77B7B0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楼内墙面目视基本无灰尘、无污渍</w:t>
            </w:r>
          </w:p>
        </w:tc>
        <w:tc>
          <w:tcPr>
            <w:tcW w:w="440" w:type="pct"/>
            <w:vMerge w:val="restart"/>
            <w:tcBorders>
              <w:top w:val="single" w:color="000000" w:sz="4" w:space="0"/>
              <w:left w:val="single" w:color="000000" w:sz="4" w:space="0"/>
              <w:right w:val="single" w:color="000000" w:sz="4" w:space="0"/>
            </w:tcBorders>
            <w:vAlign w:val="center"/>
          </w:tcPr>
          <w:p w14:paraId="7D3DB6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2232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栏杆擦拭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5971C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3BD611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4D97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5A24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38240F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3DF9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72AC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AE87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36F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0A4FC5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41A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D110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C750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40BB6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FC7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395D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6E2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865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760AB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2397D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5C8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5611F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98F2F9C">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4619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559D3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2570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1844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扫地</w:t>
            </w:r>
          </w:p>
        </w:tc>
        <w:tc>
          <w:tcPr>
            <w:tcW w:w="463" w:type="pct"/>
            <w:tcBorders>
              <w:top w:val="single" w:color="000000" w:sz="4" w:space="0"/>
              <w:left w:val="single" w:color="000000" w:sz="4" w:space="0"/>
              <w:bottom w:val="single" w:color="000000" w:sz="4" w:space="0"/>
              <w:right w:val="single" w:color="000000" w:sz="4" w:space="0"/>
            </w:tcBorders>
            <w:vAlign w:val="center"/>
          </w:tcPr>
          <w:p w14:paraId="58BC4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4F0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05200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8111B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ABD8010">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ACB0B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95FDE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D2BC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8A1B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6253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F796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1EA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27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DEFD9F1">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1486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414A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631CA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639D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烟灰缸</w:t>
            </w:r>
          </w:p>
        </w:tc>
        <w:tc>
          <w:tcPr>
            <w:tcW w:w="463" w:type="pct"/>
            <w:tcBorders>
              <w:top w:val="single" w:color="000000" w:sz="4" w:space="0"/>
              <w:left w:val="single" w:color="000000" w:sz="4" w:space="0"/>
              <w:bottom w:val="single" w:color="000000" w:sz="4" w:space="0"/>
              <w:right w:val="single" w:color="000000" w:sz="4" w:space="0"/>
            </w:tcBorders>
            <w:vAlign w:val="center"/>
          </w:tcPr>
          <w:p w14:paraId="0DA2B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2F1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0169B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20BD4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522E654">
        <w:tblPrEx>
          <w:tblCellMar>
            <w:top w:w="0" w:type="dxa"/>
            <w:left w:w="108" w:type="dxa"/>
            <w:bottom w:w="0" w:type="dxa"/>
            <w:right w:w="108" w:type="dxa"/>
          </w:tblCellMar>
        </w:tblPrEx>
        <w:trPr>
          <w:trHeight w:val="510"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352A6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25" w:type="pct"/>
            <w:vMerge w:val="restart"/>
            <w:tcBorders>
              <w:top w:val="single" w:color="000000" w:sz="4" w:space="0"/>
              <w:left w:val="single" w:color="000000" w:sz="4" w:space="0"/>
              <w:right w:val="single" w:color="000000" w:sz="4" w:space="0"/>
            </w:tcBorders>
            <w:vAlign w:val="center"/>
          </w:tcPr>
          <w:p w14:paraId="1D81250E">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楼内地面清洁，目视基本无污迹、无水迹印痕</w:t>
            </w:r>
          </w:p>
          <w:p w14:paraId="7D9C1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楼内消防栓、防火门、指示牌、开关面板等公共设施目视无灰尘、无污迹</w:t>
            </w:r>
          </w:p>
        </w:tc>
        <w:tc>
          <w:tcPr>
            <w:tcW w:w="440" w:type="pct"/>
            <w:vMerge w:val="restart"/>
            <w:tcBorders>
              <w:top w:val="single" w:color="000000" w:sz="4" w:space="0"/>
              <w:left w:val="single" w:color="000000" w:sz="4" w:space="0"/>
              <w:right w:val="single" w:color="000000" w:sz="4" w:space="0"/>
            </w:tcBorders>
            <w:vAlign w:val="center"/>
          </w:tcPr>
          <w:p w14:paraId="342AC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2362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尘推清理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7A8F2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7EF0A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EFF6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63CE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1B71F15">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3F6B7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6DC3D1B4">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B6B7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EBA5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77CCC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70F5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2BB1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85D2B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9483A9A">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6A1C52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C7D071D">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B2FA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9A5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3ADE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E900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514CE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44D1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587F46">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77A9B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EEA487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07039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4A34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电梯外框</w:t>
            </w:r>
          </w:p>
        </w:tc>
        <w:tc>
          <w:tcPr>
            <w:tcW w:w="463" w:type="pct"/>
            <w:tcBorders>
              <w:top w:val="single" w:color="000000" w:sz="4" w:space="0"/>
              <w:left w:val="single" w:color="000000" w:sz="4" w:space="0"/>
              <w:bottom w:val="single" w:color="000000" w:sz="4" w:space="0"/>
              <w:right w:val="single" w:color="000000" w:sz="4" w:space="0"/>
            </w:tcBorders>
            <w:vAlign w:val="center"/>
          </w:tcPr>
          <w:p w14:paraId="6178E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EF258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F15E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43CA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67ACC57">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4E198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87C983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0EF2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5643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10B22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1339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642C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32E62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D36C65D">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6D0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C647517">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E29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961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181F62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D0D7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69A66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5A58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0F077A">
        <w:tblPrEx>
          <w:tblCellMar>
            <w:top w:w="0" w:type="dxa"/>
            <w:left w:w="108" w:type="dxa"/>
            <w:bottom w:w="0" w:type="dxa"/>
            <w:right w:w="108" w:type="dxa"/>
          </w:tblCellMar>
        </w:tblPrEx>
        <w:trPr>
          <w:trHeight w:val="56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A23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6</w:t>
            </w:r>
          </w:p>
        </w:tc>
        <w:tc>
          <w:tcPr>
            <w:tcW w:w="925" w:type="pct"/>
            <w:vMerge w:val="restart"/>
            <w:tcBorders>
              <w:top w:val="single" w:color="000000" w:sz="4" w:space="0"/>
              <w:left w:val="single" w:color="000000" w:sz="4" w:space="0"/>
              <w:right w:val="single" w:color="000000" w:sz="4" w:space="0"/>
            </w:tcBorders>
            <w:vAlign w:val="center"/>
          </w:tcPr>
          <w:p w14:paraId="5597B5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架空层地面清洁，目视基本无污迹</w:t>
            </w:r>
          </w:p>
        </w:tc>
        <w:tc>
          <w:tcPr>
            <w:tcW w:w="440" w:type="pct"/>
            <w:vMerge w:val="restart"/>
            <w:tcBorders>
              <w:top w:val="single" w:color="000000" w:sz="4" w:space="0"/>
              <w:left w:val="single" w:color="000000" w:sz="4" w:space="0"/>
              <w:right w:val="single" w:color="000000" w:sz="4" w:space="0"/>
            </w:tcBorders>
            <w:vAlign w:val="center"/>
          </w:tcPr>
          <w:p w14:paraId="44525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75A00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E8A0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2B36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2D969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7B1DA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4C5F569">
        <w:tblPrEx>
          <w:tblCellMar>
            <w:top w:w="0" w:type="dxa"/>
            <w:left w:w="108" w:type="dxa"/>
            <w:bottom w:w="0" w:type="dxa"/>
            <w:right w:w="108" w:type="dxa"/>
          </w:tblCellMar>
        </w:tblPrEx>
        <w:trPr>
          <w:trHeight w:val="567" w:hRule="exact"/>
          <w:jc w:val="center"/>
        </w:trPr>
        <w:tc>
          <w:tcPr>
            <w:tcW w:w="437" w:type="pct"/>
            <w:vMerge w:val="continue"/>
            <w:tcBorders>
              <w:left w:val="single" w:color="000000" w:sz="4" w:space="0"/>
              <w:bottom w:val="single" w:color="auto" w:sz="4" w:space="0"/>
              <w:right w:val="single" w:color="000000" w:sz="4" w:space="0"/>
            </w:tcBorders>
            <w:shd w:val="clear" w:color="auto" w:fill="auto"/>
            <w:vAlign w:val="center"/>
          </w:tcPr>
          <w:p w14:paraId="14E61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auto" w:sz="4" w:space="0"/>
              <w:right w:val="single" w:color="000000" w:sz="4" w:space="0"/>
            </w:tcBorders>
            <w:vAlign w:val="center"/>
          </w:tcPr>
          <w:p w14:paraId="7E79B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auto" w:sz="4" w:space="0"/>
              <w:right w:val="single" w:color="000000" w:sz="4" w:space="0"/>
            </w:tcBorders>
            <w:vAlign w:val="center"/>
          </w:tcPr>
          <w:p w14:paraId="5724C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auto" w:sz="4" w:space="0"/>
              <w:right w:val="single" w:color="000000" w:sz="4" w:space="0"/>
            </w:tcBorders>
            <w:vAlign w:val="center"/>
          </w:tcPr>
          <w:p w14:paraId="1EB8C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配件擦拭</w:t>
            </w:r>
          </w:p>
        </w:tc>
        <w:tc>
          <w:tcPr>
            <w:tcW w:w="463" w:type="pct"/>
            <w:tcBorders>
              <w:top w:val="single" w:color="000000" w:sz="4" w:space="0"/>
              <w:left w:val="single" w:color="000000" w:sz="4" w:space="0"/>
              <w:bottom w:val="single" w:color="auto" w:sz="4" w:space="0"/>
              <w:right w:val="single" w:color="000000" w:sz="4" w:space="0"/>
            </w:tcBorders>
            <w:vAlign w:val="center"/>
          </w:tcPr>
          <w:p w14:paraId="1AEC1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auto" w:sz="4" w:space="0"/>
              <w:right w:val="single" w:color="000000" w:sz="4" w:space="0"/>
            </w:tcBorders>
            <w:vAlign w:val="center"/>
          </w:tcPr>
          <w:p w14:paraId="461E3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auto" w:sz="4" w:space="0"/>
              <w:right w:val="single" w:color="000000" w:sz="4" w:space="0"/>
            </w:tcBorders>
            <w:vAlign w:val="center"/>
          </w:tcPr>
          <w:p w14:paraId="291DC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auto" w:sz="4" w:space="0"/>
              <w:right w:val="single" w:color="000000" w:sz="4" w:space="0"/>
            </w:tcBorders>
            <w:vAlign w:val="center"/>
          </w:tcPr>
          <w:p w14:paraId="39DE6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3864AF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E6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7</w:t>
            </w:r>
          </w:p>
        </w:tc>
        <w:tc>
          <w:tcPr>
            <w:tcW w:w="925" w:type="pct"/>
            <w:vMerge w:val="restart"/>
            <w:tcBorders>
              <w:top w:val="single" w:color="auto" w:sz="4" w:space="0"/>
              <w:left w:val="single" w:color="auto" w:sz="4" w:space="0"/>
              <w:bottom w:val="single" w:color="auto" w:sz="4" w:space="0"/>
              <w:right w:val="single" w:color="auto" w:sz="4" w:space="0"/>
            </w:tcBorders>
            <w:vAlign w:val="center"/>
          </w:tcPr>
          <w:p w14:paraId="20CFD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公共卫生间垃圾桶及时清理，不得溢出，保持卫生间清洁无异味；地面无积水</w:t>
            </w:r>
          </w:p>
        </w:tc>
        <w:tc>
          <w:tcPr>
            <w:tcW w:w="440" w:type="pct"/>
            <w:vMerge w:val="restart"/>
            <w:tcBorders>
              <w:top w:val="single" w:color="auto" w:sz="4" w:space="0"/>
              <w:left w:val="single" w:color="auto" w:sz="4" w:space="0"/>
              <w:bottom w:val="single" w:color="auto" w:sz="4" w:space="0"/>
              <w:right w:val="single" w:color="auto" w:sz="4" w:space="0"/>
            </w:tcBorders>
            <w:vAlign w:val="center"/>
          </w:tcPr>
          <w:p w14:paraId="3BF5A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auto" w:sz="4" w:space="0"/>
              <w:left w:val="single" w:color="auto" w:sz="4" w:space="0"/>
              <w:bottom w:val="single" w:color="auto" w:sz="4" w:space="0"/>
              <w:right w:val="single" w:color="auto" w:sz="4" w:space="0"/>
            </w:tcBorders>
            <w:vAlign w:val="center"/>
          </w:tcPr>
          <w:p w14:paraId="049BD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镜面清洗</w:t>
            </w:r>
          </w:p>
        </w:tc>
        <w:tc>
          <w:tcPr>
            <w:tcW w:w="463" w:type="pct"/>
            <w:tcBorders>
              <w:top w:val="single" w:color="auto" w:sz="4" w:space="0"/>
              <w:left w:val="single" w:color="auto" w:sz="4" w:space="0"/>
              <w:bottom w:val="single" w:color="auto" w:sz="4" w:space="0"/>
              <w:right w:val="single" w:color="auto" w:sz="4" w:space="0"/>
            </w:tcBorders>
            <w:vAlign w:val="center"/>
          </w:tcPr>
          <w:p w14:paraId="3579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auto" w:sz="4" w:space="0"/>
              <w:left w:val="single" w:color="auto" w:sz="4" w:space="0"/>
              <w:bottom w:val="single" w:color="auto" w:sz="4" w:space="0"/>
              <w:right w:val="single" w:color="auto" w:sz="4" w:space="0"/>
            </w:tcBorders>
            <w:vAlign w:val="center"/>
          </w:tcPr>
          <w:p w14:paraId="6A7502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14:paraId="431C9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071462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D59CBF6">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791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43A02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top w:val="single" w:color="auto" w:sz="4" w:space="0"/>
              <w:left w:val="single" w:color="auto" w:sz="4" w:space="0"/>
              <w:right w:val="single" w:color="000000" w:sz="4" w:space="0"/>
            </w:tcBorders>
            <w:vAlign w:val="center"/>
          </w:tcPr>
          <w:p w14:paraId="2024D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auto" w:sz="4" w:space="0"/>
              <w:left w:val="single" w:color="000000" w:sz="4" w:space="0"/>
              <w:bottom w:val="single" w:color="000000" w:sz="4" w:space="0"/>
              <w:right w:val="single" w:color="000000" w:sz="4" w:space="0"/>
            </w:tcBorders>
            <w:vAlign w:val="center"/>
          </w:tcPr>
          <w:p w14:paraId="63CE9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洗手台打扫</w:t>
            </w:r>
          </w:p>
        </w:tc>
        <w:tc>
          <w:tcPr>
            <w:tcW w:w="463" w:type="pct"/>
            <w:tcBorders>
              <w:top w:val="single" w:color="auto" w:sz="4" w:space="0"/>
              <w:left w:val="single" w:color="000000" w:sz="4" w:space="0"/>
              <w:bottom w:val="single" w:color="000000" w:sz="4" w:space="0"/>
              <w:right w:val="single" w:color="000000" w:sz="4" w:space="0"/>
            </w:tcBorders>
            <w:vAlign w:val="center"/>
          </w:tcPr>
          <w:p w14:paraId="24F2E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top w:val="single" w:color="auto" w:sz="4" w:space="0"/>
              <w:left w:val="single" w:color="000000" w:sz="4" w:space="0"/>
              <w:right w:val="single" w:color="000000" w:sz="4" w:space="0"/>
            </w:tcBorders>
            <w:vAlign w:val="center"/>
          </w:tcPr>
          <w:p w14:paraId="17362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top w:val="single" w:color="auto" w:sz="4" w:space="0"/>
              <w:left w:val="single" w:color="000000" w:sz="4" w:space="0"/>
              <w:right w:val="single" w:color="000000" w:sz="4" w:space="0"/>
            </w:tcBorders>
            <w:vAlign w:val="center"/>
          </w:tcPr>
          <w:p w14:paraId="116C5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top w:val="single" w:color="auto" w:sz="4" w:space="0"/>
              <w:left w:val="single" w:color="000000" w:sz="4" w:space="0"/>
              <w:right w:val="single" w:color="auto" w:sz="4" w:space="0"/>
            </w:tcBorders>
            <w:vAlign w:val="center"/>
          </w:tcPr>
          <w:p w14:paraId="2BC83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9B4C6A">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52C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C99A7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right w:val="single" w:color="000000" w:sz="4" w:space="0"/>
            </w:tcBorders>
            <w:vAlign w:val="center"/>
          </w:tcPr>
          <w:p w14:paraId="52311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E7DB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隔间清洗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3E8A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E2D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2410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auto" w:sz="4" w:space="0"/>
            </w:tcBorders>
            <w:vAlign w:val="center"/>
          </w:tcPr>
          <w:p w14:paraId="48BAC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BA04FBB">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343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61AF55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bottom w:val="single" w:color="000000" w:sz="4" w:space="0"/>
              <w:right w:val="single" w:color="000000" w:sz="4" w:space="0"/>
            </w:tcBorders>
            <w:vAlign w:val="center"/>
          </w:tcPr>
          <w:p w14:paraId="6A1BA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3EF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便池</w:t>
            </w:r>
          </w:p>
        </w:tc>
        <w:tc>
          <w:tcPr>
            <w:tcW w:w="463" w:type="pct"/>
            <w:tcBorders>
              <w:top w:val="single" w:color="000000" w:sz="4" w:space="0"/>
              <w:left w:val="single" w:color="000000" w:sz="4" w:space="0"/>
              <w:bottom w:val="single" w:color="000000" w:sz="4" w:space="0"/>
              <w:right w:val="single" w:color="000000" w:sz="4" w:space="0"/>
            </w:tcBorders>
            <w:vAlign w:val="center"/>
          </w:tcPr>
          <w:p w14:paraId="24713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AF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945B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auto" w:sz="4" w:space="0"/>
            </w:tcBorders>
            <w:vAlign w:val="center"/>
          </w:tcPr>
          <w:p w14:paraId="4E6CB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C11420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000000" w:sz="4" w:space="0"/>
              <w:right w:val="single" w:color="000000" w:sz="4" w:space="0"/>
            </w:tcBorders>
            <w:shd w:val="clear" w:color="auto" w:fill="auto"/>
            <w:vAlign w:val="center"/>
          </w:tcPr>
          <w:p w14:paraId="4D482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8</w:t>
            </w:r>
          </w:p>
        </w:tc>
        <w:tc>
          <w:tcPr>
            <w:tcW w:w="925" w:type="pct"/>
            <w:vMerge w:val="restart"/>
            <w:tcBorders>
              <w:top w:val="single" w:color="auto" w:sz="4" w:space="0"/>
              <w:left w:val="single" w:color="000000" w:sz="4" w:space="0"/>
              <w:right w:val="single" w:color="000000" w:sz="4" w:space="0"/>
            </w:tcBorders>
            <w:shd w:val="clear" w:color="auto" w:fill="auto"/>
            <w:vAlign w:val="center"/>
          </w:tcPr>
          <w:p w14:paraId="752B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地下车库保持清洁、无垃圾、无杂物</w:t>
            </w:r>
          </w:p>
        </w:tc>
        <w:tc>
          <w:tcPr>
            <w:tcW w:w="440" w:type="pct"/>
            <w:vMerge w:val="restart"/>
            <w:tcBorders>
              <w:top w:val="single" w:color="000000" w:sz="4" w:space="0"/>
              <w:left w:val="single" w:color="000000" w:sz="4" w:space="0"/>
              <w:right w:val="single" w:color="000000" w:sz="4" w:space="0"/>
            </w:tcBorders>
            <w:shd w:val="clear" w:color="auto" w:fill="auto"/>
            <w:vAlign w:val="center"/>
          </w:tcPr>
          <w:p w14:paraId="1E95B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shd w:val="clear" w:color="auto" w:fill="auto"/>
            <w:vAlign w:val="center"/>
          </w:tcPr>
          <w:p w14:paraId="1A1C98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05921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0219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A5D1210">
        <w:tblPrEx>
          <w:tblCellMar>
            <w:top w:w="0" w:type="dxa"/>
            <w:left w:w="108" w:type="dxa"/>
            <w:bottom w:w="0" w:type="dxa"/>
            <w:right w:w="108" w:type="dxa"/>
          </w:tblCellMar>
        </w:tblPrEx>
        <w:trPr>
          <w:trHeight w:val="45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A63D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5EF3C9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shd w:val="clear" w:color="auto" w:fill="auto"/>
            <w:vAlign w:val="center"/>
          </w:tcPr>
          <w:p w14:paraId="5869B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E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shd w:val="clear" w:color="auto" w:fill="auto"/>
            <w:vAlign w:val="center"/>
          </w:tcPr>
          <w:p w14:paraId="0FF04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9EAB6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BB51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C36D044">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4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9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垃圾厢（房）：对垃圾厢（房）循环保洁，并保证垃圾桶（箱）目视整洁、干净、无异味；灭害措施完善</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F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垃圾分类/清运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8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D8C1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BE52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8EE40F">
        <w:tblPrEx>
          <w:tblCellMar>
            <w:top w:w="0" w:type="dxa"/>
            <w:left w:w="108" w:type="dxa"/>
            <w:bottom w:w="0" w:type="dxa"/>
            <w:right w:w="108" w:type="dxa"/>
          </w:tblCellMar>
        </w:tblPrEx>
        <w:trPr>
          <w:trHeight w:val="624"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5A0C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10</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6C2FC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道路公共灯具、标识牌、开关面板、矮柱灯立面、信报箱、宣传栏、小品等目视无泥土、手印、积尘</w:t>
            </w:r>
          </w:p>
          <w:p w14:paraId="2EBCF6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道路地面、绿地、室外车场目视清洁无杂物；明沟无杂物、无积水</w:t>
            </w:r>
          </w:p>
        </w:tc>
        <w:tc>
          <w:tcPr>
            <w:tcW w:w="440" w:type="pct"/>
            <w:vMerge w:val="restart"/>
            <w:tcBorders>
              <w:top w:val="single" w:color="000000" w:sz="4" w:space="0"/>
              <w:left w:val="single" w:color="000000" w:sz="4" w:space="0"/>
              <w:right w:val="single" w:color="000000" w:sz="4" w:space="0"/>
            </w:tcBorders>
            <w:vAlign w:val="center"/>
          </w:tcPr>
          <w:p w14:paraId="3FFA7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D14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7F4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4D00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4323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12664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ADFEC1">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343E0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84C5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D93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98C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3F16B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071C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E6E33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A039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F1298C2">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846D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7E5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0F39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7CAD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w:t>
            </w:r>
          </w:p>
        </w:tc>
        <w:tc>
          <w:tcPr>
            <w:tcW w:w="463" w:type="pct"/>
            <w:tcBorders>
              <w:top w:val="single" w:color="000000" w:sz="4" w:space="0"/>
              <w:left w:val="single" w:color="000000" w:sz="4" w:space="0"/>
              <w:bottom w:val="single" w:color="000000" w:sz="4" w:space="0"/>
              <w:right w:val="single" w:color="000000" w:sz="4" w:space="0"/>
            </w:tcBorders>
            <w:vAlign w:val="center"/>
          </w:tcPr>
          <w:p w14:paraId="0CE995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83EA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3559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DB65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16754C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EE28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6CF1E1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B61A1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BB9B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宣传栏</w:t>
            </w:r>
          </w:p>
        </w:tc>
        <w:tc>
          <w:tcPr>
            <w:tcW w:w="463" w:type="pct"/>
            <w:tcBorders>
              <w:top w:val="single" w:color="000000" w:sz="4" w:space="0"/>
              <w:left w:val="single" w:color="000000" w:sz="4" w:space="0"/>
              <w:bottom w:val="single" w:color="000000" w:sz="4" w:space="0"/>
              <w:right w:val="single" w:color="000000" w:sz="4" w:space="0"/>
            </w:tcBorders>
            <w:vAlign w:val="center"/>
          </w:tcPr>
          <w:p w14:paraId="735E35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DE9C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5713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81A2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FB980B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72D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2BEBCC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2FB5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1C2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3B8E33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78EC0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6D08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18F29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9A7E1BA">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5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11</w:t>
            </w:r>
          </w:p>
        </w:tc>
        <w:tc>
          <w:tcPr>
            <w:tcW w:w="925" w:type="pct"/>
            <w:tcBorders>
              <w:top w:val="single" w:color="000000" w:sz="4" w:space="0"/>
              <w:left w:val="single" w:color="000000" w:sz="4" w:space="0"/>
              <w:bottom w:val="single" w:color="000000" w:sz="4" w:space="0"/>
              <w:right w:val="single" w:color="000000" w:sz="4" w:space="0"/>
            </w:tcBorders>
            <w:vAlign w:val="center"/>
          </w:tcPr>
          <w:p w14:paraId="0046EA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根据项目情况编制年度消杀计划，按计划进行消杀</w:t>
            </w:r>
          </w:p>
        </w:tc>
        <w:tc>
          <w:tcPr>
            <w:tcW w:w="440" w:type="pct"/>
            <w:tcBorders>
              <w:top w:val="single" w:color="000000" w:sz="4" w:space="0"/>
              <w:left w:val="single" w:color="000000" w:sz="4" w:space="0"/>
              <w:bottom w:val="single" w:color="000000" w:sz="4" w:space="0"/>
              <w:right w:val="single" w:color="000000" w:sz="4" w:space="0"/>
            </w:tcBorders>
            <w:vAlign w:val="center"/>
          </w:tcPr>
          <w:p w14:paraId="694A70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1C79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0AF4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445C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297B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8337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49C1F6D">
        <w:tblPrEx>
          <w:tblCellMar>
            <w:top w:w="0" w:type="dxa"/>
            <w:left w:w="108" w:type="dxa"/>
            <w:bottom w:w="0" w:type="dxa"/>
            <w:right w:w="108" w:type="dxa"/>
          </w:tblCellMar>
        </w:tblPrEx>
        <w:trPr>
          <w:trHeight w:val="847"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12</w:t>
            </w:r>
          </w:p>
        </w:tc>
        <w:tc>
          <w:tcPr>
            <w:tcW w:w="925" w:type="pct"/>
            <w:tcBorders>
              <w:top w:val="single" w:color="000000" w:sz="4" w:space="0"/>
              <w:left w:val="single" w:color="000000" w:sz="4" w:space="0"/>
              <w:bottom w:val="single" w:color="000000" w:sz="4" w:space="0"/>
              <w:right w:val="single" w:color="000000" w:sz="4" w:space="0"/>
            </w:tcBorders>
            <w:vAlign w:val="center"/>
          </w:tcPr>
          <w:p w14:paraId="0F6EB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相关工具摆放有序，不影响形象</w:t>
            </w:r>
          </w:p>
        </w:tc>
        <w:tc>
          <w:tcPr>
            <w:tcW w:w="440" w:type="pct"/>
            <w:tcBorders>
              <w:top w:val="single" w:color="000000" w:sz="4" w:space="0"/>
              <w:left w:val="single" w:color="000000" w:sz="4" w:space="0"/>
              <w:bottom w:val="single" w:color="000000" w:sz="4" w:space="0"/>
              <w:right w:val="single" w:color="000000" w:sz="4" w:space="0"/>
            </w:tcBorders>
            <w:vAlign w:val="center"/>
          </w:tcPr>
          <w:p w14:paraId="1A62D8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4C93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6F2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6E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117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5574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204AB94">
        <w:tblPrEx>
          <w:tblCellMar>
            <w:top w:w="0" w:type="dxa"/>
            <w:left w:w="108" w:type="dxa"/>
            <w:bottom w:w="0" w:type="dxa"/>
            <w:right w:w="108" w:type="dxa"/>
          </w:tblCellMar>
        </w:tblPrEx>
        <w:trPr>
          <w:trHeight w:val="454" w:hRule="exac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83B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w:t>
            </w:r>
          </w:p>
        </w:tc>
      </w:tr>
      <w:tr w14:paraId="77FB2835">
        <w:tblPrEx>
          <w:tblCellMar>
            <w:top w:w="0" w:type="dxa"/>
            <w:left w:w="108" w:type="dxa"/>
            <w:bottom w:w="0" w:type="dxa"/>
            <w:right w:w="108" w:type="dxa"/>
          </w:tblCellMar>
        </w:tblPrEx>
        <w:trPr>
          <w:trHeight w:val="206"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8E9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13</w:t>
            </w:r>
          </w:p>
        </w:tc>
        <w:tc>
          <w:tcPr>
            <w:tcW w:w="925" w:type="pct"/>
            <w:tcBorders>
              <w:top w:val="single" w:color="000000" w:sz="4" w:space="0"/>
              <w:left w:val="single" w:color="000000" w:sz="4" w:space="0"/>
              <w:bottom w:val="single" w:color="000000" w:sz="4" w:space="0"/>
              <w:right w:val="single" w:color="000000" w:sz="4" w:space="0"/>
            </w:tcBorders>
            <w:vAlign w:val="center"/>
          </w:tcPr>
          <w:p w14:paraId="516C7B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绿化带周边内外要保持清洁，定时或不定时清理周边枯叶及杂物</w:t>
            </w:r>
          </w:p>
        </w:tc>
        <w:tc>
          <w:tcPr>
            <w:tcW w:w="440" w:type="pct"/>
            <w:tcBorders>
              <w:top w:val="single" w:color="000000" w:sz="4" w:space="0"/>
              <w:left w:val="single" w:color="000000" w:sz="4" w:space="0"/>
              <w:bottom w:val="single" w:color="000000" w:sz="4" w:space="0"/>
              <w:right w:val="single" w:color="000000" w:sz="4" w:space="0"/>
            </w:tcBorders>
            <w:vAlign w:val="center"/>
          </w:tcPr>
          <w:p w14:paraId="7FE60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DAEF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8C72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934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E673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A4E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29E70B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FD1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14</w:t>
            </w:r>
          </w:p>
        </w:tc>
        <w:tc>
          <w:tcPr>
            <w:tcW w:w="925" w:type="pct"/>
            <w:tcBorders>
              <w:top w:val="single" w:color="000000" w:sz="4" w:space="0"/>
              <w:left w:val="single" w:color="000000" w:sz="4" w:space="0"/>
              <w:bottom w:val="single" w:color="000000" w:sz="4" w:space="0"/>
              <w:right w:val="single" w:color="000000" w:sz="4" w:space="0"/>
            </w:tcBorders>
            <w:vAlign w:val="center"/>
          </w:tcPr>
          <w:p w14:paraId="36D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及时处理杂草，目视绿地内杂草不超过5%。</w:t>
            </w:r>
          </w:p>
        </w:tc>
        <w:tc>
          <w:tcPr>
            <w:tcW w:w="440" w:type="pct"/>
            <w:tcBorders>
              <w:top w:val="single" w:color="000000" w:sz="4" w:space="0"/>
              <w:left w:val="single" w:color="000000" w:sz="4" w:space="0"/>
              <w:bottom w:val="single" w:color="000000" w:sz="4" w:space="0"/>
              <w:right w:val="single" w:color="000000" w:sz="4" w:space="0"/>
            </w:tcBorders>
            <w:vAlign w:val="center"/>
          </w:tcPr>
          <w:p w14:paraId="0EF23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E3FDB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C51E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294B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C841E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4493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E4A7142">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41BB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15</w:t>
            </w:r>
          </w:p>
        </w:tc>
        <w:tc>
          <w:tcPr>
            <w:tcW w:w="925" w:type="pct"/>
            <w:tcBorders>
              <w:top w:val="single" w:color="000000" w:sz="4" w:space="0"/>
              <w:left w:val="single" w:color="000000" w:sz="4" w:space="0"/>
              <w:bottom w:val="single" w:color="000000" w:sz="4" w:space="0"/>
              <w:right w:val="single" w:color="000000" w:sz="4" w:space="0"/>
            </w:tcBorders>
            <w:vAlign w:val="center"/>
          </w:tcPr>
          <w:p w14:paraId="608FC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及时补植，目视无明显黄土裸露，绿地完整</w:t>
            </w:r>
          </w:p>
        </w:tc>
        <w:tc>
          <w:tcPr>
            <w:tcW w:w="440" w:type="pct"/>
            <w:tcBorders>
              <w:top w:val="single" w:color="000000" w:sz="4" w:space="0"/>
              <w:left w:val="single" w:color="000000" w:sz="4" w:space="0"/>
              <w:bottom w:val="single" w:color="000000" w:sz="4" w:space="0"/>
              <w:right w:val="single" w:color="000000" w:sz="4" w:space="0"/>
            </w:tcBorders>
            <w:vAlign w:val="center"/>
          </w:tcPr>
          <w:p w14:paraId="2326C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D5F6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C94E6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3015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6F66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D0F69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6CF387">
        <w:tblPrEx>
          <w:tblCellMar>
            <w:top w:w="0" w:type="dxa"/>
            <w:left w:w="108" w:type="dxa"/>
            <w:bottom w:w="0" w:type="dxa"/>
            <w:right w:w="108" w:type="dxa"/>
          </w:tblCellMar>
        </w:tblPrEx>
        <w:trPr>
          <w:trHeight w:val="125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FFA29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16</w:t>
            </w:r>
          </w:p>
        </w:tc>
        <w:tc>
          <w:tcPr>
            <w:tcW w:w="925" w:type="pct"/>
            <w:tcBorders>
              <w:top w:val="single" w:color="000000" w:sz="4" w:space="0"/>
              <w:left w:val="single" w:color="000000" w:sz="4" w:space="0"/>
              <w:bottom w:val="single" w:color="000000" w:sz="4" w:space="0"/>
              <w:right w:val="single" w:color="000000" w:sz="4" w:space="0"/>
            </w:tcBorders>
            <w:vAlign w:val="center"/>
          </w:tcPr>
          <w:p w14:paraId="10FBAD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绿地浇水均匀无遗漏全覆盖，无明显缺水现象，无长期积水</w:t>
            </w:r>
          </w:p>
        </w:tc>
        <w:tc>
          <w:tcPr>
            <w:tcW w:w="440" w:type="pct"/>
            <w:tcBorders>
              <w:top w:val="single" w:color="000000" w:sz="4" w:space="0"/>
              <w:left w:val="single" w:color="000000" w:sz="4" w:space="0"/>
              <w:bottom w:val="single" w:color="000000" w:sz="4" w:space="0"/>
              <w:right w:val="single" w:color="000000" w:sz="4" w:space="0"/>
            </w:tcBorders>
            <w:vAlign w:val="center"/>
          </w:tcPr>
          <w:p w14:paraId="37703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D08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D2C8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B9F1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C624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611C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80630D4">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43A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17</w:t>
            </w:r>
          </w:p>
        </w:tc>
        <w:tc>
          <w:tcPr>
            <w:tcW w:w="925" w:type="pct"/>
            <w:tcBorders>
              <w:top w:val="single" w:color="000000" w:sz="4" w:space="0"/>
              <w:left w:val="single" w:color="000000" w:sz="4" w:space="0"/>
              <w:bottom w:val="single" w:color="000000" w:sz="4" w:space="0"/>
              <w:right w:val="single" w:color="000000" w:sz="4" w:space="0"/>
            </w:tcBorders>
            <w:vAlign w:val="center"/>
          </w:tcPr>
          <w:p w14:paraId="7649E7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修剪及时，草地平整无斑秃，草高不超过6厘米；灌木色带造型美观无下部空虚；乔木通透、树型端正，无影响通行或存在安全隐患；观花观果植物正常开花结果。</w:t>
            </w:r>
          </w:p>
        </w:tc>
        <w:tc>
          <w:tcPr>
            <w:tcW w:w="440" w:type="pct"/>
            <w:tcBorders>
              <w:top w:val="single" w:color="000000" w:sz="4" w:space="0"/>
              <w:left w:val="single" w:color="000000" w:sz="4" w:space="0"/>
              <w:bottom w:val="single" w:color="000000" w:sz="4" w:space="0"/>
              <w:right w:val="single" w:color="000000" w:sz="4" w:space="0"/>
            </w:tcBorders>
            <w:vAlign w:val="center"/>
          </w:tcPr>
          <w:p w14:paraId="453E6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22FA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5680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A262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65F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E2BD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FE7A6F">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07F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18</w:t>
            </w:r>
          </w:p>
        </w:tc>
        <w:tc>
          <w:tcPr>
            <w:tcW w:w="925" w:type="pct"/>
            <w:tcBorders>
              <w:top w:val="single" w:color="000000" w:sz="4" w:space="0"/>
              <w:left w:val="single" w:color="000000" w:sz="4" w:space="0"/>
              <w:bottom w:val="single" w:color="000000" w:sz="4" w:space="0"/>
              <w:right w:val="single" w:color="000000" w:sz="4" w:space="0"/>
            </w:tcBorders>
            <w:vAlign w:val="center"/>
          </w:tcPr>
          <w:p w14:paraId="6FBFA2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绿化植物长势正良好，无明显缺肥症状</w:t>
            </w:r>
          </w:p>
        </w:tc>
        <w:tc>
          <w:tcPr>
            <w:tcW w:w="440" w:type="pct"/>
            <w:tcBorders>
              <w:top w:val="single" w:color="000000" w:sz="4" w:space="0"/>
              <w:left w:val="single" w:color="000000" w:sz="4" w:space="0"/>
              <w:bottom w:val="single" w:color="000000" w:sz="4" w:space="0"/>
              <w:right w:val="single" w:color="000000" w:sz="4" w:space="0"/>
            </w:tcBorders>
            <w:vAlign w:val="center"/>
          </w:tcPr>
          <w:p w14:paraId="2610D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10C7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477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001F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C25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ADD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60ECF7">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6290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19</w:t>
            </w:r>
          </w:p>
        </w:tc>
        <w:tc>
          <w:tcPr>
            <w:tcW w:w="925" w:type="pct"/>
            <w:tcBorders>
              <w:top w:val="single" w:color="000000" w:sz="4" w:space="0"/>
              <w:left w:val="single" w:color="000000" w:sz="4" w:space="0"/>
              <w:bottom w:val="single" w:color="000000" w:sz="4" w:space="0"/>
              <w:right w:val="single" w:color="000000" w:sz="4" w:space="0"/>
            </w:tcBorders>
            <w:vAlign w:val="center"/>
          </w:tcPr>
          <w:p w14:paraId="256298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无明显病虫危害，有制定年度消杀方案、药品管理制度及消杀制度。病虫害发生率低于5%；药剂使用应符合环保要求，不使用高毒高异味农药</w:t>
            </w:r>
          </w:p>
        </w:tc>
        <w:tc>
          <w:tcPr>
            <w:tcW w:w="440" w:type="pct"/>
            <w:tcBorders>
              <w:top w:val="single" w:color="000000" w:sz="4" w:space="0"/>
              <w:left w:val="single" w:color="000000" w:sz="4" w:space="0"/>
              <w:bottom w:val="single" w:color="000000" w:sz="4" w:space="0"/>
              <w:right w:val="single" w:color="000000" w:sz="4" w:space="0"/>
            </w:tcBorders>
            <w:vAlign w:val="center"/>
          </w:tcPr>
          <w:p w14:paraId="6C2C51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3406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9F3D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40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412B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6D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44C65A3">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57E9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20</w:t>
            </w:r>
          </w:p>
        </w:tc>
        <w:tc>
          <w:tcPr>
            <w:tcW w:w="925" w:type="pct"/>
            <w:tcBorders>
              <w:top w:val="single" w:color="000000" w:sz="4" w:space="0"/>
              <w:left w:val="single" w:color="000000" w:sz="4" w:space="0"/>
              <w:bottom w:val="single" w:color="000000" w:sz="4" w:space="0"/>
              <w:right w:val="single" w:color="000000" w:sz="4" w:space="0"/>
            </w:tcBorders>
            <w:vAlign w:val="center"/>
          </w:tcPr>
          <w:p w14:paraId="50F202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加固扶正发生倒伏的树木（在灾害天气发布预警时能及时对树木进行加固等应急处理），主要道路大乔木有树木标识牌。有灌草分界沟；绿地无停车、晾晒衣物、堆放杂物等现象。乔木无明显枯枝坠落、倒伏、枯朽折断风险；抗风性差和栽植3年内的乔木有必要的支撑防护措施</w:t>
            </w:r>
          </w:p>
        </w:tc>
        <w:tc>
          <w:tcPr>
            <w:tcW w:w="440" w:type="pct"/>
            <w:tcBorders>
              <w:top w:val="single" w:color="000000" w:sz="4" w:space="0"/>
              <w:left w:val="single" w:color="000000" w:sz="4" w:space="0"/>
              <w:bottom w:val="single" w:color="000000" w:sz="4" w:space="0"/>
              <w:right w:val="single" w:color="000000" w:sz="4" w:space="0"/>
            </w:tcBorders>
            <w:vAlign w:val="center"/>
          </w:tcPr>
          <w:p w14:paraId="5139A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1F10E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9E60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36A1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E6F0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A9C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B920634">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A29F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员工表现</w:t>
            </w:r>
          </w:p>
        </w:tc>
      </w:tr>
      <w:tr w14:paraId="69AD967B">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33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21</w:t>
            </w:r>
          </w:p>
        </w:tc>
        <w:tc>
          <w:tcPr>
            <w:tcW w:w="925" w:type="pct"/>
            <w:tcBorders>
              <w:top w:val="single" w:color="000000" w:sz="4" w:space="0"/>
              <w:left w:val="single" w:color="000000" w:sz="4" w:space="0"/>
              <w:bottom w:val="single" w:color="000000" w:sz="4" w:space="0"/>
              <w:right w:val="single" w:color="000000" w:sz="4" w:space="0"/>
            </w:tcBorders>
            <w:vAlign w:val="center"/>
          </w:tcPr>
          <w:p w14:paraId="1B480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工作时间不准干私活；若保洁员被投诉工作不到位的，经查属实</w:t>
            </w:r>
          </w:p>
        </w:tc>
        <w:tc>
          <w:tcPr>
            <w:tcW w:w="440" w:type="pct"/>
            <w:tcBorders>
              <w:top w:val="single" w:color="000000" w:sz="4" w:space="0"/>
              <w:left w:val="single" w:color="000000" w:sz="4" w:space="0"/>
              <w:bottom w:val="single" w:color="000000" w:sz="4" w:space="0"/>
              <w:right w:val="single" w:color="000000" w:sz="4" w:space="0"/>
            </w:tcBorders>
            <w:vAlign w:val="center"/>
          </w:tcPr>
          <w:p w14:paraId="4952F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1A37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AF8C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7ABA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A69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2903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8D9851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14B6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22</w:t>
            </w:r>
          </w:p>
        </w:tc>
        <w:tc>
          <w:tcPr>
            <w:tcW w:w="925" w:type="pct"/>
            <w:tcBorders>
              <w:top w:val="single" w:color="000000" w:sz="4" w:space="0"/>
              <w:left w:val="single" w:color="000000" w:sz="4" w:space="0"/>
              <w:bottom w:val="single" w:color="000000" w:sz="4" w:space="0"/>
              <w:right w:val="single" w:color="000000" w:sz="4" w:space="0"/>
            </w:tcBorders>
            <w:vAlign w:val="center"/>
          </w:tcPr>
          <w:p w14:paraId="01995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人员被投诉偷拿物品，情节轻者</w:t>
            </w:r>
          </w:p>
        </w:tc>
        <w:tc>
          <w:tcPr>
            <w:tcW w:w="440" w:type="pct"/>
            <w:tcBorders>
              <w:top w:val="single" w:color="000000" w:sz="4" w:space="0"/>
              <w:left w:val="single" w:color="000000" w:sz="4" w:space="0"/>
              <w:bottom w:val="single" w:color="000000" w:sz="4" w:space="0"/>
              <w:right w:val="single" w:color="000000" w:sz="4" w:space="0"/>
            </w:tcBorders>
            <w:vAlign w:val="center"/>
          </w:tcPr>
          <w:p w14:paraId="3A43F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4BF6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B829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EF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62F8A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84F5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15B1C3C">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298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23</w:t>
            </w:r>
          </w:p>
        </w:tc>
        <w:tc>
          <w:tcPr>
            <w:tcW w:w="925" w:type="pct"/>
            <w:tcBorders>
              <w:top w:val="single" w:color="000000" w:sz="4" w:space="0"/>
              <w:left w:val="single" w:color="000000" w:sz="4" w:space="0"/>
              <w:bottom w:val="single" w:color="000000" w:sz="4" w:space="0"/>
              <w:right w:val="single" w:color="000000" w:sz="4" w:space="0"/>
            </w:tcBorders>
            <w:vAlign w:val="center"/>
          </w:tcPr>
          <w:p w14:paraId="16D80D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发现有人为践踏、攀折公共区域树木花草，污染水池的行为，未予以制止或经他人告知后未及时汇报。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4B8886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DB86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797A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289B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AE33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9F04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F80DA9">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D0D8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24</w:t>
            </w:r>
          </w:p>
        </w:tc>
        <w:tc>
          <w:tcPr>
            <w:tcW w:w="925" w:type="pct"/>
            <w:tcBorders>
              <w:top w:val="single" w:color="000000" w:sz="4" w:space="0"/>
              <w:left w:val="single" w:color="000000" w:sz="4" w:space="0"/>
              <w:bottom w:val="single" w:color="000000" w:sz="4" w:space="0"/>
              <w:right w:val="single" w:color="000000" w:sz="4" w:space="0"/>
            </w:tcBorders>
            <w:vAlign w:val="center"/>
          </w:tcPr>
          <w:p w14:paraId="54020E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发现公共设施损坏或有异常情况，没在第一时间汇报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61733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210E6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BBF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8FD7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95AE9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8403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2C16819">
        <w:tblPrEx>
          <w:tblCellMar>
            <w:top w:w="0" w:type="dxa"/>
            <w:left w:w="108" w:type="dxa"/>
            <w:bottom w:w="0" w:type="dxa"/>
            <w:right w:w="108" w:type="dxa"/>
          </w:tblCellMar>
        </w:tblPrEx>
        <w:trPr>
          <w:trHeight w:val="2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A62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25</w:t>
            </w:r>
          </w:p>
        </w:tc>
        <w:tc>
          <w:tcPr>
            <w:tcW w:w="925" w:type="pct"/>
            <w:tcBorders>
              <w:top w:val="single" w:color="000000" w:sz="4" w:space="0"/>
              <w:left w:val="single" w:color="000000" w:sz="4" w:space="0"/>
              <w:bottom w:val="single" w:color="000000" w:sz="4" w:space="0"/>
              <w:right w:val="single" w:color="000000" w:sz="4" w:space="0"/>
            </w:tcBorders>
            <w:vAlign w:val="center"/>
          </w:tcPr>
          <w:p w14:paraId="2230C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在重大活动或检查中的表现</w:t>
            </w:r>
          </w:p>
        </w:tc>
        <w:tc>
          <w:tcPr>
            <w:tcW w:w="440" w:type="pct"/>
            <w:tcBorders>
              <w:top w:val="single" w:color="000000" w:sz="4" w:space="0"/>
              <w:left w:val="single" w:color="000000" w:sz="4" w:space="0"/>
              <w:bottom w:val="single" w:color="000000" w:sz="4" w:space="0"/>
              <w:right w:val="single" w:color="000000" w:sz="4" w:space="0"/>
            </w:tcBorders>
            <w:vAlign w:val="center"/>
          </w:tcPr>
          <w:p w14:paraId="2E67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E9B3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241F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655B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该项为附加分，无活动不评分，被批评扣5分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5C5B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8CA6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22AE326">
        <w:tblPrEx>
          <w:tblCellMar>
            <w:top w:w="0" w:type="dxa"/>
            <w:left w:w="108" w:type="dxa"/>
            <w:bottom w:w="0" w:type="dxa"/>
            <w:right w:w="108" w:type="dxa"/>
          </w:tblCellMar>
        </w:tblPrEx>
        <w:trPr>
          <w:trHeight w:val="285" w:hRule="atLeast"/>
          <w:jc w:val="center"/>
        </w:trPr>
        <w:tc>
          <w:tcPr>
            <w:tcW w:w="1804" w:type="pct"/>
            <w:gridSpan w:val="3"/>
            <w:tcBorders>
              <w:top w:val="single" w:color="000000" w:sz="4" w:space="0"/>
              <w:left w:val="single" w:color="000000" w:sz="4" w:space="0"/>
              <w:bottom w:val="single" w:color="000000" w:sz="4" w:space="0"/>
              <w:right w:val="single" w:color="000000" w:sz="4" w:space="0"/>
            </w:tcBorders>
            <w:vAlign w:val="center"/>
          </w:tcPr>
          <w:p w14:paraId="4DE01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总  分  值  100分</w:t>
            </w:r>
          </w:p>
        </w:tc>
        <w:tc>
          <w:tcPr>
            <w:tcW w:w="3195" w:type="pct"/>
            <w:gridSpan w:val="5"/>
            <w:tcBorders>
              <w:top w:val="single" w:color="000000" w:sz="4" w:space="0"/>
              <w:left w:val="single" w:color="000000" w:sz="4" w:space="0"/>
              <w:bottom w:val="single" w:color="000000" w:sz="4" w:space="0"/>
              <w:right w:val="single" w:color="000000" w:sz="4" w:space="0"/>
            </w:tcBorders>
            <w:vAlign w:val="center"/>
          </w:tcPr>
          <w:p w14:paraId="31962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bl>
    <w:p w14:paraId="03ECDBF5">
      <w:pPr>
        <w:spacing w:line="240" w:lineRule="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若存在不涉及考核项，则按其实际服务考核项的分数比例换算最终得分。</w:t>
      </w:r>
      <w:r>
        <w:rPr>
          <w:rFonts w:hint="eastAsia" w:ascii="楷体_GB2312" w:eastAsia="楷体_GB2312"/>
          <w:color w:val="auto"/>
          <w:sz w:val="24"/>
          <w:highlight w:val="none"/>
          <w:lang w:val="en-US" w:eastAsia="zh-CN"/>
        </w:rPr>
        <w:tab/>
      </w:r>
    </w:p>
    <w:p w14:paraId="462D88A8">
      <w:pPr>
        <w:spacing w:line="240" w:lineRule="auto"/>
        <w:rPr>
          <w:rFonts w:hint="eastAsia" w:ascii="楷体_GB2312" w:eastAsia="楷体_GB2312"/>
          <w:color w:val="auto"/>
          <w:sz w:val="24"/>
          <w:highlight w:val="none"/>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3"/>
        <w:gridCol w:w="1813"/>
      </w:tblGrid>
      <w:tr w14:paraId="137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2" w:type="dxa"/>
            <w:vAlign w:val="center"/>
          </w:tcPr>
          <w:p w14:paraId="35C0986F">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项目名称</w:t>
            </w:r>
          </w:p>
        </w:tc>
        <w:tc>
          <w:tcPr>
            <w:tcW w:w="3984" w:type="dxa"/>
            <w:gridSpan w:val="2"/>
            <w:shd w:val="clear" w:color="auto" w:fill="auto"/>
            <w:vAlign w:val="center"/>
          </w:tcPr>
          <w:p w14:paraId="1E15CB87">
            <w:pPr>
              <w:spacing w:line="240" w:lineRule="auto"/>
              <w:jc w:val="center"/>
              <w:rPr>
                <w:rFonts w:hint="default" w:ascii="楷体_GB2312" w:eastAsia="楷体_GB2312"/>
                <w:color w:val="auto"/>
                <w:sz w:val="24"/>
                <w:highlight w:val="none"/>
                <w:lang w:val="en-US" w:eastAsia="zh-CN"/>
              </w:rPr>
            </w:pPr>
          </w:p>
          <w:p w14:paraId="71C348EA">
            <w:pPr>
              <w:spacing w:line="240" w:lineRule="auto"/>
              <w:jc w:val="center"/>
              <w:rPr>
                <w:rFonts w:hint="default" w:ascii="楷体_GB2312" w:eastAsia="楷体_GB2312"/>
                <w:color w:val="auto"/>
                <w:sz w:val="24"/>
                <w:highlight w:val="none"/>
                <w:lang w:val="en-US" w:eastAsia="zh-CN"/>
              </w:rPr>
            </w:pPr>
          </w:p>
        </w:tc>
        <w:tc>
          <w:tcPr>
            <w:tcW w:w="1993" w:type="dxa"/>
            <w:shd w:val="clear" w:color="auto" w:fill="auto"/>
            <w:vAlign w:val="center"/>
          </w:tcPr>
          <w:p w14:paraId="537F3948">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考核时间</w:t>
            </w:r>
          </w:p>
        </w:tc>
        <w:tc>
          <w:tcPr>
            <w:tcW w:w="1993" w:type="dxa"/>
            <w:shd w:val="clear" w:color="auto" w:fill="auto"/>
            <w:vAlign w:val="center"/>
          </w:tcPr>
          <w:p w14:paraId="22F7246F">
            <w:pPr>
              <w:spacing w:line="240" w:lineRule="auto"/>
              <w:jc w:val="center"/>
              <w:rPr>
                <w:rFonts w:hint="eastAsia" w:ascii="楷体_GB2312" w:eastAsia="楷体_GB2312"/>
                <w:color w:val="auto"/>
                <w:sz w:val="24"/>
                <w:highlight w:val="none"/>
                <w:lang w:val="en-US" w:eastAsia="zh-CN"/>
              </w:rPr>
            </w:pPr>
          </w:p>
        </w:tc>
      </w:tr>
      <w:tr w14:paraId="506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auto"/>
            <w:vAlign w:val="center"/>
          </w:tcPr>
          <w:p w14:paraId="09468A91">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最终得分</w:t>
            </w:r>
          </w:p>
        </w:tc>
        <w:tc>
          <w:tcPr>
            <w:tcW w:w="1992" w:type="dxa"/>
            <w:shd w:val="clear" w:color="auto" w:fill="auto"/>
            <w:vAlign w:val="center"/>
          </w:tcPr>
          <w:p w14:paraId="4C73DDB2">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考评人</w:t>
            </w:r>
          </w:p>
        </w:tc>
        <w:tc>
          <w:tcPr>
            <w:tcW w:w="1992" w:type="dxa"/>
            <w:shd w:val="clear" w:color="auto" w:fill="auto"/>
            <w:vAlign w:val="center"/>
          </w:tcPr>
          <w:p w14:paraId="3AEF6B87">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项目主任确认</w:t>
            </w:r>
          </w:p>
        </w:tc>
        <w:tc>
          <w:tcPr>
            <w:tcW w:w="1993" w:type="dxa"/>
            <w:shd w:val="clear" w:color="auto" w:fill="auto"/>
            <w:vAlign w:val="center"/>
          </w:tcPr>
          <w:p w14:paraId="3577FD6E">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片区确认</w:t>
            </w:r>
          </w:p>
        </w:tc>
        <w:tc>
          <w:tcPr>
            <w:tcW w:w="1993" w:type="dxa"/>
            <w:shd w:val="clear" w:color="auto" w:fill="auto"/>
            <w:vAlign w:val="center"/>
          </w:tcPr>
          <w:p w14:paraId="56B6994C">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乙方确认</w:t>
            </w:r>
          </w:p>
        </w:tc>
      </w:tr>
      <w:tr w14:paraId="48C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149F142">
            <w:pPr>
              <w:spacing w:line="240" w:lineRule="auto"/>
              <w:jc w:val="center"/>
              <w:rPr>
                <w:rFonts w:hint="eastAsia" w:ascii="楷体_GB2312" w:eastAsia="楷体_GB2312"/>
                <w:color w:val="auto"/>
                <w:sz w:val="24"/>
                <w:highlight w:val="none"/>
                <w:lang w:val="en-US" w:eastAsia="zh-CN"/>
              </w:rPr>
            </w:pPr>
          </w:p>
          <w:p w14:paraId="540B21B4">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2CB17465">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12BD0244">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61417779">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17E96772">
            <w:pPr>
              <w:spacing w:line="240" w:lineRule="auto"/>
              <w:jc w:val="center"/>
              <w:rPr>
                <w:rFonts w:hint="eastAsia" w:ascii="楷体_GB2312" w:eastAsia="楷体_GB2312"/>
                <w:color w:val="auto"/>
                <w:sz w:val="24"/>
                <w:highlight w:val="none"/>
                <w:lang w:val="en-US" w:eastAsia="zh-CN"/>
              </w:rPr>
            </w:pPr>
          </w:p>
        </w:tc>
      </w:tr>
    </w:tbl>
    <w:p w14:paraId="4661AC96">
      <w:pPr>
        <w:rPr>
          <w:rFonts w:hint="eastAsia"/>
          <w:color w:val="auto"/>
          <w:highlight w:val="none"/>
          <w:lang w:val="en-US" w:eastAsia="zh-CN"/>
        </w:rPr>
      </w:pPr>
    </w:p>
    <w:p w14:paraId="208768C9">
      <w:pPr>
        <w:rPr>
          <w:rFonts w:ascii="楷体" w:hAnsi="楷体" w:eastAsia="楷体" w:cs="楷体_GB2312"/>
          <w:color w:val="auto"/>
          <w:sz w:val="24"/>
          <w:highlight w:val="none"/>
        </w:rPr>
      </w:pPr>
    </w:p>
    <w:p w14:paraId="6D41F354">
      <w:pPr>
        <w:rPr>
          <w:rFonts w:ascii="楷体" w:hAnsi="楷体" w:eastAsia="楷体" w:cs="楷体_GB2312"/>
          <w:color w:val="auto"/>
          <w:sz w:val="24"/>
          <w:highlight w:val="none"/>
        </w:rPr>
      </w:pPr>
    </w:p>
    <w:p w14:paraId="100F6095">
      <w:pPr>
        <w:rPr>
          <w:rFonts w:ascii="楷体" w:hAnsi="楷体" w:eastAsia="楷体" w:cs="楷体_GB2312"/>
          <w:color w:val="auto"/>
          <w:sz w:val="24"/>
          <w:highlight w:val="none"/>
        </w:rPr>
      </w:pPr>
    </w:p>
    <w:p w14:paraId="2496595C">
      <w:pPr>
        <w:spacing w:line="400" w:lineRule="exact"/>
        <w:jc w:val="center"/>
        <w:rPr>
          <w:rFonts w:ascii="楷体" w:hAnsi="楷体" w:eastAsia="楷体" w:cs="楷体_GB2312"/>
          <w:color w:val="auto"/>
          <w:sz w:val="24"/>
          <w:highlight w:val="none"/>
        </w:rPr>
      </w:pPr>
      <w:r>
        <w:rPr>
          <w:rFonts w:hint="eastAsia" w:ascii="楷体" w:hAnsi="楷体" w:eastAsia="楷体" w:cs="楷体_GB2312"/>
          <w:b/>
          <w:bCs/>
          <w:color w:val="auto"/>
          <w:sz w:val="28"/>
          <w:szCs w:val="28"/>
          <w:highlight w:val="none"/>
        </w:rPr>
        <w:t>员工岗位物料配备表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426"/>
        <w:gridCol w:w="3795"/>
      </w:tblGrid>
      <w:tr w14:paraId="724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 w:type="pct"/>
            <w:vAlign w:val="center"/>
          </w:tcPr>
          <w:p w14:paraId="00FB41A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序号</w:t>
            </w:r>
          </w:p>
        </w:tc>
        <w:tc>
          <w:tcPr>
            <w:tcW w:w="2443" w:type="pct"/>
            <w:vAlign w:val="center"/>
          </w:tcPr>
          <w:p w14:paraId="09453A4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物品明细</w:t>
            </w:r>
          </w:p>
        </w:tc>
        <w:tc>
          <w:tcPr>
            <w:tcW w:w="2095" w:type="pct"/>
            <w:vAlign w:val="center"/>
          </w:tcPr>
          <w:p w14:paraId="6AB8FD0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备注</w:t>
            </w:r>
          </w:p>
        </w:tc>
      </w:tr>
      <w:tr w14:paraId="19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61" w:type="pct"/>
            <w:vAlign w:val="center"/>
          </w:tcPr>
          <w:p w14:paraId="3E7FB4F4">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w:t>
            </w:r>
          </w:p>
        </w:tc>
        <w:tc>
          <w:tcPr>
            <w:tcW w:w="2443" w:type="pct"/>
            <w:vAlign w:val="center"/>
          </w:tcPr>
          <w:p w14:paraId="735CDF73">
            <w:pPr>
              <w:spacing w:line="400" w:lineRule="exact"/>
              <w:jc w:val="center"/>
              <w:rPr>
                <w:rFonts w:ascii="楷体" w:hAnsi="楷体" w:eastAsia="楷体" w:cs="楷体_GB2312"/>
                <w:color w:val="auto"/>
                <w:sz w:val="24"/>
                <w:highlight w:val="none"/>
              </w:rPr>
            </w:pPr>
          </w:p>
        </w:tc>
        <w:tc>
          <w:tcPr>
            <w:tcW w:w="2095" w:type="pct"/>
            <w:vAlign w:val="center"/>
          </w:tcPr>
          <w:p w14:paraId="7C83B37F">
            <w:pPr>
              <w:spacing w:line="400" w:lineRule="exact"/>
              <w:jc w:val="center"/>
              <w:rPr>
                <w:rFonts w:ascii="楷体" w:hAnsi="楷体" w:eastAsia="楷体" w:cs="楷体_GB2312"/>
                <w:color w:val="auto"/>
                <w:sz w:val="24"/>
                <w:highlight w:val="none"/>
              </w:rPr>
            </w:pPr>
          </w:p>
        </w:tc>
      </w:tr>
      <w:tr w14:paraId="565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61" w:type="pct"/>
            <w:vAlign w:val="center"/>
          </w:tcPr>
          <w:p w14:paraId="7198550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w:t>
            </w:r>
          </w:p>
        </w:tc>
        <w:tc>
          <w:tcPr>
            <w:tcW w:w="2443" w:type="pct"/>
            <w:vAlign w:val="center"/>
          </w:tcPr>
          <w:p w14:paraId="09BA1056">
            <w:pPr>
              <w:spacing w:line="400" w:lineRule="exact"/>
              <w:jc w:val="center"/>
              <w:rPr>
                <w:rFonts w:ascii="楷体" w:hAnsi="楷体" w:eastAsia="楷体" w:cs="楷体_GB2312"/>
                <w:color w:val="auto"/>
                <w:sz w:val="24"/>
                <w:highlight w:val="none"/>
              </w:rPr>
            </w:pPr>
          </w:p>
        </w:tc>
        <w:tc>
          <w:tcPr>
            <w:tcW w:w="2095" w:type="pct"/>
            <w:vAlign w:val="center"/>
          </w:tcPr>
          <w:p w14:paraId="5C2BA791">
            <w:pPr>
              <w:spacing w:line="400" w:lineRule="exact"/>
              <w:jc w:val="center"/>
              <w:rPr>
                <w:rFonts w:ascii="楷体" w:hAnsi="楷体" w:eastAsia="楷体" w:cs="楷体_GB2312"/>
                <w:color w:val="auto"/>
                <w:sz w:val="24"/>
                <w:highlight w:val="none"/>
              </w:rPr>
            </w:pPr>
          </w:p>
        </w:tc>
      </w:tr>
      <w:tr w14:paraId="78B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1" w:type="pct"/>
            <w:vAlign w:val="center"/>
          </w:tcPr>
          <w:p w14:paraId="2895BD0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3</w:t>
            </w:r>
          </w:p>
        </w:tc>
        <w:tc>
          <w:tcPr>
            <w:tcW w:w="2443" w:type="pct"/>
            <w:vAlign w:val="center"/>
          </w:tcPr>
          <w:p w14:paraId="25FEAAFB">
            <w:pPr>
              <w:spacing w:line="400" w:lineRule="exact"/>
              <w:jc w:val="center"/>
              <w:rPr>
                <w:rFonts w:ascii="楷体" w:hAnsi="楷体" w:eastAsia="楷体" w:cs="楷体_GB2312"/>
                <w:color w:val="auto"/>
                <w:sz w:val="24"/>
                <w:highlight w:val="none"/>
              </w:rPr>
            </w:pPr>
          </w:p>
        </w:tc>
        <w:tc>
          <w:tcPr>
            <w:tcW w:w="2095" w:type="pct"/>
            <w:vAlign w:val="center"/>
          </w:tcPr>
          <w:p w14:paraId="4F945CA4">
            <w:pPr>
              <w:spacing w:line="400" w:lineRule="exact"/>
              <w:jc w:val="center"/>
              <w:rPr>
                <w:rFonts w:ascii="楷体" w:hAnsi="楷体" w:eastAsia="楷体" w:cs="楷体_GB2312"/>
                <w:color w:val="auto"/>
                <w:sz w:val="24"/>
                <w:highlight w:val="none"/>
              </w:rPr>
            </w:pPr>
          </w:p>
        </w:tc>
      </w:tr>
      <w:tr w14:paraId="187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61" w:type="pct"/>
            <w:vAlign w:val="center"/>
          </w:tcPr>
          <w:p w14:paraId="1BDABAF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4</w:t>
            </w:r>
          </w:p>
        </w:tc>
        <w:tc>
          <w:tcPr>
            <w:tcW w:w="2443" w:type="pct"/>
            <w:vAlign w:val="center"/>
          </w:tcPr>
          <w:p w14:paraId="3E27E5A4">
            <w:pPr>
              <w:spacing w:line="400" w:lineRule="exact"/>
              <w:jc w:val="center"/>
              <w:rPr>
                <w:rFonts w:ascii="楷体" w:hAnsi="楷体" w:eastAsia="楷体" w:cs="楷体_GB2312"/>
                <w:color w:val="auto"/>
                <w:sz w:val="24"/>
                <w:highlight w:val="none"/>
              </w:rPr>
            </w:pPr>
          </w:p>
        </w:tc>
        <w:tc>
          <w:tcPr>
            <w:tcW w:w="2095" w:type="pct"/>
            <w:vAlign w:val="center"/>
          </w:tcPr>
          <w:p w14:paraId="21FE1962">
            <w:pPr>
              <w:spacing w:line="400" w:lineRule="exact"/>
              <w:jc w:val="center"/>
              <w:rPr>
                <w:rFonts w:ascii="楷体" w:hAnsi="楷体" w:eastAsia="楷体" w:cs="楷体_GB2312"/>
                <w:color w:val="auto"/>
                <w:sz w:val="24"/>
                <w:highlight w:val="none"/>
              </w:rPr>
            </w:pPr>
          </w:p>
        </w:tc>
      </w:tr>
      <w:tr w14:paraId="7A6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1" w:type="pct"/>
            <w:vAlign w:val="center"/>
          </w:tcPr>
          <w:p w14:paraId="2BB791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5</w:t>
            </w:r>
          </w:p>
        </w:tc>
        <w:tc>
          <w:tcPr>
            <w:tcW w:w="2443" w:type="pct"/>
            <w:vAlign w:val="center"/>
          </w:tcPr>
          <w:p w14:paraId="303737A4">
            <w:pPr>
              <w:spacing w:line="400" w:lineRule="exact"/>
              <w:jc w:val="center"/>
              <w:rPr>
                <w:rFonts w:ascii="楷体" w:hAnsi="楷体" w:eastAsia="楷体" w:cs="楷体_GB2312"/>
                <w:color w:val="auto"/>
                <w:sz w:val="24"/>
                <w:highlight w:val="none"/>
              </w:rPr>
            </w:pPr>
          </w:p>
        </w:tc>
        <w:tc>
          <w:tcPr>
            <w:tcW w:w="2095" w:type="pct"/>
            <w:vAlign w:val="center"/>
          </w:tcPr>
          <w:p w14:paraId="43F0CC41">
            <w:pPr>
              <w:spacing w:line="400" w:lineRule="exact"/>
              <w:jc w:val="center"/>
              <w:rPr>
                <w:rFonts w:ascii="楷体" w:hAnsi="楷体" w:eastAsia="楷体" w:cs="楷体_GB2312"/>
                <w:color w:val="auto"/>
                <w:sz w:val="24"/>
                <w:highlight w:val="none"/>
              </w:rPr>
            </w:pPr>
          </w:p>
        </w:tc>
      </w:tr>
      <w:tr w14:paraId="7EB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vAlign w:val="center"/>
          </w:tcPr>
          <w:p w14:paraId="3C5F8EE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6</w:t>
            </w:r>
          </w:p>
        </w:tc>
        <w:tc>
          <w:tcPr>
            <w:tcW w:w="2443" w:type="pct"/>
            <w:vAlign w:val="center"/>
          </w:tcPr>
          <w:p w14:paraId="025B5182">
            <w:pPr>
              <w:spacing w:line="400" w:lineRule="exact"/>
              <w:jc w:val="center"/>
              <w:rPr>
                <w:rFonts w:ascii="楷体" w:hAnsi="楷体" w:eastAsia="楷体" w:cs="楷体_GB2312"/>
                <w:color w:val="auto"/>
                <w:sz w:val="24"/>
                <w:highlight w:val="none"/>
              </w:rPr>
            </w:pPr>
          </w:p>
        </w:tc>
        <w:tc>
          <w:tcPr>
            <w:tcW w:w="2095" w:type="pct"/>
            <w:vAlign w:val="center"/>
          </w:tcPr>
          <w:p w14:paraId="507FA7AA">
            <w:pPr>
              <w:spacing w:line="400" w:lineRule="exact"/>
              <w:jc w:val="center"/>
              <w:rPr>
                <w:rFonts w:ascii="楷体" w:hAnsi="楷体" w:eastAsia="楷体" w:cs="楷体_GB2312"/>
                <w:color w:val="auto"/>
                <w:sz w:val="24"/>
                <w:highlight w:val="none"/>
              </w:rPr>
            </w:pPr>
          </w:p>
        </w:tc>
      </w:tr>
      <w:tr w14:paraId="2B0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1" w:type="pct"/>
            <w:vAlign w:val="center"/>
          </w:tcPr>
          <w:p w14:paraId="3162615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7</w:t>
            </w:r>
          </w:p>
        </w:tc>
        <w:tc>
          <w:tcPr>
            <w:tcW w:w="2443" w:type="pct"/>
            <w:vAlign w:val="center"/>
          </w:tcPr>
          <w:p w14:paraId="6E33CAB1">
            <w:pPr>
              <w:spacing w:line="400" w:lineRule="exact"/>
              <w:jc w:val="center"/>
              <w:rPr>
                <w:rFonts w:ascii="楷体" w:hAnsi="楷体" w:eastAsia="楷体" w:cs="楷体_GB2312"/>
                <w:color w:val="auto"/>
                <w:sz w:val="24"/>
                <w:highlight w:val="none"/>
              </w:rPr>
            </w:pPr>
          </w:p>
        </w:tc>
        <w:tc>
          <w:tcPr>
            <w:tcW w:w="2095" w:type="pct"/>
            <w:vAlign w:val="center"/>
          </w:tcPr>
          <w:p w14:paraId="0E3CC2DE">
            <w:pPr>
              <w:spacing w:line="400" w:lineRule="exact"/>
              <w:jc w:val="center"/>
              <w:rPr>
                <w:rFonts w:ascii="楷体" w:hAnsi="楷体" w:eastAsia="楷体" w:cs="楷体_GB2312"/>
                <w:color w:val="auto"/>
                <w:sz w:val="24"/>
                <w:highlight w:val="none"/>
              </w:rPr>
            </w:pPr>
          </w:p>
        </w:tc>
      </w:tr>
      <w:tr w14:paraId="283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1" w:type="pct"/>
            <w:vAlign w:val="center"/>
          </w:tcPr>
          <w:p w14:paraId="54F4681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8</w:t>
            </w:r>
          </w:p>
        </w:tc>
        <w:tc>
          <w:tcPr>
            <w:tcW w:w="2443" w:type="pct"/>
            <w:vAlign w:val="center"/>
          </w:tcPr>
          <w:p w14:paraId="02B74BD3">
            <w:pPr>
              <w:spacing w:line="400" w:lineRule="exact"/>
              <w:jc w:val="center"/>
              <w:rPr>
                <w:rFonts w:ascii="楷体" w:hAnsi="楷体" w:eastAsia="楷体" w:cs="楷体_GB2312"/>
                <w:color w:val="auto"/>
                <w:sz w:val="24"/>
                <w:highlight w:val="none"/>
              </w:rPr>
            </w:pPr>
          </w:p>
        </w:tc>
        <w:tc>
          <w:tcPr>
            <w:tcW w:w="2095" w:type="pct"/>
            <w:vAlign w:val="center"/>
          </w:tcPr>
          <w:p w14:paraId="2E94F7D6">
            <w:pPr>
              <w:spacing w:line="400" w:lineRule="exact"/>
              <w:jc w:val="center"/>
              <w:rPr>
                <w:rFonts w:ascii="楷体" w:hAnsi="楷体" w:eastAsia="楷体" w:cs="楷体_GB2312"/>
                <w:color w:val="auto"/>
                <w:sz w:val="24"/>
                <w:highlight w:val="none"/>
              </w:rPr>
            </w:pPr>
          </w:p>
        </w:tc>
      </w:tr>
      <w:tr w14:paraId="70F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02A2A7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9</w:t>
            </w:r>
          </w:p>
        </w:tc>
        <w:tc>
          <w:tcPr>
            <w:tcW w:w="2443" w:type="pct"/>
            <w:vAlign w:val="center"/>
          </w:tcPr>
          <w:p w14:paraId="456D38C9">
            <w:pPr>
              <w:spacing w:line="400" w:lineRule="exact"/>
              <w:jc w:val="center"/>
              <w:rPr>
                <w:rFonts w:ascii="楷体" w:hAnsi="楷体" w:eastAsia="楷体" w:cs="楷体_GB2312"/>
                <w:color w:val="auto"/>
                <w:sz w:val="24"/>
                <w:highlight w:val="none"/>
              </w:rPr>
            </w:pPr>
          </w:p>
        </w:tc>
        <w:tc>
          <w:tcPr>
            <w:tcW w:w="2095" w:type="pct"/>
            <w:vAlign w:val="center"/>
          </w:tcPr>
          <w:p w14:paraId="3052E292">
            <w:pPr>
              <w:spacing w:line="400" w:lineRule="exact"/>
              <w:jc w:val="center"/>
              <w:rPr>
                <w:rFonts w:ascii="楷体" w:hAnsi="楷体" w:eastAsia="楷体" w:cs="楷体_GB2312"/>
                <w:color w:val="auto"/>
                <w:sz w:val="24"/>
                <w:highlight w:val="none"/>
              </w:rPr>
            </w:pPr>
          </w:p>
        </w:tc>
      </w:tr>
      <w:tr w14:paraId="459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1" w:type="pct"/>
            <w:vAlign w:val="center"/>
          </w:tcPr>
          <w:p w14:paraId="7D7F24C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10</w:t>
            </w:r>
          </w:p>
        </w:tc>
        <w:tc>
          <w:tcPr>
            <w:tcW w:w="2443" w:type="pct"/>
            <w:vAlign w:val="center"/>
          </w:tcPr>
          <w:p w14:paraId="7A9F4865">
            <w:pPr>
              <w:spacing w:line="400" w:lineRule="exact"/>
              <w:jc w:val="center"/>
              <w:rPr>
                <w:rFonts w:ascii="楷体" w:hAnsi="楷体" w:eastAsia="楷体" w:cs="楷体_GB2312"/>
                <w:color w:val="auto"/>
                <w:sz w:val="24"/>
                <w:highlight w:val="none"/>
              </w:rPr>
            </w:pPr>
          </w:p>
        </w:tc>
        <w:tc>
          <w:tcPr>
            <w:tcW w:w="2095" w:type="pct"/>
            <w:vAlign w:val="center"/>
          </w:tcPr>
          <w:p w14:paraId="7681AD3E">
            <w:pPr>
              <w:spacing w:line="400" w:lineRule="exact"/>
              <w:jc w:val="center"/>
              <w:rPr>
                <w:rFonts w:ascii="楷体" w:hAnsi="楷体" w:eastAsia="楷体" w:cs="楷体_GB2312"/>
                <w:color w:val="auto"/>
                <w:sz w:val="24"/>
                <w:highlight w:val="none"/>
              </w:rPr>
            </w:pPr>
          </w:p>
        </w:tc>
      </w:tr>
      <w:tr w14:paraId="66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1" w:type="pct"/>
            <w:vAlign w:val="center"/>
          </w:tcPr>
          <w:p w14:paraId="6E4726C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11</w:t>
            </w:r>
          </w:p>
        </w:tc>
        <w:tc>
          <w:tcPr>
            <w:tcW w:w="2443" w:type="pct"/>
            <w:vAlign w:val="center"/>
          </w:tcPr>
          <w:p w14:paraId="49E75ED8">
            <w:pPr>
              <w:spacing w:line="400" w:lineRule="exact"/>
              <w:jc w:val="center"/>
              <w:rPr>
                <w:rFonts w:ascii="楷体" w:hAnsi="楷体" w:eastAsia="楷体" w:cs="楷体_GB2312"/>
                <w:color w:val="auto"/>
                <w:sz w:val="24"/>
                <w:highlight w:val="none"/>
              </w:rPr>
            </w:pPr>
          </w:p>
        </w:tc>
        <w:tc>
          <w:tcPr>
            <w:tcW w:w="2095" w:type="pct"/>
            <w:vAlign w:val="center"/>
          </w:tcPr>
          <w:p w14:paraId="5F7FA9AE">
            <w:pPr>
              <w:spacing w:line="400" w:lineRule="exact"/>
              <w:jc w:val="center"/>
              <w:rPr>
                <w:rFonts w:ascii="楷体" w:hAnsi="楷体" w:eastAsia="楷体" w:cs="楷体_GB2312"/>
                <w:color w:val="auto"/>
                <w:sz w:val="24"/>
                <w:highlight w:val="none"/>
              </w:rPr>
            </w:pPr>
          </w:p>
        </w:tc>
      </w:tr>
      <w:tr w14:paraId="7AE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Align w:val="center"/>
          </w:tcPr>
          <w:p w14:paraId="398CDA3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12</w:t>
            </w:r>
          </w:p>
        </w:tc>
        <w:tc>
          <w:tcPr>
            <w:tcW w:w="2443" w:type="pct"/>
            <w:vAlign w:val="center"/>
          </w:tcPr>
          <w:p w14:paraId="7E6901F2">
            <w:pPr>
              <w:spacing w:line="400" w:lineRule="exact"/>
              <w:jc w:val="center"/>
              <w:rPr>
                <w:rFonts w:ascii="楷体" w:hAnsi="楷体" w:eastAsia="楷体" w:cs="楷体_GB2312"/>
                <w:color w:val="auto"/>
                <w:sz w:val="24"/>
                <w:highlight w:val="none"/>
              </w:rPr>
            </w:pPr>
          </w:p>
        </w:tc>
        <w:tc>
          <w:tcPr>
            <w:tcW w:w="2095" w:type="pct"/>
            <w:vAlign w:val="center"/>
          </w:tcPr>
          <w:p w14:paraId="4EFF3897">
            <w:pPr>
              <w:spacing w:line="400" w:lineRule="exact"/>
              <w:jc w:val="center"/>
              <w:rPr>
                <w:rFonts w:ascii="楷体" w:hAnsi="楷体" w:eastAsia="楷体" w:cs="楷体_GB2312"/>
                <w:color w:val="auto"/>
                <w:sz w:val="24"/>
                <w:highlight w:val="none"/>
              </w:rPr>
            </w:pPr>
          </w:p>
        </w:tc>
      </w:tr>
      <w:tr w14:paraId="27B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61" w:type="pct"/>
            <w:vAlign w:val="center"/>
          </w:tcPr>
          <w:p w14:paraId="715D60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13</w:t>
            </w:r>
          </w:p>
        </w:tc>
        <w:tc>
          <w:tcPr>
            <w:tcW w:w="2443" w:type="pct"/>
            <w:vAlign w:val="center"/>
          </w:tcPr>
          <w:p w14:paraId="68582C73">
            <w:pPr>
              <w:spacing w:line="400" w:lineRule="exact"/>
              <w:jc w:val="center"/>
              <w:rPr>
                <w:rFonts w:ascii="楷体" w:hAnsi="楷体" w:eastAsia="楷体" w:cs="楷体_GB2312"/>
                <w:color w:val="auto"/>
                <w:sz w:val="24"/>
                <w:highlight w:val="none"/>
              </w:rPr>
            </w:pPr>
          </w:p>
        </w:tc>
        <w:tc>
          <w:tcPr>
            <w:tcW w:w="2095" w:type="pct"/>
            <w:vAlign w:val="center"/>
          </w:tcPr>
          <w:p w14:paraId="71F88203">
            <w:pPr>
              <w:spacing w:line="400" w:lineRule="exact"/>
              <w:jc w:val="center"/>
              <w:rPr>
                <w:rFonts w:ascii="楷体" w:hAnsi="楷体" w:eastAsia="楷体" w:cs="楷体_GB2312"/>
                <w:color w:val="auto"/>
                <w:sz w:val="24"/>
                <w:highlight w:val="none"/>
              </w:rPr>
            </w:pPr>
          </w:p>
        </w:tc>
      </w:tr>
      <w:tr w14:paraId="124D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1" w:type="pct"/>
            <w:vAlign w:val="center"/>
          </w:tcPr>
          <w:p w14:paraId="141F5CD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14</w:t>
            </w:r>
          </w:p>
        </w:tc>
        <w:tc>
          <w:tcPr>
            <w:tcW w:w="2443" w:type="pct"/>
            <w:vAlign w:val="center"/>
          </w:tcPr>
          <w:p w14:paraId="2CABD2D5">
            <w:pPr>
              <w:spacing w:line="400" w:lineRule="exact"/>
              <w:jc w:val="center"/>
              <w:rPr>
                <w:rFonts w:ascii="楷体" w:hAnsi="楷体" w:eastAsia="楷体" w:cs="楷体_GB2312"/>
                <w:color w:val="auto"/>
                <w:sz w:val="24"/>
                <w:highlight w:val="none"/>
              </w:rPr>
            </w:pPr>
          </w:p>
        </w:tc>
        <w:tc>
          <w:tcPr>
            <w:tcW w:w="2095" w:type="pct"/>
            <w:vAlign w:val="center"/>
          </w:tcPr>
          <w:p w14:paraId="5EFCAA5D">
            <w:pPr>
              <w:spacing w:line="400" w:lineRule="exact"/>
              <w:jc w:val="center"/>
              <w:rPr>
                <w:rFonts w:ascii="楷体" w:hAnsi="楷体" w:eastAsia="楷体" w:cs="楷体_GB2312"/>
                <w:color w:val="auto"/>
                <w:sz w:val="24"/>
                <w:highlight w:val="none"/>
              </w:rPr>
            </w:pPr>
          </w:p>
        </w:tc>
      </w:tr>
      <w:tr w14:paraId="0A1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3794007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15</w:t>
            </w:r>
          </w:p>
        </w:tc>
        <w:tc>
          <w:tcPr>
            <w:tcW w:w="2443" w:type="pct"/>
            <w:vAlign w:val="center"/>
          </w:tcPr>
          <w:p w14:paraId="5CA4F50A">
            <w:pPr>
              <w:spacing w:line="400" w:lineRule="exact"/>
              <w:jc w:val="center"/>
              <w:rPr>
                <w:rFonts w:ascii="楷体" w:hAnsi="楷体" w:eastAsia="楷体" w:cs="楷体_GB2312"/>
                <w:color w:val="auto"/>
                <w:sz w:val="24"/>
                <w:highlight w:val="none"/>
              </w:rPr>
            </w:pPr>
          </w:p>
        </w:tc>
        <w:tc>
          <w:tcPr>
            <w:tcW w:w="2095" w:type="pct"/>
            <w:vAlign w:val="center"/>
          </w:tcPr>
          <w:p w14:paraId="3C345D89">
            <w:pPr>
              <w:spacing w:line="400" w:lineRule="exact"/>
              <w:jc w:val="center"/>
              <w:rPr>
                <w:rFonts w:ascii="楷体" w:hAnsi="楷体" w:eastAsia="楷体" w:cs="楷体_GB2312"/>
                <w:color w:val="auto"/>
                <w:sz w:val="24"/>
                <w:highlight w:val="none"/>
              </w:rPr>
            </w:pPr>
          </w:p>
        </w:tc>
      </w:tr>
      <w:tr w14:paraId="180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9C9E17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16</w:t>
            </w:r>
          </w:p>
        </w:tc>
        <w:tc>
          <w:tcPr>
            <w:tcW w:w="2443" w:type="pct"/>
            <w:vAlign w:val="center"/>
          </w:tcPr>
          <w:p w14:paraId="5218E160">
            <w:pPr>
              <w:spacing w:line="400" w:lineRule="exact"/>
              <w:jc w:val="center"/>
              <w:rPr>
                <w:rFonts w:ascii="楷体" w:hAnsi="楷体" w:eastAsia="楷体" w:cs="楷体_GB2312"/>
                <w:color w:val="auto"/>
                <w:sz w:val="24"/>
                <w:highlight w:val="none"/>
              </w:rPr>
            </w:pPr>
          </w:p>
        </w:tc>
        <w:tc>
          <w:tcPr>
            <w:tcW w:w="2095" w:type="pct"/>
            <w:vAlign w:val="center"/>
          </w:tcPr>
          <w:p w14:paraId="7C8DC6A4">
            <w:pPr>
              <w:spacing w:line="400" w:lineRule="exact"/>
              <w:jc w:val="center"/>
              <w:rPr>
                <w:rFonts w:ascii="楷体" w:hAnsi="楷体" w:eastAsia="楷体" w:cs="楷体_GB2312"/>
                <w:color w:val="auto"/>
                <w:sz w:val="24"/>
                <w:highlight w:val="none"/>
              </w:rPr>
            </w:pPr>
          </w:p>
        </w:tc>
      </w:tr>
      <w:tr w14:paraId="61F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2372A51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17</w:t>
            </w:r>
          </w:p>
        </w:tc>
        <w:tc>
          <w:tcPr>
            <w:tcW w:w="2443" w:type="pct"/>
            <w:vAlign w:val="center"/>
          </w:tcPr>
          <w:p w14:paraId="2F085BF6">
            <w:pPr>
              <w:spacing w:line="400" w:lineRule="exact"/>
              <w:jc w:val="center"/>
              <w:rPr>
                <w:rFonts w:ascii="楷体" w:hAnsi="楷体" w:eastAsia="楷体" w:cs="楷体_GB2312"/>
                <w:color w:val="auto"/>
                <w:sz w:val="24"/>
                <w:highlight w:val="none"/>
              </w:rPr>
            </w:pPr>
          </w:p>
        </w:tc>
        <w:tc>
          <w:tcPr>
            <w:tcW w:w="2095" w:type="pct"/>
            <w:vAlign w:val="center"/>
          </w:tcPr>
          <w:p w14:paraId="7D573658">
            <w:pPr>
              <w:spacing w:line="400" w:lineRule="exact"/>
              <w:jc w:val="center"/>
              <w:rPr>
                <w:rFonts w:ascii="楷体" w:hAnsi="楷体" w:eastAsia="楷体" w:cs="楷体_GB2312"/>
                <w:color w:val="auto"/>
                <w:sz w:val="24"/>
                <w:highlight w:val="none"/>
              </w:rPr>
            </w:pPr>
          </w:p>
        </w:tc>
      </w:tr>
      <w:tr w14:paraId="758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7D140AC">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18</w:t>
            </w:r>
          </w:p>
        </w:tc>
        <w:tc>
          <w:tcPr>
            <w:tcW w:w="2443" w:type="pct"/>
            <w:vAlign w:val="center"/>
          </w:tcPr>
          <w:p w14:paraId="0D864CDD">
            <w:pPr>
              <w:spacing w:line="400" w:lineRule="exact"/>
              <w:jc w:val="center"/>
              <w:rPr>
                <w:rFonts w:ascii="楷体" w:hAnsi="楷体" w:eastAsia="楷体" w:cs="楷体_GB2312"/>
                <w:color w:val="auto"/>
                <w:sz w:val="24"/>
                <w:highlight w:val="none"/>
              </w:rPr>
            </w:pPr>
          </w:p>
        </w:tc>
        <w:tc>
          <w:tcPr>
            <w:tcW w:w="2095" w:type="pct"/>
            <w:vAlign w:val="center"/>
          </w:tcPr>
          <w:p w14:paraId="252AE287">
            <w:pPr>
              <w:spacing w:line="400" w:lineRule="exact"/>
              <w:jc w:val="center"/>
              <w:rPr>
                <w:rFonts w:ascii="楷体" w:hAnsi="楷体" w:eastAsia="楷体" w:cs="楷体_GB2312"/>
                <w:color w:val="auto"/>
                <w:sz w:val="24"/>
                <w:highlight w:val="none"/>
              </w:rPr>
            </w:pPr>
          </w:p>
        </w:tc>
      </w:tr>
      <w:tr w14:paraId="0A7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1" w:type="pct"/>
            <w:vAlign w:val="center"/>
          </w:tcPr>
          <w:p w14:paraId="6FB716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19</w:t>
            </w:r>
          </w:p>
        </w:tc>
        <w:tc>
          <w:tcPr>
            <w:tcW w:w="2443" w:type="pct"/>
            <w:vAlign w:val="center"/>
          </w:tcPr>
          <w:p w14:paraId="1030760F">
            <w:pPr>
              <w:spacing w:line="400" w:lineRule="exact"/>
              <w:jc w:val="center"/>
              <w:rPr>
                <w:rFonts w:ascii="楷体" w:hAnsi="楷体" w:eastAsia="楷体" w:cs="楷体_GB2312"/>
                <w:color w:val="auto"/>
                <w:sz w:val="24"/>
                <w:highlight w:val="none"/>
              </w:rPr>
            </w:pPr>
          </w:p>
        </w:tc>
        <w:tc>
          <w:tcPr>
            <w:tcW w:w="2095" w:type="pct"/>
            <w:vAlign w:val="center"/>
          </w:tcPr>
          <w:p w14:paraId="3B53A3E4">
            <w:pPr>
              <w:spacing w:line="400" w:lineRule="exact"/>
              <w:jc w:val="center"/>
              <w:rPr>
                <w:rFonts w:ascii="楷体" w:hAnsi="楷体" w:eastAsia="楷体" w:cs="楷体_GB2312"/>
                <w:color w:val="auto"/>
                <w:sz w:val="24"/>
                <w:highlight w:val="none"/>
              </w:rPr>
            </w:pPr>
          </w:p>
        </w:tc>
      </w:tr>
      <w:tr w14:paraId="101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1" w:type="pct"/>
            <w:vAlign w:val="center"/>
          </w:tcPr>
          <w:p w14:paraId="11D717C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20</w:t>
            </w:r>
          </w:p>
        </w:tc>
        <w:tc>
          <w:tcPr>
            <w:tcW w:w="2443" w:type="pct"/>
            <w:vAlign w:val="center"/>
          </w:tcPr>
          <w:p w14:paraId="2D694CF8">
            <w:pPr>
              <w:spacing w:line="400" w:lineRule="exact"/>
              <w:jc w:val="center"/>
              <w:rPr>
                <w:rFonts w:ascii="楷体" w:hAnsi="楷体" w:eastAsia="楷体" w:cs="楷体_GB2312"/>
                <w:color w:val="auto"/>
                <w:sz w:val="24"/>
                <w:highlight w:val="none"/>
              </w:rPr>
            </w:pPr>
          </w:p>
        </w:tc>
        <w:tc>
          <w:tcPr>
            <w:tcW w:w="2095" w:type="pct"/>
            <w:vAlign w:val="center"/>
          </w:tcPr>
          <w:p w14:paraId="39D1B144">
            <w:pPr>
              <w:spacing w:line="400" w:lineRule="exact"/>
              <w:jc w:val="center"/>
              <w:rPr>
                <w:rFonts w:ascii="楷体" w:hAnsi="楷体" w:eastAsia="楷体" w:cs="楷体_GB2312"/>
                <w:color w:val="auto"/>
                <w:sz w:val="24"/>
                <w:highlight w:val="none"/>
              </w:rPr>
            </w:pPr>
          </w:p>
        </w:tc>
      </w:tr>
      <w:tr w14:paraId="1A3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1" w:type="pct"/>
            <w:vAlign w:val="center"/>
          </w:tcPr>
          <w:p w14:paraId="4AF564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21</w:t>
            </w:r>
          </w:p>
        </w:tc>
        <w:tc>
          <w:tcPr>
            <w:tcW w:w="2443" w:type="pct"/>
            <w:vAlign w:val="center"/>
          </w:tcPr>
          <w:p w14:paraId="6C4E129B">
            <w:pPr>
              <w:spacing w:line="400" w:lineRule="exact"/>
              <w:jc w:val="center"/>
              <w:rPr>
                <w:rFonts w:ascii="楷体" w:hAnsi="楷体" w:eastAsia="楷体" w:cs="楷体_GB2312"/>
                <w:color w:val="auto"/>
                <w:sz w:val="24"/>
                <w:highlight w:val="none"/>
              </w:rPr>
            </w:pPr>
          </w:p>
        </w:tc>
        <w:tc>
          <w:tcPr>
            <w:tcW w:w="2095" w:type="pct"/>
            <w:vAlign w:val="center"/>
          </w:tcPr>
          <w:p w14:paraId="6417DFD7">
            <w:pPr>
              <w:spacing w:line="400" w:lineRule="exact"/>
              <w:jc w:val="center"/>
              <w:rPr>
                <w:rFonts w:ascii="楷体" w:hAnsi="楷体" w:eastAsia="楷体" w:cs="楷体_GB2312"/>
                <w:color w:val="auto"/>
                <w:sz w:val="24"/>
                <w:highlight w:val="none"/>
              </w:rPr>
            </w:pPr>
          </w:p>
        </w:tc>
      </w:tr>
      <w:tr w14:paraId="2B13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pct"/>
            <w:vAlign w:val="center"/>
          </w:tcPr>
          <w:p w14:paraId="540BB4A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22</w:t>
            </w:r>
          </w:p>
        </w:tc>
        <w:tc>
          <w:tcPr>
            <w:tcW w:w="2443" w:type="pct"/>
            <w:vAlign w:val="center"/>
          </w:tcPr>
          <w:p w14:paraId="3483D6C0">
            <w:pPr>
              <w:spacing w:line="400" w:lineRule="exact"/>
              <w:jc w:val="center"/>
              <w:rPr>
                <w:rFonts w:ascii="楷体" w:hAnsi="楷体" w:eastAsia="楷体" w:cs="楷体_GB2312"/>
                <w:color w:val="auto"/>
                <w:sz w:val="24"/>
                <w:highlight w:val="none"/>
              </w:rPr>
            </w:pPr>
          </w:p>
        </w:tc>
        <w:tc>
          <w:tcPr>
            <w:tcW w:w="2095" w:type="pct"/>
            <w:vAlign w:val="center"/>
          </w:tcPr>
          <w:p w14:paraId="78D63C2C">
            <w:pPr>
              <w:spacing w:line="400" w:lineRule="exact"/>
              <w:jc w:val="center"/>
              <w:rPr>
                <w:rFonts w:ascii="楷体" w:hAnsi="楷体" w:eastAsia="楷体" w:cs="楷体_GB2312"/>
                <w:color w:val="auto"/>
                <w:sz w:val="24"/>
                <w:highlight w:val="none"/>
              </w:rPr>
            </w:pPr>
          </w:p>
        </w:tc>
      </w:tr>
      <w:tr w14:paraId="3B7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1" w:type="pct"/>
            <w:vAlign w:val="center"/>
          </w:tcPr>
          <w:p w14:paraId="2E74AD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23</w:t>
            </w:r>
          </w:p>
        </w:tc>
        <w:tc>
          <w:tcPr>
            <w:tcW w:w="2443" w:type="pct"/>
            <w:vAlign w:val="center"/>
          </w:tcPr>
          <w:p w14:paraId="4D790B98">
            <w:pPr>
              <w:spacing w:line="400" w:lineRule="exact"/>
              <w:jc w:val="center"/>
              <w:rPr>
                <w:rFonts w:ascii="楷体" w:hAnsi="楷体" w:eastAsia="楷体" w:cs="楷体_GB2312"/>
                <w:color w:val="auto"/>
                <w:sz w:val="24"/>
                <w:highlight w:val="none"/>
              </w:rPr>
            </w:pPr>
          </w:p>
        </w:tc>
        <w:tc>
          <w:tcPr>
            <w:tcW w:w="2095" w:type="pct"/>
            <w:vAlign w:val="center"/>
          </w:tcPr>
          <w:p w14:paraId="1676573B">
            <w:pPr>
              <w:spacing w:line="400" w:lineRule="exact"/>
              <w:jc w:val="center"/>
              <w:rPr>
                <w:rFonts w:ascii="楷体" w:hAnsi="楷体" w:eastAsia="楷体" w:cs="楷体_GB2312"/>
                <w:color w:val="auto"/>
                <w:sz w:val="24"/>
                <w:highlight w:val="none"/>
              </w:rPr>
            </w:pPr>
          </w:p>
        </w:tc>
      </w:tr>
      <w:tr w14:paraId="4AA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61" w:type="pct"/>
            <w:vAlign w:val="center"/>
          </w:tcPr>
          <w:p w14:paraId="39A6EA6A">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24</w:t>
            </w:r>
          </w:p>
        </w:tc>
        <w:tc>
          <w:tcPr>
            <w:tcW w:w="2443" w:type="pct"/>
            <w:vAlign w:val="center"/>
          </w:tcPr>
          <w:p w14:paraId="36E19406">
            <w:pPr>
              <w:spacing w:line="400" w:lineRule="exact"/>
              <w:jc w:val="center"/>
              <w:rPr>
                <w:rFonts w:ascii="楷体" w:hAnsi="楷体" w:eastAsia="楷体" w:cs="楷体_GB2312"/>
                <w:color w:val="auto"/>
                <w:sz w:val="24"/>
                <w:highlight w:val="none"/>
              </w:rPr>
            </w:pPr>
          </w:p>
        </w:tc>
        <w:tc>
          <w:tcPr>
            <w:tcW w:w="2095" w:type="pct"/>
            <w:vAlign w:val="center"/>
          </w:tcPr>
          <w:p w14:paraId="01D789C9">
            <w:pPr>
              <w:spacing w:line="400" w:lineRule="exact"/>
              <w:jc w:val="center"/>
              <w:rPr>
                <w:rFonts w:ascii="楷体" w:hAnsi="楷体" w:eastAsia="楷体" w:cs="楷体_GB2312"/>
                <w:color w:val="auto"/>
                <w:sz w:val="24"/>
                <w:highlight w:val="none"/>
              </w:rPr>
            </w:pPr>
          </w:p>
        </w:tc>
      </w:tr>
      <w:tr w14:paraId="2C5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12CC0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25</w:t>
            </w:r>
          </w:p>
        </w:tc>
        <w:tc>
          <w:tcPr>
            <w:tcW w:w="2443" w:type="pct"/>
            <w:vAlign w:val="center"/>
          </w:tcPr>
          <w:p w14:paraId="5161BBEC">
            <w:pPr>
              <w:spacing w:line="400" w:lineRule="exact"/>
              <w:jc w:val="center"/>
              <w:rPr>
                <w:rFonts w:ascii="楷体" w:hAnsi="楷体" w:eastAsia="楷体" w:cs="楷体_GB2312"/>
                <w:color w:val="auto"/>
                <w:sz w:val="24"/>
                <w:highlight w:val="none"/>
              </w:rPr>
            </w:pPr>
          </w:p>
        </w:tc>
        <w:tc>
          <w:tcPr>
            <w:tcW w:w="2095" w:type="pct"/>
            <w:vAlign w:val="center"/>
          </w:tcPr>
          <w:p w14:paraId="3D216F12">
            <w:pPr>
              <w:spacing w:line="400" w:lineRule="exact"/>
              <w:jc w:val="center"/>
              <w:rPr>
                <w:rFonts w:ascii="楷体" w:hAnsi="楷体" w:eastAsia="楷体" w:cs="楷体_GB2312"/>
                <w:color w:val="auto"/>
                <w:sz w:val="24"/>
                <w:highlight w:val="none"/>
              </w:rPr>
            </w:pPr>
          </w:p>
        </w:tc>
      </w:tr>
      <w:tr w14:paraId="25E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vAlign w:val="center"/>
          </w:tcPr>
          <w:p w14:paraId="71587CE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26</w:t>
            </w:r>
          </w:p>
        </w:tc>
        <w:tc>
          <w:tcPr>
            <w:tcW w:w="2443" w:type="pct"/>
            <w:vAlign w:val="center"/>
          </w:tcPr>
          <w:p w14:paraId="1CE46BB5">
            <w:pPr>
              <w:spacing w:line="400" w:lineRule="exact"/>
              <w:jc w:val="center"/>
              <w:rPr>
                <w:rFonts w:ascii="楷体" w:hAnsi="楷体" w:eastAsia="楷体" w:cs="楷体_GB2312"/>
                <w:color w:val="auto"/>
                <w:sz w:val="24"/>
                <w:highlight w:val="none"/>
              </w:rPr>
            </w:pPr>
          </w:p>
        </w:tc>
        <w:tc>
          <w:tcPr>
            <w:tcW w:w="2095" w:type="pct"/>
            <w:vAlign w:val="center"/>
          </w:tcPr>
          <w:p w14:paraId="6C26903E">
            <w:pPr>
              <w:spacing w:line="400" w:lineRule="exact"/>
              <w:jc w:val="center"/>
              <w:rPr>
                <w:rFonts w:ascii="楷体" w:hAnsi="楷体" w:eastAsia="楷体" w:cs="楷体_GB2312"/>
                <w:color w:val="auto"/>
                <w:sz w:val="24"/>
                <w:highlight w:val="none"/>
              </w:rPr>
            </w:pPr>
          </w:p>
        </w:tc>
      </w:tr>
      <w:tr w14:paraId="508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tcPr>
          <w:p w14:paraId="22BEC29B">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27</w:t>
            </w:r>
          </w:p>
        </w:tc>
        <w:tc>
          <w:tcPr>
            <w:tcW w:w="2443" w:type="pct"/>
            <w:vAlign w:val="center"/>
          </w:tcPr>
          <w:p w14:paraId="48151653">
            <w:pPr>
              <w:spacing w:line="400" w:lineRule="exact"/>
              <w:jc w:val="center"/>
              <w:rPr>
                <w:rFonts w:ascii="楷体" w:hAnsi="楷体" w:eastAsia="楷体" w:cs="楷体_GB2312"/>
                <w:color w:val="auto"/>
                <w:sz w:val="24"/>
                <w:highlight w:val="none"/>
              </w:rPr>
            </w:pPr>
          </w:p>
        </w:tc>
        <w:tc>
          <w:tcPr>
            <w:tcW w:w="2095" w:type="pct"/>
          </w:tcPr>
          <w:p w14:paraId="5EAB261C">
            <w:pPr>
              <w:spacing w:line="400" w:lineRule="exact"/>
              <w:jc w:val="center"/>
              <w:rPr>
                <w:rFonts w:ascii="楷体" w:hAnsi="楷体" w:eastAsia="楷体" w:cs="楷体_GB2312"/>
                <w:color w:val="auto"/>
                <w:sz w:val="24"/>
                <w:highlight w:val="none"/>
              </w:rPr>
            </w:pPr>
          </w:p>
        </w:tc>
      </w:tr>
    </w:tbl>
    <w:p w14:paraId="5D3F8E40">
      <w:pPr>
        <w:rPr>
          <w:rFonts w:ascii="楷体" w:hAnsi="楷体" w:eastAsia="楷体" w:cs="楷体_GB2312"/>
          <w:color w:val="auto"/>
          <w:sz w:val="24"/>
          <w:highlight w:val="none"/>
        </w:rPr>
      </w:pPr>
    </w:p>
    <w:p w14:paraId="4A2E99FA">
      <w:pPr>
        <w:bidi w:val="0"/>
        <w:jc w:val="center"/>
        <w:rPr>
          <w:rFonts w:hint="eastAsia" w:ascii="仿宋" w:hAnsi="仿宋" w:eastAsia="仿宋" w:cs="仿宋"/>
          <w:color w:val="auto"/>
          <w:sz w:val="30"/>
          <w:szCs w:val="30"/>
          <w:highlight w:val="none"/>
        </w:rPr>
      </w:pPr>
    </w:p>
    <w:p w14:paraId="1F86377D">
      <w:pPr>
        <w:bidi w:val="0"/>
        <w:jc w:val="center"/>
        <w:rPr>
          <w:rFonts w:hint="eastAsia" w:ascii="仿宋" w:hAnsi="仿宋" w:eastAsia="仿宋" w:cs="仿宋"/>
          <w:color w:val="auto"/>
          <w:sz w:val="30"/>
          <w:szCs w:val="30"/>
          <w:highlight w:val="none"/>
        </w:rPr>
      </w:pPr>
    </w:p>
    <w:p w14:paraId="06F55AED">
      <w:pPr>
        <w:bidi w:val="0"/>
        <w:jc w:val="center"/>
        <w:rPr>
          <w:rFonts w:hint="eastAsia" w:ascii="仿宋" w:hAnsi="仿宋" w:eastAsia="仿宋" w:cs="仿宋"/>
          <w:color w:val="auto"/>
          <w:sz w:val="30"/>
          <w:szCs w:val="30"/>
          <w:highlight w:val="none"/>
        </w:rPr>
      </w:pPr>
    </w:p>
    <w:p w14:paraId="436FF16F">
      <w:pPr>
        <w:bidi w:val="0"/>
        <w:jc w:val="center"/>
        <w:rPr>
          <w:rFonts w:hint="eastAsia" w:ascii="仿宋" w:hAnsi="仿宋" w:eastAsia="仿宋" w:cs="仿宋"/>
          <w:color w:val="auto"/>
          <w:sz w:val="30"/>
          <w:szCs w:val="30"/>
          <w:highlight w:val="none"/>
        </w:rPr>
      </w:pPr>
    </w:p>
    <w:p w14:paraId="434657FB">
      <w:pPr>
        <w:bidi w:val="0"/>
        <w:jc w:val="center"/>
        <w:rPr>
          <w:rFonts w:hint="eastAsia" w:ascii="仿宋" w:hAnsi="仿宋" w:eastAsia="仿宋" w:cs="仿宋"/>
          <w:color w:val="auto"/>
          <w:sz w:val="30"/>
          <w:szCs w:val="30"/>
          <w:highlight w:val="none"/>
        </w:rPr>
      </w:pPr>
    </w:p>
    <w:p w14:paraId="237ADA97">
      <w:pPr>
        <w:bidi w:val="0"/>
        <w:jc w:val="center"/>
        <w:rPr>
          <w:rFonts w:hint="eastAsia" w:ascii="仿宋" w:hAnsi="仿宋" w:eastAsia="仿宋" w:cs="仿宋"/>
          <w:color w:val="auto"/>
          <w:sz w:val="30"/>
          <w:szCs w:val="30"/>
          <w:highlight w:val="none"/>
        </w:rPr>
      </w:pPr>
    </w:p>
    <w:p w14:paraId="66EEE40E">
      <w:pPr>
        <w:bidi w:val="0"/>
        <w:jc w:val="center"/>
        <w:rPr>
          <w:rFonts w:hint="eastAsia" w:ascii="仿宋" w:hAnsi="仿宋" w:eastAsia="仿宋" w:cs="仿宋"/>
          <w:color w:val="auto"/>
          <w:sz w:val="30"/>
          <w:szCs w:val="30"/>
          <w:highlight w:val="none"/>
        </w:rPr>
      </w:pPr>
    </w:p>
    <w:p w14:paraId="63F7AB78">
      <w:pPr>
        <w:bidi w:val="0"/>
        <w:jc w:val="center"/>
        <w:rPr>
          <w:rFonts w:hint="eastAsia" w:ascii="仿宋" w:hAnsi="仿宋" w:eastAsia="仿宋" w:cs="仿宋"/>
          <w:color w:val="auto"/>
          <w:sz w:val="30"/>
          <w:szCs w:val="30"/>
          <w:highlight w:val="none"/>
        </w:rPr>
      </w:pPr>
    </w:p>
    <w:p w14:paraId="11D14007">
      <w:pPr>
        <w:bidi w:val="0"/>
        <w:jc w:val="both"/>
        <w:rPr>
          <w:rFonts w:hint="eastAsia" w:ascii="仿宋" w:hAnsi="仿宋" w:eastAsia="仿宋" w:cs="仿宋"/>
          <w:color w:val="auto"/>
          <w:sz w:val="30"/>
          <w:szCs w:val="30"/>
          <w:highlight w:val="none"/>
        </w:rPr>
      </w:pPr>
    </w:p>
    <w:p w14:paraId="1A4C69FD">
      <w:pPr>
        <w:bidi w:val="0"/>
        <w:jc w:val="center"/>
        <w:rPr>
          <w:rFonts w:hint="eastAsia" w:ascii="仿宋" w:hAnsi="仿宋" w:eastAsia="仿宋" w:cs="仿宋"/>
          <w:color w:val="auto"/>
          <w:sz w:val="30"/>
          <w:szCs w:val="30"/>
          <w:highlight w:val="none"/>
        </w:rPr>
      </w:pPr>
    </w:p>
    <w:p w14:paraId="67A922CD">
      <w:pPr>
        <w:bidi w:val="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廉洁承诺书</w:t>
      </w:r>
    </w:p>
    <w:p w14:paraId="1EB0D927">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w:t>
      </w:r>
    </w:p>
    <w:p w14:paraId="5FC1AE62">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开展各项业务往来活动中承诺：</w:t>
      </w:r>
    </w:p>
    <w:p w14:paraId="735C9B8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一、自觉遵守国家法律、法规，按照《中华人民共和国 反不正当竞争法》《关于禁止商业贿赂行为的暂行规定》以 及有关要求进行各项业务活动。</w:t>
      </w:r>
    </w:p>
    <w:p w14:paraId="3F53771D">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的工作人员及其亲属馈赠礼金、礼品(含有价证券);不得向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的工作人员提供任何应由其个人支付 报酬的劳务(如：建、修住宅等)和其它服务；不得为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的工作人员安排可能影响公正执行公务的任何活动(如：旅游、高消费宴请、娱乐等);不得为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的工作人员支付应由其个人支付的任何赞助费、宣传费、咨询费、劳务费等；不得为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的工作人员报销任何名义 的个人消费凭证；不得为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的工作人员安排违反社会公德的活动；不得为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的工作人员提供经商、办企业、消费提供特 殊便利或优惠等。</w:t>
      </w:r>
    </w:p>
    <w:p w14:paraId="7234353F">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，不排挤其他经营 者的公平竞争，损害其他经营者的合法权益；不在工程建设 的预决算编制工作中弄虚作假、高估冒算。</w:t>
      </w:r>
    </w:p>
    <w:p w14:paraId="73183AC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四、发现</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的工作人员有 受贿行为或索贿要求、徇私舞弊、滥用职权时，将予以举报 并 提 供 证 据 。 举 报 电 话 ： 5 3 8 2 8 9 9 ; 举 报 邮 箱 ： 3071079904@qq.com; 举报信件：厦门市湖里区园山南路792 号401室，总经理收。</w:t>
      </w:r>
    </w:p>
    <w:p w14:paraId="5EF14980">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五、自觉接受监督，本单位及员工若有违反本承诺书(包括但不限于本承诺书所列举禁止项目),同意接受</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或当地政府相关部门处理。</w:t>
      </w:r>
    </w:p>
    <w:p w14:paraId="266794C4">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743490E">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承诺单位(盖章):</w:t>
      </w:r>
    </w:p>
    <w:p w14:paraId="683F2E1B">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62B92DD4">
      <w:pPr>
        <w:rPr>
          <w:rFonts w:hint="eastAsia" w:ascii="仿宋" w:hAnsi="仿宋" w:eastAsia="仿宋" w:cs="仿宋"/>
          <w:color w:val="auto"/>
          <w:sz w:val="28"/>
          <w:szCs w:val="28"/>
          <w:highlight w:val="none"/>
          <w:lang w:val="en-US" w:eastAsia="zh-CN"/>
        </w:rPr>
      </w:pPr>
    </w:p>
    <w:p w14:paraId="2C0C68C6">
      <w:pPr>
        <w:pStyle w:val="15"/>
        <w:rPr>
          <w:rFonts w:hint="default" w:eastAsiaTheme="minorEastAsia"/>
          <w:color w:val="auto"/>
          <w:highlight w:val="none"/>
          <w:lang w:val="en-US" w:eastAsia="zh-CN"/>
        </w:rPr>
        <w:sectPr>
          <w:headerReference r:id="rId10" w:type="default"/>
          <w:pgSz w:w="11906" w:h="16838"/>
          <w:pgMar w:top="1134" w:right="1474" w:bottom="1020" w:left="1588" w:header="851" w:footer="992" w:gutter="0"/>
          <w:cols w:space="720" w:num="1"/>
          <w:docGrid w:type="lines" w:linePitch="312" w:charSpace="0"/>
        </w:sect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1" w:name="_Toc526873936"/>
      <w:bookmarkStart w:id="202" w:name="_Toc2025"/>
      <w:r>
        <w:rPr>
          <w:rFonts w:hint="eastAsia" w:ascii="宋体" w:hAnsi="宋体" w:eastAsia="宋体" w:cs="宋体"/>
          <w:color w:val="auto"/>
          <w:highlight w:val="none"/>
        </w:rPr>
        <w:t>第五章  响应文件格式</w:t>
      </w:r>
      <w:bookmarkEnd w:id="201"/>
      <w:bookmarkEnd w:id="202"/>
    </w:p>
    <w:p w14:paraId="3177FD2F">
      <w:pPr>
        <w:shd w:val="clear" w:color="auto"/>
        <w:jc w:val="center"/>
        <w:outlineLvl w:val="0"/>
        <w:rPr>
          <w:rFonts w:ascii="宋体" w:hAnsi="宋体" w:cs="宋体"/>
          <w:b/>
          <w:bCs/>
          <w:color w:val="auto"/>
          <w:highlight w:val="none"/>
        </w:rPr>
      </w:pPr>
      <w:bookmarkStart w:id="203" w:name="_Toc24799"/>
      <w:bookmarkStart w:id="204" w:name="_Toc2943"/>
      <w:r>
        <w:rPr>
          <w:rFonts w:hint="eastAsia" w:ascii="宋体" w:hAnsi="宋体" w:cs="宋体"/>
          <w:b/>
          <w:bCs/>
          <w:color w:val="auto"/>
          <w:highlight w:val="none"/>
        </w:rPr>
        <w:t>（本章格式文件可供参考，供应商可根据项目实际需求进行编制）</w:t>
      </w:r>
      <w:bookmarkEnd w:id="203"/>
      <w:bookmarkEnd w:id="204"/>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val="en-US" w:eastAsia="zh-CN"/>
        </w:rPr>
        <w:t>古地石指挥部及金尚菜市场项目、厦大海韵园二期项目保洁绿化服务（重新招标）</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GTWY2026-001</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footerReference r:id="rId11" w:type="default"/>
          <w:pgSz w:w="11906" w:h="16838"/>
          <w:pgMar w:top="1440" w:right="1083" w:bottom="1440" w:left="1083" w:header="851" w:footer="992" w:gutter="0"/>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20BCDD23">
      <w:pPr>
        <w:spacing w:line="380" w:lineRule="exact"/>
        <w:rPr>
          <w:rFonts w:hint="eastAsia" w:ascii="宋体" w:hAnsi="宋体" w:cs="宋体"/>
          <w:color w:val="auto"/>
          <w:sz w:val="24"/>
          <w:highlight w:val="none"/>
        </w:rPr>
      </w:pPr>
    </w:p>
    <w:p w14:paraId="15C08619">
      <w:pPr>
        <w:spacing w:line="380" w:lineRule="exact"/>
        <w:rPr>
          <w:rFonts w:hint="eastAsia" w:ascii="宋体" w:hAnsi="宋体" w:cs="宋体"/>
          <w:color w:val="auto"/>
          <w:sz w:val="24"/>
          <w:highlight w:val="none"/>
        </w:rPr>
      </w:pPr>
    </w:p>
    <w:p w14:paraId="6A47574A">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6046221F">
      <w:pPr>
        <w:spacing w:line="380" w:lineRule="exact"/>
        <w:jc w:val="center"/>
        <w:rPr>
          <w:rFonts w:hint="eastAsia" w:ascii="宋体" w:hAnsi="宋体" w:cs="宋体"/>
          <w:b/>
          <w:color w:val="auto"/>
          <w:sz w:val="36"/>
          <w:szCs w:val="36"/>
          <w:highlight w:val="none"/>
        </w:rPr>
      </w:pP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7A663FA1">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lang w:val="en-US" w:eastAsia="zh-CN"/>
        </w:rPr>
        <w:t>古地石指挥部及金尚菜市场项目、厦大海韵园二期项目保洁绿化服务（重新招标）</w:t>
      </w:r>
      <w:r>
        <w:rPr>
          <w:rFonts w:hint="eastAsia" w:ascii="宋体" w:hAnsi="宋体" w:cs="宋体"/>
          <w:color w:val="auto"/>
          <w:szCs w:val="21"/>
          <w:highlight w:val="none"/>
        </w:rPr>
        <w:t xml:space="preserve"> 项目的询价邀请（项目编号：</w:t>
      </w:r>
      <w:r>
        <w:rPr>
          <w:rFonts w:hint="eastAsia" w:ascii="宋体" w:hAnsi="宋体" w:cs="宋体"/>
          <w:color w:val="auto"/>
          <w:szCs w:val="21"/>
          <w:highlight w:val="none"/>
          <w:lang w:val="en-US" w:eastAsia="zh-CN"/>
        </w:rPr>
        <w:t>GTWY2026-001</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份。</w:t>
      </w:r>
    </w:p>
    <w:p w14:paraId="1946A8E1">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210" w:firstLineChars="1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5"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5"/>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4A5D82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Cs w:val="21"/>
          <w:highlight w:val="none"/>
          <w:u w:val="single"/>
          <w:lang w:val="en-US" w:eastAsia="zh-CN"/>
        </w:rPr>
        <w:t>古地石指挥部及金尚菜市场项目、厦大海韵园二期项目保洁绿化服务（重新招标）</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货币单位：元</w:t>
      </w:r>
    </w:p>
    <w:tbl>
      <w:tblPr>
        <w:tblStyle w:val="42"/>
        <w:tblW w:w="10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3168"/>
        <w:gridCol w:w="1448"/>
        <w:gridCol w:w="1316"/>
        <w:gridCol w:w="2037"/>
        <w:gridCol w:w="2037"/>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4A821">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报价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eastAsia="zh-CN"/>
              </w:rPr>
              <w:t>）</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3168"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DF4EB44">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sz w:val="24"/>
                <w:szCs w:val="24"/>
                <w:highlight w:val="none"/>
                <w:u w:val="single"/>
                <w:lang w:val="en-US" w:eastAsia="zh-CN"/>
              </w:rPr>
              <w:t>古地石指挥部及金尚菜市场项目、厦大海韵园二期项目保洁绿化服务（重新招标）</w:t>
            </w:r>
          </w:p>
          <w:p w14:paraId="73A80105">
            <w:pPr>
              <w:spacing w:line="360" w:lineRule="auto"/>
              <w:jc w:val="center"/>
              <w:rPr>
                <w:rFonts w:hint="eastAsia" w:ascii="宋体" w:hAnsi="宋体" w:eastAsia="宋体" w:cs="宋体"/>
                <w:b w:val="0"/>
                <w:bCs w:val="0"/>
                <w:color w:val="auto"/>
                <w:sz w:val="24"/>
                <w:szCs w:val="24"/>
                <w:highlight w:val="none"/>
                <w:lang w:eastAsia="zh-CN"/>
              </w:rPr>
            </w:pP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F2F36F">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古地石指挥部项目</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186D04">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C0435">
            <w:pPr>
              <w:spacing w:line="360" w:lineRule="auto"/>
              <w:jc w:val="center"/>
              <w:rPr>
                <w:rFonts w:hint="default" w:ascii="宋体" w:hAnsi="宋体" w:eastAsia="宋体" w:cs="宋体"/>
                <w:b w:val="0"/>
                <w:bCs w:val="0"/>
                <w:color w:val="auto"/>
                <w:sz w:val="24"/>
                <w:szCs w:val="24"/>
                <w:highlight w:val="none"/>
                <w:lang w:val="en-US"/>
              </w:rPr>
            </w:pPr>
            <w:r>
              <w:rPr>
                <w:rFonts w:hint="eastAsia" w:ascii="宋体" w:hAnsi="宋体" w:cs="宋体"/>
                <w:color w:val="auto"/>
                <w:kern w:val="0"/>
                <w:sz w:val="24"/>
                <w:highlight w:val="none"/>
                <w:lang w:val="en-US" w:eastAsia="zh-CN"/>
              </w:rPr>
              <w:t>保洁：49199</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jc w:val="center"/>
              <w:rPr>
                <w:rFonts w:hint="eastAsia" w:ascii="宋体" w:hAnsi="宋体" w:eastAsia="宋体" w:cs="宋体"/>
                <w:b w:val="0"/>
                <w:bCs w:val="0"/>
                <w:color w:val="auto"/>
                <w:sz w:val="24"/>
                <w:szCs w:val="24"/>
                <w:highlight w:val="none"/>
              </w:rPr>
            </w:pPr>
          </w:p>
        </w:tc>
      </w:tr>
      <w:tr w14:paraId="4005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4452CA2">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p>
        </w:tc>
        <w:tc>
          <w:tcPr>
            <w:tcW w:w="3168" w:type="dxa"/>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14:paraId="19175CAD">
            <w:pPr>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18758F">
            <w:pPr>
              <w:spacing w:line="36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金尚菜市场项目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820AD5">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94C626">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0"/>
                <w:sz w:val="24"/>
                <w:highlight w:val="none"/>
                <w:lang w:val="en-US" w:eastAsia="zh-CN"/>
              </w:rPr>
              <w:t>保洁：</w:t>
            </w:r>
            <w:r>
              <w:rPr>
                <w:rFonts w:hint="default" w:ascii="宋体" w:hAnsi="宋体" w:cs="宋体"/>
                <w:color w:val="auto"/>
                <w:kern w:val="0"/>
                <w:sz w:val="24"/>
                <w:highlight w:val="none"/>
                <w:lang w:val="en-US" w:eastAsia="zh-CN"/>
              </w:rPr>
              <w:t>140000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4D7F65">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r>
      <w:tr w14:paraId="6724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1E8B2C">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3168" w:type="dxa"/>
            <w:vMerge w:val="continue"/>
            <w:tcBorders>
              <w:left w:val="single" w:color="000000" w:sz="4" w:space="0"/>
              <w:right w:val="single" w:color="000000" w:sz="4" w:space="0"/>
            </w:tcBorders>
            <w:tcMar>
              <w:top w:w="0" w:type="dxa"/>
              <w:left w:w="108" w:type="dxa"/>
              <w:bottom w:w="0" w:type="dxa"/>
              <w:right w:w="108" w:type="dxa"/>
            </w:tcMar>
            <w:vAlign w:val="center"/>
          </w:tcPr>
          <w:p w14:paraId="07BC3B31">
            <w:pPr>
              <w:spacing w:line="360" w:lineRule="auto"/>
              <w:jc w:val="center"/>
              <w:rPr>
                <w:rFonts w:hint="eastAsia" w:ascii="宋体" w:hAnsi="宋体" w:eastAsia="宋体" w:cs="宋体"/>
                <w:b w:val="0"/>
                <w:bCs w:val="0"/>
                <w:color w:val="auto"/>
                <w:sz w:val="24"/>
                <w:szCs w:val="24"/>
                <w:highlight w:val="none"/>
                <w:lang w:eastAsia="zh-CN"/>
              </w:rPr>
            </w:pPr>
          </w:p>
        </w:tc>
        <w:tc>
          <w:tcPr>
            <w:tcW w:w="144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360A746">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厦大海韵园二期项目</w:t>
            </w:r>
          </w:p>
        </w:tc>
        <w:tc>
          <w:tcPr>
            <w:tcW w:w="13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EF9D053">
            <w:pPr>
              <w:spacing w:line="4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p w14:paraId="0AC3E490">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25E35CB">
            <w:pPr>
              <w:spacing w:line="36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保洁、绿化：259800</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81E45D">
            <w:pPr>
              <w:spacing w:line="460" w:lineRule="exact"/>
              <w:jc w:val="center"/>
              <w:rPr>
                <w:rFonts w:hint="eastAsia" w:ascii="宋体" w:hAnsi="宋体" w:eastAsia="宋体" w:cs="宋体"/>
                <w:b w:val="0"/>
                <w:bCs w:val="0"/>
                <w:color w:val="auto"/>
                <w:sz w:val="24"/>
                <w:szCs w:val="24"/>
                <w:highlight w:val="none"/>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E534C">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03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89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B821A">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szCs w:val="24"/>
                <w:highlight w:val="none"/>
                <w:lang w:val="en-US" w:eastAsia="zh-CN"/>
              </w:rPr>
              <w:t>投标总报价低于最高限价总价，且单项投标报价低于单项最高限价。</w:t>
            </w:r>
            <w:r>
              <w:rPr>
                <w:rFonts w:hint="eastAsia" w:ascii="宋体" w:hAnsi="宋体" w:eastAsia="宋体" w:cs="宋体"/>
                <w:b/>
                <w:bCs/>
                <w:color w:val="auto"/>
                <w:sz w:val="24"/>
                <w:szCs w:val="24"/>
                <w:highlight w:val="none"/>
                <w:lang w:val="en-US" w:eastAsia="zh-CN"/>
              </w:rPr>
              <w:t>本项目中标后，采购人将按项目部与中标人分别签订3份合同，合同项目名称分别为：</w:t>
            </w:r>
            <w:r>
              <w:rPr>
                <w:rFonts w:hint="eastAsia" w:ascii="宋体" w:hAnsi="宋体" w:eastAsia="宋体" w:cs="宋体"/>
                <w:b/>
                <w:bCs/>
                <w:color w:val="auto"/>
                <w:sz w:val="24"/>
                <w:szCs w:val="24"/>
                <w:highlight w:val="none"/>
                <w:u w:val="none"/>
                <w:lang w:val="en-US" w:eastAsia="zh-CN"/>
              </w:rPr>
              <w:t>古地石指挥部项目保洁服务、金尚菜市场项目保洁服务、厦大海韵园二期项目保洁绿化服务，每份</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07BB9654">
      <w:pPr>
        <w:spacing w:line="360" w:lineRule="auto"/>
        <w:jc w:val="right"/>
        <w:rPr>
          <w:rFonts w:hint="eastAsia" w:ascii="宋体" w:hAnsi="宋体" w:cs="宋体"/>
          <w:color w:val="auto"/>
          <w:sz w:val="24"/>
          <w:highlight w:val="none"/>
        </w:rPr>
      </w:pPr>
    </w:p>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2ED1D760">
      <w:pPr>
        <w:spacing w:line="440" w:lineRule="exact"/>
        <w:ind w:left="0"/>
        <w:rPr>
          <w:rFonts w:hint="eastAsia" w:ascii="宋体" w:hAnsi="宋体" w:cs="宋体"/>
          <w:color w:val="auto"/>
          <w:sz w:val="24"/>
          <w:highlight w:val="none"/>
        </w:rPr>
      </w:pPr>
      <w:bookmarkStart w:id="206" w:name="_Toc185762842"/>
    </w:p>
    <w:p w14:paraId="3C37D0BE">
      <w:pPr>
        <w:spacing w:line="440" w:lineRule="exact"/>
        <w:ind w:left="0"/>
        <w:rPr>
          <w:rFonts w:hint="eastAsia"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古地石指挥部及金尚菜市场项目、厦大海韵园二期项目保洁绿化服务（重新招标）</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bCs/>
                <w:color w:val="auto"/>
                <w:kern w:val="0"/>
                <w:sz w:val="24"/>
                <w:highlight w:val="none"/>
              </w:rPr>
            </w:pPr>
            <w:r>
              <w:rPr>
                <w:rFonts w:hint="eastAsia" w:ascii="宋体" w:hAnsi="宋体" w:cs="宋体"/>
                <w:color w:val="auto"/>
                <w:sz w:val="24"/>
                <w:szCs w:val="24"/>
                <w:highlight w:val="none"/>
              </w:rPr>
              <w:t>本采购项目的采购预算为人民币</w:t>
            </w:r>
            <w:r>
              <w:rPr>
                <w:rFonts w:hint="eastAsia" w:cs="宋体"/>
                <w:color w:val="auto"/>
                <w:sz w:val="24"/>
                <w:szCs w:val="24"/>
                <w:highlight w:val="none"/>
                <w:lang w:val="en-US" w:eastAsia="zh-CN"/>
              </w:rPr>
              <w:t>肆拾肆万捌仟玖佰玖拾玖</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cs="宋体"/>
                <w:color w:val="auto"/>
                <w:sz w:val="24"/>
                <w:szCs w:val="24"/>
                <w:highlight w:val="none"/>
                <w:lang w:val="en-US" w:eastAsia="zh-CN"/>
              </w:rPr>
              <w:t>48999</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古地石指挥部项目保洁最高限价</w:t>
            </w:r>
            <w:r>
              <w:rPr>
                <w:rFonts w:hint="eastAsia" w:cs="宋体"/>
                <w:color w:val="auto"/>
                <w:kern w:val="0"/>
                <w:sz w:val="24"/>
                <w:highlight w:val="none"/>
                <w:lang w:val="en-US" w:eastAsia="zh-CN"/>
              </w:rPr>
              <w:t>49199</w:t>
            </w:r>
            <w:r>
              <w:rPr>
                <w:rFonts w:hint="eastAsia" w:ascii="宋体" w:hAnsi="宋体" w:cs="宋体"/>
                <w:color w:val="auto"/>
                <w:kern w:val="0"/>
                <w:sz w:val="24"/>
                <w:highlight w:val="none"/>
                <w:lang w:val="en-US" w:eastAsia="zh-CN"/>
              </w:rPr>
              <w:t>元，金尚菜市场项目保洁最高限价140000元，厦大海韵园二期项目保洁</w:t>
            </w:r>
            <w:r>
              <w:rPr>
                <w:rFonts w:hint="eastAsia" w:cs="宋体"/>
                <w:color w:val="auto"/>
                <w:kern w:val="0"/>
                <w:sz w:val="24"/>
                <w:highlight w:val="none"/>
                <w:lang w:val="en-US" w:eastAsia="zh-CN"/>
              </w:rPr>
              <w:t>、绿化</w:t>
            </w:r>
            <w:r>
              <w:rPr>
                <w:rFonts w:hint="eastAsia" w:ascii="宋体" w:hAnsi="宋体" w:cs="宋体"/>
                <w:color w:val="auto"/>
                <w:kern w:val="0"/>
                <w:sz w:val="24"/>
                <w:highlight w:val="none"/>
                <w:lang w:val="en-US" w:eastAsia="zh-CN"/>
              </w:rPr>
              <w:t>最高限价</w:t>
            </w:r>
            <w:r>
              <w:rPr>
                <w:rFonts w:hint="eastAsia" w:cs="宋体"/>
                <w:color w:val="auto"/>
                <w:kern w:val="0"/>
                <w:sz w:val="24"/>
                <w:highlight w:val="none"/>
                <w:lang w:val="en-US" w:eastAsia="zh-CN"/>
              </w:rPr>
              <w:t>259800</w:t>
            </w:r>
            <w:r>
              <w:rPr>
                <w:rFonts w:hint="eastAsia" w:ascii="宋体" w:hAnsi="宋体" w:cs="宋体"/>
                <w:color w:val="auto"/>
                <w:kern w:val="0"/>
                <w:sz w:val="24"/>
                <w:highlight w:val="none"/>
                <w:lang w:val="en-US" w:eastAsia="zh-CN"/>
              </w:rPr>
              <w:t>元。</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ascii="宋体" w:hAnsi="宋体" w:cs="宋体"/>
                <w:color w:val="auto"/>
                <w:sz w:val="24"/>
                <w:highlight w:val="none"/>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6"/>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lang w:val="en-US" w:eastAsia="zh-CN"/>
        </w:rPr>
        <w:t>古地石指挥部及金尚菜市场项目、厦大海韵园二期项目保洁绿化服务（重新招标）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3831973E">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6AE765DD">
      <w:pPr>
        <w:spacing w:line="380" w:lineRule="exact"/>
        <w:jc w:val="left"/>
        <w:rPr>
          <w:rFonts w:hint="eastAsia" w:ascii="宋体" w:hAnsi="宋体" w:cs="宋体"/>
          <w:color w:val="auto"/>
          <w:sz w:val="24"/>
          <w:highlight w:val="none"/>
        </w:rPr>
      </w:pPr>
    </w:p>
    <w:p w14:paraId="3E1ACCDA">
      <w:pPr>
        <w:spacing w:line="380" w:lineRule="exact"/>
        <w:jc w:val="left"/>
        <w:rPr>
          <w:rFonts w:hint="eastAsia" w:ascii="宋体" w:hAnsi="宋体" w:cs="宋体"/>
          <w:b/>
          <w:color w:val="auto"/>
          <w:sz w:val="28"/>
          <w:szCs w:val="28"/>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-4</w:t>
      </w:r>
      <w:r>
        <w:rPr>
          <w:rFonts w:hint="eastAsia" w:ascii="宋体" w:hAnsi="宋体" w:cs="宋体"/>
          <w:b/>
          <w:color w:val="auto"/>
          <w:sz w:val="28"/>
          <w:szCs w:val="28"/>
          <w:highlight w:val="none"/>
        </w:rPr>
        <w:t xml:space="preserve">             </w:t>
      </w:r>
    </w:p>
    <w:p w14:paraId="4CD94E8B">
      <w:pPr>
        <w:spacing w:line="380" w:lineRule="exact"/>
        <w:jc w:val="left"/>
        <w:rPr>
          <w:rFonts w:ascii="宋体" w:hAnsi="宋体" w:cs="宋体"/>
          <w:color w:val="auto"/>
          <w:sz w:val="32"/>
          <w:highlight w:val="none"/>
        </w:rPr>
      </w:pP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Cs w:val="21"/>
          <w:highlight w:val="none"/>
          <w:u w:val="single"/>
          <w:lang w:val="en-US" w:eastAsia="zh-CN"/>
        </w:rPr>
        <w:t>古地石指挥部及金尚菜市场项目、厦大海韵园二期项目保洁绿化服务（重新招标）</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-5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-6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-7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-8</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-9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-10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default" w:ascii="宋体" w:hAnsi="宋体" w:eastAsia="宋体" w:cs="宋体"/>
          <w:b/>
          <w:color w:val="auto"/>
          <w:sz w:val="30"/>
          <w:szCs w:val="30"/>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-11</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12" w:type="default"/>
      <w:pgSz w:w="11906" w:h="16838"/>
      <w:pgMar w:top="1440" w:right="1083" w:bottom="1440" w:left="1083" w:header="851" w:footer="992" w:gutter="0"/>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58A">
    <w:pPr>
      <w:pStyle w:val="25"/>
      <w:framePr w:wrap="around" w:vAnchor="text" w:hAnchor="margin" w:xAlign="right" w:y="1"/>
      <w:rPr>
        <w:rStyle w:val="46"/>
      </w:rPr>
    </w:pPr>
  </w:p>
  <w:p w14:paraId="727CD8EA">
    <w:pPr>
      <w:pStyle w:val="25"/>
      <w:ind w:right="360"/>
      <w:jc w:val="center"/>
      <w:rPr>
        <w:rFonts w:ascii="楷体_GB2312" w:eastAsia="楷体_GB2312"/>
      </w:rPr>
    </w:pPr>
    <w:r>
      <w:rPr>
        <w:rFonts w:hint="eastAsia" w:ascii="楷体_GB2312" w:eastAsia="楷体_GB2312"/>
        <w:kern w:val="0"/>
        <w:szCs w:val="21"/>
      </w:rPr>
      <w:t>第</w:t>
    </w:r>
    <w:r>
      <w:rPr>
        <w:rFonts w:hint="eastAsia" w:ascii="楷体_GB2312" w:eastAsia="楷体_GB2312"/>
        <w:kern w:val="0"/>
        <w:szCs w:val="21"/>
      </w:rPr>
      <w:fldChar w:fldCharType="begin"/>
    </w:r>
    <w:r>
      <w:rPr>
        <w:rFonts w:hint="eastAsia" w:ascii="楷体_GB2312" w:eastAsia="楷体_GB2312"/>
        <w:kern w:val="0"/>
        <w:szCs w:val="21"/>
      </w:rPr>
      <w:instrText xml:space="preserve"> PAGE </w:instrText>
    </w:r>
    <w:r>
      <w:rPr>
        <w:rFonts w:hint="eastAsia" w:ascii="楷体_GB2312" w:eastAsia="楷体_GB2312"/>
        <w:kern w:val="0"/>
        <w:szCs w:val="21"/>
      </w:rPr>
      <w:fldChar w:fldCharType="separate"/>
    </w:r>
    <w:r>
      <w:rPr>
        <w:rFonts w:ascii="楷体_GB2312" w:eastAsia="楷体_GB2312"/>
        <w:kern w:val="0"/>
        <w:szCs w:val="21"/>
      </w:rPr>
      <w:t>6</w:t>
    </w:r>
    <w:r>
      <w:rPr>
        <w:rFonts w:hint="eastAsia" w:ascii="楷体_GB2312" w:eastAsia="楷体_GB2312"/>
        <w:kern w:val="0"/>
        <w:szCs w:val="21"/>
      </w:rPr>
      <w:fldChar w:fldCharType="end"/>
    </w:r>
    <w:r>
      <w:rPr>
        <w:rFonts w:hint="eastAsia" w:ascii="楷体_GB2312" w:eastAsia="楷体_GB2312"/>
        <w:kern w:val="0"/>
        <w:szCs w:val="21"/>
      </w:rPr>
      <w:t>页共</w:t>
    </w:r>
    <w:r>
      <w:rPr>
        <w:rFonts w:hint="eastAsia" w:ascii="楷体_GB2312" w:eastAsia="楷体_GB2312"/>
        <w:kern w:val="0"/>
        <w:szCs w:val="21"/>
      </w:rPr>
      <w:fldChar w:fldCharType="begin"/>
    </w:r>
    <w:r>
      <w:rPr>
        <w:rFonts w:hint="eastAsia" w:ascii="楷体_GB2312" w:eastAsia="楷体_GB2312"/>
        <w:kern w:val="0"/>
        <w:szCs w:val="21"/>
      </w:rPr>
      <w:instrText xml:space="preserve"> NUMPAGES </w:instrText>
    </w:r>
    <w:r>
      <w:rPr>
        <w:rFonts w:hint="eastAsia" w:ascii="楷体_GB2312" w:eastAsia="楷体_GB2312"/>
        <w:kern w:val="0"/>
        <w:szCs w:val="21"/>
      </w:rPr>
      <w:fldChar w:fldCharType="separate"/>
    </w:r>
    <w:r>
      <w:rPr>
        <w:rFonts w:ascii="楷体_GB2312" w:eastAsia="楷体_GB2312"/>
        <w:kern w:val="0"/>
        <w:szCs w:val="21"/>
      </w:rPr>
      <w:t>13</w:t>
    </w:r>
    <w:r>
      <w:rPr>
        <w:rFonts w:hint="eastAsia" w:ascii="楷体_GB2312" w:eastAsia="楷体_GB2312"/>
        <w:kern w:val="0"/>
        <w:szCs w:val="21"/>
      </w:rPr>
      <w:fldChar w:fldCharType="end"/>
    </w:r>
    <w:r>
      <w:rPr>
        <w:rFonts w:hint="eastAsia" w:ascii="楷体_GB2312" w:eastAsia="楷体_GB2312"/>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C819">
    <w:pPr>
      <w:pStyle w:val="25"/>
      <w:framePr w:wrap="around" w:vAnchor="text" w:hAnchor="margin" w:xAlign="right" w:y="1"/>
      <w:rPr>
        <w:rStyle w:val="46"/>
      </w:rPr>
    </w:pPr>
    <w:r>
      <w:fldChar w:fldCharType="begin"/>
    </w:r>
    <w:r>
      <w:rPr>
        <w:rStyle w:val="46"/>
      </w:rPr>
      <w:instrText xml:space="preserve">PAGE  </w:instrText>
    </w:r>
    <w:r>
      <w:fldChar w:fldCharType="separate"/>
    </w:r>
    <w:r>
      <w:rPr>
        <w:rStyle w:val="46"/>
      </w:rPr>
      <w:t>9</w:t>
    </w:r>
    <w:r>
      <w:fldChar w:fldCharType="end"/>
    </w:r>
  </w:p>
  <w:p w14:paraId="19C3D439">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AEC3">
    <w:pPr>
      <w:spacing w:line="460" w:lineRule="exact"/>
      <w:jc w:val="right"/>
      <w:rPr>
        <w:rFonts w:ascii="楷体_GB2312" w:eastAsia="楷体_GB2312"/>
        <w:b/>
        <w:color w:val="00000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C02C"/>
    <w:multiLevelType w:val="singleLevel"/>
    <w:tmpl w:val="93C2C02C"/>
    <w:lvl w:ilvl="0" w:tentative="0">
      <w:start w:val="1"/>
      <w:numFmt w:val="chineseCounting"/>
      <w:suff w:val="nothing"/>
      <w:lvlText w:val="（%1）"/>
      <w:lvlJc w:val="left"/>
      <w:rPr>
        <w:rFonts w:hint="eastAsia"/>
        <w:color w:val="auto"/>
        <w:sz w:val="24"/>
        <w:szCs w:val="24"/>
      </w:rPr>
    </w:lvl>
  </w:abstractNum>
  <w:abstractNum w:abstractNumId="1">
    <w:nsid w:val="BD1CC336"/>
    <w:multiLevelType w:val="singleLevel"/>
    <w:tmpl w:val="BD1CC336"/>
    <w:lvl w:ilvl="0" w:tentative="0">
      <w:start w:val="2"/>
      <w:numFmt w:val="chineseCounting"/>
      <w:suff w:val="nothing"/>
      <w:lvlText w:val="（%1）"/>
      <w:lvlJc w:val="left"/>
      <w:rPr>
        <w:rFonts w:hint="eastAsia"/>
      </w:rPr>
    </w:lvl>
  </w:abstractNum>
  <w:abstractNum w:abstractNumId="2">
    <w:nsid w:val="BF680074"/>
    <w:multiLevelType w:val="singleLevel"/>
    <w:tmpl w:val="BF680074"/>
    <w:lvl w:ilvl="0" w:tentative="0">
      <w:start w:val="1"/>
      <w:numFmt w:val="chineseCounting"/>
      <w:suff w:val="nothing"/>
      <w:lvlText w:val="（%1）"/>
      <w:lvlJc w:val="left"/>
      <w:rPr>
        <w:rFonts w:hint="eastAsia"/>
      </w:rPr>
    </w:lvl>
  </w:abstractNum>
  <w:abstractNum w:abstractNumId="3">
    <w:nsid w:val="D4BC92D1"/>
    <w:multiLevelType w:val="singleLevel"/>
    <w:tmpl w:val="D4BC92D1"/>
    <w:lvl w:ilvl="0" w:tentative="0">
      <w:start w:val="2"/>
      <w:numFmt w:val="decimal"/>
      <w:suff w:val="nothing"/>
      <w:lvlText w:val="（%1）"/>
      <w:lvlJc w:val="left"/>
    </w:lvl>
  </w:abstractNum>
  <w:abstractNum w:abstractNumId="4">
    <w:nsid w:val="DFA38EFC"/>
    <w:multiLevelType w:val="singleLevel"/>
    <w:tmpl w:val="DFA38EFC"/>
    <w:lvl w:ilvl="0" w:tentative="0">
      <w:start w:val="1"/>
      <w:numFmt w:val="decimal"/>
      <w:suff w:val="nothing"/>
      <w:lvlText w:val="%1、"/>
      <w:lvlJc w:val="left"/>
    </w:lvl>
  </w:abstractNum>
  <w:abstractNum w:abstractNumId="5">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FF7F3733"/>
    <w:multiLevelType w:val="singleLevel"/>
    <w:tmpl w:val="FF7F3733"/>
    <w:lvl w:ilvl="0" w:tentative="0">
      <w:start w:val="13"/>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8">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11">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2">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4">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7">
    <w:nsid w:val="46D1CC74"/>
    <w:multiLevelType w:val="singleLevel"/>
    <w:tmpl w:val="46D1CC74"/>
    <w:lvl w:ilvl="0" w:tentative="0">
      <w:start w:val="1"/>
      <w:numFmt w:val="upperLetter"/>
      <w:suff w:val="nothing"/>
      <w:lvlText w:val="%1、"/>
      <w:lvlJc w:val="left"/>
    </w:lvl>
  </w:abstractNum>
  <w:abstractNum w:abstractNumId="18">
    <w:nsid w:val="573158B9"/>
    <w:multiLevelType w:val="singleLevel"/>
    <w:tmpl w:val="573158B9"/>
    <w:lvl w:ilvl="0" w:tentative="0">
      <w:start w:val="4"/>
      <w:numFmt w:val="decimal"/>
      <w:suff w:val="nothing"/>
      <w:lvlText w:val="%1、"/>
      <w:lvlJc w:val="left"/>
    </w:lvl>
  </w:abstractNum>
  <w:abstractNum w:abstractNumId="19">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AB83322"/>
    <w:multiLevelType w:val="singleLevel"/>
    <w:tmpl w:val="6AB83322"/>
    <w:lvl w:ilvl="0" w:tentative="0">
      <w:start w:val="1"/>
      <w:numFmt w:val="chineseCounting"/>
      <w:suff w:val="nothing"/>
      <w:lvlText w:val="（%1）"/>
      <w:lvlJc w:val="left"/>
      <w:rPr>
        <w:rFonts w:hint="eastAsia"/>
      </w:rPr>
    </w:lvl>
  </w:abstractNum>
  <w:abstractNum w:abstractNumId="21">
    <w:nsid w:val="7BB4EC06"/>
    <w:multiLevelType w:val="singleLevel"/>
    <w:tmpl w:val="7BB4EC06"/>
    <w:lvl w:ilvl="0" w:tentative="0">
      <w:start w:val="1"/>
      <w:numFmt w:val="chineseCounting"/>
      <w:suff w:val="nothing"/>
      <w:lvlText w:val="（%1）"/>
      <w:lvlJc w:val="left"/>
      <w:rPr>
        <w:rFonts w:hint="eastAsia"/>
      </w:rPr>
    </w:lvl>
  </w:abstractNum>
  <w:num w:numId="1">
    <w:abstractNumId w:val="12"/>
  </w:num>
  <w:num w:numId="2">
    <w:abstractNumId w:val="10"/>
  </w:num>
  <w:num w:numId="3">
    <w:abstractNumId w:val="8"/>
  </w:num>
  <w:num w:numId="4">
    <w:abstractNumId w:val="9"/>
  </w:num>
  <w:num w:numId="5">
    <w:abstractNumId w:val="19"/>
  </w:num>
  <w:num w:numId="6">
    <w:abstractNumId w:val="11"/>
  </w:num>
  <w:num w:numId="7">
    <w:abstractNumId w:val="7"/>
  </w:num>
  <w:num w:numId="8">
    <w:abstractNumId w:val="3"/>
  </w:num>
  <w:num w:numId="9">
    <w:abstractNumId w:val="4"/>
  </w:num>
  <w:num w:numId="10">
    <w:abstractNumId w:val="15"/>
    <w:lvlOverride w:ilvl="0">
      <w:startOverride w:val="1"/>
    </w:lvlOverride>
  </w:num>
  <w:num w:numId="11">
    <w:abstractNumId w:val="5"/>
  </w:num>
  <w:num w:numId="12">
    <w:abstractNumId w:val="14"/>
  </w:num>
  <w:num w:numId="13">
    <w:abstractNumId w:val="16"/>
  </w:num>
  <w:num w:numId="14">
    <w:abstractNumId w:val="1"/>
  </w:num>
  <w:num w:numId="15">
    <w:abstractNumId w:val="21"/>
  </w:num>
  <w:num w:numId="16">
    <w:abstractNumId w:val="2"/>
  </w:num>
  <w:num w:numId="17">
    <w:abstractNumId w:val="20"/>
  </w:num>
  <w:num w:numId="18">
    <w:abstractNumId w:val="0"/>
  </w:num>
  <w:num w:numId="19">
    <w:abstractNumId w:val="17"/>
  </w:num>
  <w:num w:numId="20">
    <w:abstractNumId w:val="18"/>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7C3708"/>
    <w:rsid w:val="00920750"/>
    <w:rsid w:val="00AF5C1F"/>
    <w:rsid w:val="011545F2"/>
    <w:rsid w:val="021138F7"/>
    <w:rsid w:val="024737BC"/>
    <w:rsid w:val="031F78E5"/>
    <w:rsid w:val="04772FC0"/>
    <w:rsid w:val="04D261F6"/>
    <w:rsid w:val="04E672BC"/>
    <w:rsid w:val="053E0EA6"/>
    <w:rsid w:val="05AA0014"/>
    <w:rsid w:val="05AF5900"/>
    <w:rsid w:val="05CF1AFF"/>
    <w:rsid w:val="067D59FE"/>
    <w:rsid w:val="06ED4932"/>
    <w:rsid w:val="07351E35"/>
    <w:rsid w:val="078D17EE"/>
    <w:rsid w:val="07D16002"/>
    <w:rsid w:val="087A505F"/>
    <w:rsid w:val="090F1CBF"/>
    <w:rsid w:val="097B2056"/>
    <w:rsid w:val="0AA95A26"/>
    <w:rsid w:val="0ABB08A3"/>
    <w:rsid w:val="0AC37FDD"/>
    <w:rsid w:val="0AFD2C6A"/>
    <w:rsid w:val="0BDB3F7A"/>
    <w:rsid w:val="0C3A0AD9"/>
    <w:rsid w:val="0CCA1272"/>
    <w:rsid w:val="0D4F642A"/>
    <w:rsid w:val="0E3A777E"/>
    <w:rsid w:val="0E4B4EE1"/>
    <w:rsid w:val="0E96765D"/>
    <w:rsid w:val="0EA0228A"/>
    <w:rsid w:val="0F8751F8"/>
    <w:rsid w:val="10F62635"/>
    <w:rsid w:val="12386C7D"/>
    <w:rsid w:val="14703421"/>
    <w:rsid w:val="14904B4F"/>
    <w:rsid w:val="14AD5701"/>
    <w:rsid w:val="14B22D17"/>
    <w:rsid w:val="156F6E5A"/>
    <w:rsid w:val="15CE1DD3"/>
    <w:rsid w:val="15D56E9F"/>
    <w:rsid w:val="15DD5B72"/>
    <w:rsid w:val="180970F2"/>
    <w:rsid w:val="184C6FDF"/>
    <w:rsid w:val="19923117"/>
    <w:rsid w:val="19FB1E10"/>
    <w:rsid w:val="19FF0C91"/>
    <w:rsid w:val="1A02029D"/>
    <w:rsid w:val="1A444411"/>
    <w:rsid w:val="1A4843E1"/>
    <w:rsid w:val="1A4E6E19"/>
    <w:rsid w:val="1AC47300"/>
    <w:rsid w:val="1B171B26"/>
    <w:rsid w:val="1B1D158C"/>
    <w:rsid w:val="1B446693"/>
    <w:rsid w:val="1B7E3953"/>
    <w:rsid w:val="1C135B98"/>
    <w:rsid w:val="1D0E0309"/>
    <w:rsid w:val="1D6F31E1"/>
    <w:rsid w:val="1DA93D92"/>
    <w:rsid w:val="1DDA201F"/>
    <w:rsid w:val="1DDE65DB"/>
    <w:rsid w:val="1E4F7829"/>
    <w:rsid w:val="1E9F255E"/>
    <w:rsid w:val="1EA11B6B"/>
    <w:rsid w:val="1F5C044F"/>
    <w:rsid w:val="1FB060A5"/>
    <w:rsid w:val="1FD2426D"/>
    <w:rsid w:val="205B0F4F"/>
    <w:rsid w:val="20C861CE"/>
    <w:rsid w:val="210466A8"/>
    <w:rsid w:val="21562C7C"/>
    <w:rsid w:val="21627873"/>
    <w:rsid w:val="216E446A"/>
    <w:rsid w:val="2181419D"/>
    <w:rsid w:val="218D7274"/>
    <w:rsid w:val="21983295"/>
    <w:rsid w:val="227A6E70"/>
    <w:rsid w:val="22A2261D"/>
    <w:rsid w:val="22B42350"/>
    <w:rsid w:val="22F32E79"/>
    <w:rsid w:val="232A43C0"/>
    <w:rsid w:val="232E02C0"/>
    <w:rsid w:val="235002CB"/>
    <w:rsid w:val="237C4C1C"/>
    <w:rsid w:val="239D2DE4"/>
    <w:rsid w:val="23D5257E"/>
    <w:rsid w:val="248024EA"/>
    <w:rsid w:val="24A361D8"/>
    <w:rsid w:val="251B66B7"/>
    <w:rsid w:val="25A67692"/>
    <w:rsid w:val="25D3699D"/>
    <w:rsid w:val="260E1D77"/>
    <w:rsid w:val="265711D5"/>
    <w:rsid w:val="26591245"/>
    <w:rsid w:val="266874F1"/>
    <w:rsid w:val="26D431B4"/>
    <w:rsid w:val="270F21FB"/>
    <w:rsid w:val="27313F6F"/>
    <w:rsid w:val="278247CB"/>
    <w:rsid w:val="27B121E5"/>
    <w:rsid w:val="27C812FC"/>
    <w:rsid w:val="27D71813"/>
    <w:rsid w:val="28156745"/>
    <w:rsid w:val="284D6B87"/>
    <w:rsid w:val="28572B79"/>
    <w:rsid w:val="28BA7F95"/>
    <w:rsid w:val="28D23530"/>
    <w:rsid w:val="28DF2487"/>
    <w:rsid w:val="2925080C"/>
    <w:rsid w:val="294F4C60"/>
    <w:rsid w:val="296E3259"/>
    <w:rsid w:val="2AA93EE8"/>
    <w:rsid w:val="2AF11A1E"/>
    <w:rsid w:val="2B6A3EF4"/>
    <w:rsid w:val="2B975AE8"/>
    <w:rsid w:val="2BAA42F0"/>
    <w:rsid w:val="2E024D8D"/>
    <w:rsid w:val="2E045F3A"/>
    <w:rsid w:val="2E870919"/>
    <w:rsid w:val="2F0F103A"/>
    <w:rsid w:val="2F6715EC"/>
    <w:rsid w:val="30A9741F"/>
    <w:rsid w:val="310A7BC5"/>
    <w:rsid w:val="31382A02"/>
    <w:rsid w:val="3200549D"/>
    <w:rsid w:val="325154C6"/>
    <w:rsid w:val="32675F6F"/>
    <w:rsid w:val="32981658"/>
    <w:rsid w:val="32B262D6"/>
    <w:rsid w:val="33771C13"/>
    <w:rsid w:val="3411315F"/>
    <w:rsid w:val="341F5D8A"/>
    <w:rsid w:val="34847DD4"/>
    <w:rsid w:val="349B6ECC"/>
    <w:rsid w:val="34BF2BBB"/>
    <w:rsid w:val="34CE2DFE"/>
    <w:rsid w:val="34D16D92"/>
    <w:rsid w:val="35221FAC"/>
    <w:rsid w:val="35A84A83"/>
    <w:rsid w:val="35AD335B"/>
    <w:rsid w:val="35B069A7"/>
    <w:rsid w:val="35D43824"/>
    <w:rsid w:val="35D4672D"/>
    <w:rsid w:val="36C721FA"/>
    <w:rsid w:val="370E1BD7"/>
    <w:rsid w:val="371014A6"/>
    <w:rsid w:val="37BE20D7"/>
    <w:rsid w:val="37D17213"/>
    <w:rsid w:val="387B408F"/>
    <w:rsid w:val="38AF2F46"/>
    <w:rsid w:val="393022D9"/>
    <w:rsid w:val="3A306308"/>
    <w:rsid w:val="3AB91F04"/>
    <w:rsid w:val="3ABC496A"/>
    <w:rsid w:val="3AEC20EF"/>
    <w:rsid w:val="3B146264"/>
    <w:rsid w:val="3B1672AC"/>
    <w:rsid w:val="3B1A5C4E"/>
    <w:rsid w:val="3B4262F3"/>
    <w:rsid w:val="3B9E2148"/>
    <w:rsid w:val="3D22018A"/>
    <w:rsid w:val="3D3E0D3C"/>
    <w:rsid w:val="3D78401A"/>
    <w:rsid w:val="3DC94AAA"/>
    <w:rsid w:val="3DDA0A65"/>
    <w:rsid w:val="3E2269D2"/>
    <w:rsid w:val="3E3548A8"/>
    <w:rsid w:val="3E4D7489"/>
    <w:rsid w:val="3E777901"/>
    <w:rsid w:val="3EB4755D"/>
    <w:rsid w:val="3EF63F99"/>
    <w:rsid w:val="3F047835"/>
    <w:rsid w:val="3F150352"/>
    <w:rsid w:val="3F3E4717"/>
    <w:rsid w:val="3F5C7395"/>
    <w:rsid w:val="408D1DBF"/>
    <w:rsid w:val="40D53845"/>
    <w:rsid w:val="41202C33"/>
    <w:rsid w:val="41642B4B"/>
    <w:rsid w:val="420E6F2F"/>
    <w:rsid w:val="428D5A86"/>
    <w:rsid w:val="43210EE4"/>
    <w:rsid w:val="436D237B"/>
    <w:rsid w:val="43B92ECB"/>
    <w:rsid w:val="43C540A6"/>
    <w:rsid w:val="443D3AFC"/>
    <w:rsid w:val="44427364"/>
    <w:rsid w:val="446B3494"/>
    <w:rsid w:val="44BE2E8F"/>
    <w:rsid w:val="44F33AD7"/>
    <w:rsid w:val="45B72F88"/>
    <w:rsid w:val="45CE335C"/>
    <w:rsid w:val="47061AF5"/>
    <w:rsid w:val="47F92430"/>
    <w:rsid w:val="481728B6"/>
    <w:rsid w:val="483B659E"/>
    <w:rsid w:val="489B5295"/>
    <w:rsid w:val="48A50238"/>
    <w:rsid w:val="48C52312"/>
    <w:rsid w:val="48E00EFA"/>
    <w:rsid w:val="48F826E7"/>
    <w:rsid w:val="49725FF6"/>
    <w:rsid w:val="499A554C"/>
    <w:rsid w:val="49C47FDD"/>
    <w:rsid w:val="49FC5EB9"/>
    <w:rsid w:val="4AA743C5"/>
    <w:rsid w:val="4B296B88"/>
    <w:rsid w:val="4B7324F9"/>
    <w:rsid w:val="4B7A2D8E"/>
    <w:rsid w:val="4C370B2C"/>
    <w:rsid w:val="4C561BFF"/>
    <w:rsid w:val="4C7B3698"/>
    <w:rsid w:val="4CC13F48"/>
    <w:rsid w:val="4CC748AA"/>
    <w:rsid w:val="4CD34FFD"/>
    <w:rsid w:val="4CE11EF4"/>
    <w:rsid w:val="4CE216E4"/>
    <w:rsid w:val="4D6245D3"/>
    <w:rsid w:val="4D6A3C3C"/>
    <w:rsid w:val="4D926C66"/>
    <w:rsid w:val="4DA846DC"/>
    <w:rsid w:val="4DBF37D4"/>
    <w:rsid w:val="4DEB281B"/>
    <w:rsid w:val="4DFF1E22"/>
    <w:rsid w:val="4E192EE4"/>
    <w:rsid w:val="4E30647F"/>
    <w:rsid w:val="4EE259AB"/>
    <w:rsid w:val="4F622668"/>
    <w:rsid w:val="504001BF"/>
    <w:rsid w:val="50416722"/>
    <w:rsid w:val="50585DB8"/>
    <w:rsid w:val="506D5769"/>
    <w:rsid w:val="50B739DE"/>
    <w:rsid w:val="50E05F3B"/>
    <w:rsid w:val="5131125D"/>
    <w:rsid w:val="52461383"/>
    <w:rsid w:val="524E3378"/>
    <w:rsid w:val="526D1A50"/>
    <w:rsid w:val="52DD5A6A"/>
    <w:rsid w:val="530E6A67"/>
    <w:rsid w:val="532C3CAB"/>
    <w:rsid w:val="536846E4"/>
    <w:rsid w:val="53852DC9"/>
    <w:rsid w:val="541A5C08"/>
    <w:rsid w:val="544F3B03"/>
    <w:rsid w:val="54B03E76"/>
    <w:rsid w:val="54C65EB4"/>
    <w:rsid w:val="55264138"/>
    <w:rsid w:val="55472A2C"/>
    <w:rsid w:val="555711BF"/>
    <w:rsid w:val="5709697B"/>
    <w:rsid w:val="575651A9"/>
    <w:rsid w:val="575E1973"/>
    <w:rsid w:val="5786188F"/>
    <w:rsid w:val="58FF717A"/>
    <w:rsid w:val="59A70DA5"/>
    <w:rsid w:val="59C81C62"/>
    <w:rsid w:val="5A533C21"/>
    <w:rsid w:val="5A56101C"/>
    <w:rsid w:val="5A901AFF"/>
    <w:rsid w:val="5A932270"/>
    <w:rsid w:val="5A987886"/>
    <w:rsid w:val="5AA00CFF"/>
    <w:rsid w:val="5AAB49F5"/>
    <w:rsid w:val="5AEC590E"/>
    <w:rsid w:val="5B264E92"/>
    <w:rsid w:val="5B3752F1"/>
    <w:rsid w:val="5BB26726"/>
    <w:rsid w:val="5C553C81"/>
    <w:rsid w:val="5CFD1C22"/>
    <w:rsid w:val="5D050565"/>
    <w:rsid w:val="5D253D88"/>
    <w:rsid w:val="5E020D51"/>
    <w:rsid w:val="5E0314BA"/>
    <w:rsid w:val="5E493963"/>
    <w:rsid w:val="5E551910"/>
    <w:rsid w:val="5E7F246E"/>
    <w:rsid w:val="5E8061E8"/>
    <w:rsid w:val="5E914D18"/>
    <w:rsid w:val="5F092B01"/>
    <w:rsid w:val="5FBA334D"/>
    <w:rsid w:val="607565D4"/>
    <w:rsid w:val="60DD2497"/>
    <w:rsid w:val="61135EB8"/>
    <w:rsid w:val="61665BAD"/>
    <w:rsid w:val="61B256D1"/>
    <w:rsid w:val="61DE16DB"/>
    <w:rsid w:val="62090747"/>
    <w:rsid w:val="62265778"/>
    <w:rsid w:val="623460E6"/>
    <w:rsid w:val="62B72874"/>
    <w:rsid w:val="63402869"/>
    <w:rsid w:val="636F130E"/>
    <w:rsid w:val="64AE0E8A"/>
    <w:rsid w:val="64B26B19"/>
    <w:rsid w:val="657F58CB"/>
    <w:rsid w:val="65F362B8"/>
    <w:rsid w:val="66247A59"/>
    <w:rsid w:val="664A095E"/>
    <w:rsid w:val="66807985"/>
    <w:rsid w:val="678817C2"/>
    <w:rsid w:val="6793565D"/>
    <w:rsid w:val="680E1188"/>
    <w:rsid w:val="68997A96"/>
    <w:rsid w:val="68D423D1"/>
    <w:rsid w:val="69856F6D"/>
    <w:rsid w:val="69C77840"/>
    <w:rsid w:val="69DD3507"/>
    <w:rsid w:val="6A1D563F"/>
    <w:rsid w:val="6A933BC6"/>
    <w:rsid w:val="6AA31129"/>
    <w:rsid w:val="6ABC4ECB"/>
    <w:rsid w:val="6B1765A5"/>
    <w:rsid w:val="6B575955"/>
    <w:rsid w:val="6BB34520"/>
    <w:rsid w:val="6C992804"/>
    <w:rsid w:val="6CF03552"/>
    <w:rsid w:val="6D2A6A64"/>
    <w:rsid w:val="6D401DE3"/>
    <w:rsid w:val="6D967C55"/>
    <w:rsid w:val="6DD61F86"/>
    <w:rsid w:val="6E3556C0"/>
    <w:rsid w:val="6E6D3DF8"/>
    <w:rsid w:val="6EB505AF"/>
    <w:rsid w:val="6EC6456A"/>
    <w:rsid w:val="6EF74724"/>
    <w:rsid w:val="6FFE75C4"/>
    <w:rsid w:val="700A66D9"/>
    <w:rsid w:val="700F1F41"/>
    <w:rsid w:val="71201EE5"/>
    <w:rsid w:val="71A861A9"/>
    <w:rsid w:val="71B938BC"/>
    <w:rsid w:val="71D76CAF"/>
    <w:rsid w:val="71EA7365"/>
    <w:rsid w:val="725400DF"/>
    <w:rsid w:val="73133AF6"/>
    <w:rsid w:val="73337CF4"/>
    <w:rsid w:val="74237D69"/>
    <w:rsid w:val="74317167"/>
    <w:rsid w:val="747607E0"/>
    <w:rsid w:val="748578CC"/>
    <w:rsid w:val="74AF3F63"/>
    <w:rsid w:val="75517DA3"/>
    <w:rsid w:val="75BC66C7"/>
    <w:rsid w:val="764010A6"/>
    <w:rsid w:val="767C01A1"/>
    <w:rsid w:val="76C45833"/>
    <w:rsid w:val="770E4D00"/>
    <w:rsid w:val="77381D7D"/>
    <w:rsid w:val="777A7098"/>
    <w:rsid w:val="77BD6EB5"/>
    <w:rsid w:val="77D3595D"/>
    <w:rsid w:val="77F47F90"/>
    <w:rsid w:val="785C3A78"/>
    <w:rsid w:val="785D3987"/>
    <w:rsid w:val="78952C76"/>
    <w:rsid w:val="789A3183"/>
    <w:rsid w:val="78C935D5"/>
    <w:rsid w:val="78D57BD9"/>
    <w:rsid w:val="78F63FFA"/>
    <w:rsid w:val="79BA2F1D"/>
    <w:rsid w:val="7C1A4147"/>
    <w:rsid w:val="7D8465FE"/>
    <w:rsid w:val="7DFF3FE9"/>
    <w:rsid w:val="7E0B1F99"/>
    <w:rsid w:val="7E6C6192"/>
    <w:rsid w:val="7ED20EFA"/>
    <w:rsid w:val="7F427C3D"/>
    <w:rsid w:val="7F6A0F42"/>
    <w:rsid w:val="7F717C41"/>
    <w:rsid w:val="7F98799B"/>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next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11785</Words>
  <Characters>12186</Characters>
  <Lines>274</Lines>
  <Paragraphs>77</Paragraphs>
  <TotalTime>7</TotalTime>
  <ScaleCrop>false</ScaleCrop>
  <LinksUpToDate>false</LinksUpToDate>
  <CharactersWithSpaces>12436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2025-12-25T08:03:00Z</cp:lastPrinted>
  <dcterms:modified xsi:type="dcterms:W3CDTF">2026-01-09T00:43:30Z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C04FC7626FB24DC3BF8C3C198716660D_13</vt:lpwstr>
  </property>
  <property fmtid="{D5CDD505-2E9C-101B-9397-08002B2CF9AE}" pid="4" name="KSOTemplateDocerSaveRecord">
    <vt:lpwstr>eyJoZGlkIjoiY2I4ZTE5ODk4OTk3ZmVlYjE4ZWI4MDA2OTY3OTZkMjQiLCJ1c2VySWQiOiIyMjkyNDk5MjAifQ==</vt:lpwstr>
  </property>
</Properties>
</file>